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820" w:right="1560" w:hanging="3812"/>
        <w:spacing w:after="0" w:line="402" w:lineRule="auto"/>
        <w:tabs>
          <w:tab w:leader="none" w:pos="475"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54" w:lineRule="exact"/>
        <w:rPr>
          <w:sz w:val="24"/>
          <w:szCs w:val="24"/>
          <w:color w:val="auto"/>
        </w:rPr>
      </w:pPr>
    </w:p>
    <w:p>
      <w:pPr>
        <w:sectPr>
          <w:pgSz w:w="11900" w:h="16838" w:orient="portrait"/>
          <w:cols w:equalWidth="0" w:num="2">
            <w:col w:w="7220" w:space="720"/>
            <w:col w:w="3240"/>
          </w:cols>
          <w:pgMar w:left="320" w:top="233" w:right="39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33" w:right="399" w:bottom="1440" w:gutter="0" w:footer="0" w:header="0"/>
          <w:type w:val="continuous"/>
        </w:sectPr>
      </w:pPr>
    </w:p>
    <w:p>
      <w:pPr>
        <w:spacing w:after="0" w:line="1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3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2"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840" w:type="dxa"/>
        <w:tblCellMar>
          <w:top w:w="0" w:type="dxa"/>
          <w:left w:w="0" w:type="dxa"/>
          <w:bottom w:w="0" w:type="dxa"/>
          <w:right w:w="0" w:type="dxa"/>
        </w:tblCellMar>
      </w:tblPr>
      <w:tr>
        <w:trPr>
          <w:trHeight w:val="249"/>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88"/>
              </w:rPr>
              <w:t>Large accelerated filer</w:t>
            </w:r>
          </w:p>
        </w:tc>
        <w:tc>
          <w:tcPr>
            <w:tcW w:w="21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95"/>
              </w:rPr>
              <w:t>Non-accelerated filer</w:t>
            </w:r>
          </w:p>
        </w:tc>
        <w:tc>
          <w:tcPr>
            <w:tcW w:w="21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1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920" w:type="dxa"/>
            <w:vAlign w:val="bottom"/>
          </w:tcPr>
          <w:p>
            <w:pPr>
              <w:jc w:val="right"/>
              <w:ind w:right="90"/>
              <w:spacing w:after="0"/>
              <w:rPr>
                <w:sz w:val="20"/>
                <w:szCs w:val="20"/>
                <w:color w:val="auto"/>
              </w:rPr>
            </w:pPr>
            <w:r>
              <w:rPr>
                <w:rFonts w:ascii="Arial" w:cs="Arial" w:eastAsia="Arial" w:hAnsi="Arial"/>
                <w:sz w:val="18"/>
                <w:szCs w:val="18"/>
                <w:color w:val="auto"/>
              </w:rPr>
              <w:t>Emerging growth company</w:t>
            </w:r>
          </w:p>
        </w:tc>
        <w:tc>
          <w:tcPr>
            <w:tcW w:w="36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14" w:lineRule="exact"/>
        <w:rPr>
          <w:sz w:val="24"/>
          <w:szCs w:val="24"/>
          <w:color w:val="auto"/>
        </w:r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April 29, 2022, there were 702,668,178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10200" w:type="dxa"/>
            <w:vAlign w:val="bottom"/>
            <w:gridSpan w:val="30"/>
          </w:tcPr>
          <w:p>
            <w:pPr>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1"/>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Item 1. UNAUDITED CONDENSED CONSOLIDATED FINANCIAL STATEMENTS:</w:t>
              </w:r>
            </w:hyperlink>
          </w:p>
        </w:tc>
        <w:tc>
          <w:tcPr>
            <w:tcW w:w="3780" w:type="dxa"/>
            <w:vAlign w:val="bottom"/>
            <w:gridSpan w:val="9"/>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March 31, 2022 and December 31,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months ended March 31, 2022 and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540" w:type="dxa"/>
            <w:vAlign w:val="bottom"/>
            <w:gridSpan w:val="2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 For the three months ended March 31, 2022 and 2021</w:t>
              </w:r>
            </w:hyperlink>
          </w:p>
        </w:tc>
        <w:tc>
          <w:tcPr>
            <w:tcW w:w="1520" w:type="dxa"/>
            <w:vAlign w:val="bottom"/>
            <w:gridSpan w:val="4"/>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Statements of Changes in Accumulated Other Comprehensive Income/(Loss): For the three months ended March</w:t>
              </w:r>
            </w:hyperlink>
          </w:p>
        </w:tc>
        <w:tc>
          <w:tcPr>
            <w:tcW w:w="102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7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31, 2022 and 2021</w:t>
              </w:r>
            </w:hyperlink>
          </w:p>
        </w:tc>
        <w:tc>
          <w:tcPr>
            <w:tcW w:w="10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For the three months ended March 31, 2022 and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Changes in Partners’ Capital: For the three months ended March 31, 2022 and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8880" w:type="dxa"/>
            <w:vAlign w:val="bottom"/>
            <w:tcBorders>
              <w:top w:val="single" w:sz="8" w:color="0000FF"/>
            </w:tcBorders>
            <w:gridSpan w:val="2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Condensed Consolidated Financial Statements:</w:t>
              </w:r>
            </w:hyperlink>
          </w:p>
        </w:tc>
        <w:tc>
          <w:tcPr>
            <w:tcW w:w="1180" w:type="dxa"/>
            <w:vAlign w:val="bottom"/>
            <w:gridSpan w:val="3"/>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1.</w:t>
              </w:r>
            </w:hyperlink>
          </w:p>
        </w:tc>
        <w:tc>
          <w:tcPr>
            <w:tcW w:w="4200" w:type="dxa"/>
            <w:vAlign w:val="bottom"/>
            <w:gridSpan w:val="17"/>
          </w:tcPr>
          <w:p>
            <w:pPr>
              <w:ind w:left="20"/>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Organization and Basis of Consolidation and Presentation</w:t>
              </w:r>
            </w:hyperlink>
          </w:p>
        </w:tc>
        <w:tc>
          <w:tcPr>
            <w:tcW w:w="5520" w:type="dxa"/>
            <w:vAlign w:val="bottom"/>
            <w:gridSpan w:val="10"/>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2.</w:t>
              </w:r>
            </w:hyperlink>
          </w:p>
        </w:tc>
        <w:tc>
          <w:tcPr>
            <w:tcW w:w="3260" w:type="dxa"/>
            <w:vAlign w:val="bottom"/>
            <w:tcBorders>
              <w:bottom w:val="single" w:sz="8" w:color="0000FF"/>
            </w:tcBorders>
            <w:gridSpan w:val="14"/>
          </w:tcPr>
          <w:p>
            <w:pPr>
              <w:ind w:left="20"/>
              <w:spacing w:after="0"/>
              <w:rPr>
                <w:rFonts w:ascii="Arial" w:cs="Arial" w:eastAsia="Arial" w:hAnsi="Arial"/>
                <w:sz w:val="18"/>
                <w:szCs w:val="18"/>
                <w:color w:val="0000FF"/>
                <w:w w:val="93"/>
              </w:rPr>
            </w:pPr>
            <w:hyperlink w:anchor="page10">
              <w:r>
                <w:rPr>
                  <w:rFonts w:ascii="Arial" w:cs="Arial" w:eastAsia="Arial" w:hAnsi="Arial"/>
                  <w:sz w:val="18"/>
                  <w:szCs w:val="18"/>
                  <w:color w:val="0000FF"/>
                  <w:w w:val="93"/>
                </w:rPr>
                <w:t>Summary of Significant Accounting Policies</w:t>
              </w:r>
            </w:hyperlink>
          </w:p>
        </w:tc>
        <w:tc>
          <w:tcPr>
            <w:tcW w:w="940" w:type="dxa"/>
            <w:vAlign w:val="bottom"/>
            <w:gridSpan w:val="3"/>
          </w:tcPr>
          <w:p>
            <w:pPr>
              <w:spacing w:after="0"/>
              <w:rPr>
                <w:sz w:val="18"/>
                <w:szCs w:val="18"/>
                <w:color w:val="auto"/>
              </w:rPr>
            </w:pPr>
          </w:p>
        </w:tc>
        <w:tc>
          <w:tcPr>
            <w:tcW w:w="5520" w:type="dxa"/>
            <w:vAlign w:val="bottom"/>
            <w:gridSpan w:val="10"/>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0">
              <w:r>
                <w:rPr>
                  <w:rFonts w:ascii="Arial" w:cs="Arial" w:eastAsia="Arial" w:hAnsi="Arial"/>
                  <w:sz w:val="17"/>
                  <w:szCs w:val="17"/>
                  <w:color w:val="0000FF"/>
                  <w:w w:val="73"/>
                </w:rPr>
                <w:t>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3.</w:t>
              </w:r>
            </w:hyperlink>
          </w:p>
        </w:tc>
        <w:tc>
          <w:tcPr>
            <w:tcW w:w="9720" w:type="dxa"/>
            <w:vAlign w:val="bottom"/>
            <w:gridSpan w:val="27"/>
          </w:tcPr>
          <w:p>
            <w:pPr>
              <w:ind w:left="20"/>
              <w:spacing w:after="0"/>
              <w:rPr>
                <w:rFonts w:ascii="Arial" w:cs="Arial" w:eastAsia="Arial" w:hAnsi="Arial"/>
                <w:sz w:val="18"/>
                <w:szCs w:val="18"/>
                <w:color w:val="0000FF"/>
              </w:rPr>
            </w:pPr>
            <w:hyperlink w:anchor="page10">
              <w:r>
                <w:rPr>
                  <w:rFonts w:ascii="Arial" w:cs="Arial" w:eastAsia="Arial" w:hAnsi="Arial"/>
                  <w:sz w:val="18"/>
                  <w:szCs w:val="18"/>
                  <w:color w:val="0000FF"/>
                </w:rPr>
                <w:t>Revenues and Accounts Receivable</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tcBorders>
              <w:bottom w:val="single" w:sz="8" w:color="0000FF"/>
            </w:tcBorders>
            <w:gridSpan w:val="9"/>
          </w:tcPr>
          <w:p>
            <w:pPr>
              <w:ind w:left="20"/>
              <w:spacing w:after="0"/>
              <w:rPr>
                <w:rFonts w:ascii="Arial" w:cs="Arial" w:eastAsia="Arial" w:hAnsi="Arial"/>
                <w:sz w:val="18"/>
                <w:szCs w:val="18"/>
                <w:color w:val="0000FF"/>
                <w:w w:val="90"/>
              </w:rPr>
            </w:pPr>
            <w:hyperlink w:anchor="page13">
              <w:r>
                <w:rPr>
                  <w:rFonts w:ascii="Arial" w:cs="Arial" w:eastAsia="Arial" w:hAnsi="Arial"/>
                  <w:sz w:val="18"/>
                  <w:szCs w:val="18"/>
                  <w:color w:val="0000FF"/>
                  <w:w w:val="90"/>
                </w:rPr>
                <w:t>4. Net Income Per Common Unit</w:t>
              </w:r>
            </w:hyperlink>
          </w:p>
        </w:tc>
        <w:tc>
          <w:tcPr>
            <w:tcW w:w="340" w:type="dxa"/>
            <w:vAlign w:val="bottom"/>
            <w:gridSpan w:val="3"/>
          </w:tcPr>
          <w:p>
            <w:pPr>
              <w:spacing w:after="0"/>
              <w:rPr>
                <w:sz w:val="18"/>
                <w:szCs w:val="18"/>
                <w:color w:val="auto"/>
              </w:rPr>
            </w:pPr>
          </w:p>
        </w:tc>
        <w:tc>
          <w:tcPr>
            <w:tcW w:w="7140" w:type="dxa"/>
            <w:vAlign w:val="bottom"/>
            <w:gridSpan w:val="16"/>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3">
              <w:r>
                <w:rPr>
                  <w:rFonts w:ascii="Arial" w:cs="Arial" w:eastAsia="Arial" w:hAnsi="Arial"/>
                  <w:sz w:val="17"/>
                  <w:szCs w:val="17"/>
                  <w:color w:val="0000FF"/>
                  <w:w w:val="73"/>
                </w:rPr>
                <w:t>14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5.</w:t>
              </w:r>
            </w:hyperlink>
          </w:p>
        </w:tc>
        <w:tc>
          <w:tcPr>
            <w:tcW w:w="3220" w:type="dxa"/>
            <w:vAlign w:val="bottom"/>
            <w:tcBorders>
              <w:bottom w:val="single" w:sz="8" w:color="0000FF"/>
            </w:tcBorders>
            <w:gridSpan w:val="13"/>
          </w:tcPr>
          <w:p>
            <w:pPr>
              <w:ind w:left="20"/>
              <w:spacing w:after="0"/>
              <w:rPr>
                <w:rFonts w:ascii="Arial" w:cs="Arial" w:eastAsia="Arial" w:hAnsi="Arial"/>
                <w:sz w:val="18"/>
                <w:szCs w:val="18"/>
                <w:color w:val="0000FF"/>
                <w:w w:val="94"/>
              </w:rPr>
            </w:pPr>
            <w:hyperlink w:anchor="page14">
              <w:r>
                <w:rPr>
                  <w:rFonts w:ascii="Arial" w:cs="Arial" w:eastAsia="Arial" w:hAnsi="Arial"/>
                  <w:sz w:val="18"/>
                  <w:szCs w:val="18"/>
                  <w:color w:val="0000FF"/>
                  <w:w w:val="94"/>
                </w:rPr>
                <w:t>Inventory, Linefill and Long-term Inventory</w:t>
              </w:r>
            </w:hyperlink>
          </w:p>
        </w:tc>
        <w:tc>
          <w:tcPr>
            <w:tcW w:w="6500" w:type="dxa"/>
            <w:vAlign w:val="bottom"/>
            <w:gridSpan w:val="14"/>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4">
              <w:r>
                <w:rPr>
                  <w:rFonts w:ascii="Arial" w:cs="Arial" w:eastAsia="Arial" w:hAnsi="Arial"/>
                  <w:sz w:val="17"/>
                  <w:szCs w:val="17"/>
                  <w:color w:val="0000FF"/>
                  <w:w w:val="73"/>
                </w:rPr>
                <w:t>15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6.</w:t>
              </w:r>
            </w:hyperlink>
          </w:p>
        </w:tc>
        <w:tc>
          <w:tcPr>
            <w:tcW w:w="380" w:type="dxa"/>
            <w:vAlign w:val="bottom"/>
            <w:tcBorders>
              <w:bottom w:val="single" w:sz="8" w:color="0000FF"/>
            </w:tcBorders>
          </w:tcPr>
          <w:p>
            <w:pPr>
              <w:ind w:left="2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Debt</w:t>
              </w:r>
            </w:hyperlink>
          </w:p>
        </w:tc>
        <w:tc>
          <w:tcPr>
            <w:tcW w:w="9340" w:type="dxa"/>
            <w:vAlign w:val="bottom"/>
            <w:gridSpan w:val="26"/>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5">
              <w:r>
                <w:rPr>
                  <w:rFonts w:ascii="Arial" w:cs="Arial" w:eastAsia="Arial" w:hAnsi="Arial"/>
                  <w:sz w:val="17"/>
                  <w:szCs w:val="17"/>
                  <w:color w:val="0000FF"/>
                  <w:w w:val="73"/>
                </w:rPr>
                <w:t>15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7.</w:t>
              </w:r>
            </w:hyperlink>
          </w:p>
        </w:tc>
        <w:tc>
          <w:tcPr>
            <w:tcW w:w="2580" w:type="dxa"/>
            <w:vAlign w:val="bottom"/>
            <w:tcBorders>
              <w:bottom w:val="single" w:sz="8" w:color="0000FF"/>
            </w:tcBorders>
            <w:gridSpan w:val="11"/>
          </w:tcPr>
          <w:p>
            <w:pPr>
              <w:ind w:left="20"/>
              <w:spacing w:after="0"/>
              <w:rPr>
                <w:rFonts w:ascii="Arial" w:cs="Arial" w:eastAsia="Arial" w:hAnsi="Arial"/>
                <w:sz w:val="18"/>
                <w:szCs w:val="18"/>
                <w:color w:val="0000FF"/>
                <w:w w:val="92"/>
              </w:rPr>
            </w:pPr>
            <w:hyperlink w:anchor="page16">
              <w:r>
                <w:rPr>
                  <w:rFonts w:ascii="Arial" w:cs="Arial" w:eastAsia="Arial" w:hAnsi="Arial"/>
                  <w:sz w:val="18"/>
                  <w:szCs w:val="18"/>
                  <w:color w:val="0000FF"/>
                  <w:w w:val="92"/>
                </w:rPr>
                <w:t>Partners’ Capital and Distributions</w:t>
              </w:r>
            </w:hyperlink>
          </w:p>
        </w:tc>
        <w:tc>
          <w:tcPr>
            <w:tcW w:w="7140" w:type="dxa"/>
            <w:vAlign w:val="bottom"/>
            <w:gridSpan w:val="16"/>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6">
              <w:r>
                <w:rPr>
                  <w:rFonts w:ascii="Arial" w:cs="Arial" w:eastAsia="Arial" w:hAnsi="Arial"/>
                  <w:sz w:val="17"/>
                  <w:szCs w:val="17"/>
                  <w:color w:val="0000FF"/>
                  <w:w w:val="73"/>
                </w:rPr>
                <w:t>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8.</w:t>
              </w:r>
            </w:hyperlink>
          </w:p>
        </w:tc>
        <w:tc>
          <w:tcPr>
            <w:tcW w:w="3280" w:type="dxa"/>
            <w:vAlign w:val="bottom"/>
            <w:tcBorders>
              <w:bottom w:val="single" w:sz="8" w:color="0000FF"/>
            </w:tcBorders>
            <w:gridSpan w:val="15"/>
          </w:tcPr>
          <w:p>
            <w:pPr>
              <w:ind w:left="20"/>
              <w:spacing w:after="0"/>
              <w:rPr>
                <w:rFonts w:ascii="Arial" w:cs="Arial" w:eastAsia="Arial" w:hAnsi="Arial"/>
                <w:sz w:val="18"/>
                <w:szCs w:val="18"/>
                <w:color w:val="0000FF"/>
                <w:w w:val="92"/>
              </w:rPr>
            </w:pPr>
            <w:hyperlink w:anchor="page18">
              <w:r>
                <w:rPr>
                  <w:rFonts w:ascii="Arial" w:cs="Arial" w:eastAsia="Arial" w:hAnsi="Arial"/>
                  <w:sz w:val="18"/>
                  <w:szCs w:val="18"/>
                  <w:color w:val="0000FF"/>
                  <w:w w:val="92"/>
                </w:rPr>
                <w:t>Derivatives and Risk Management Activities</w:t>
              </w:r>
            </w:hyperlink>
          </w:p>
        </w:tc>
        <w:tc>
          <w:tcPr>
            <w:tcW w:w="6440" w:type="dxa"/>
            <w:vAlign w:val="bottom"/>
            <w:gridSpan w:val="12"/>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8">
              <w:r>
                <w:rPr>
                  <w:rFonts w:ascii="Arial" w:cs="Arial" w:eastAsia="Arial" w:hAnsi="Arial"/>
                  <w:sz w:val="17"/>
                  <w:szCs w:val="17"/>
                  <w:color w:val="0000FF"/>
                  <w:w w:val="73"/>
                </w:rPr>
                <w:t>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9.</w:t>
              </w:r>
            </w:hyperlink>
          </w:p>
        </w:tc>
        <w:tc>
          <w:tcPr>
            <w:tcW w:w="9720" w:type="dxa"/>
            <w:vAlign w:val="bottom"/>
            <w:gridSpan w:val="27"/>
          </w:tcPr>
          <w:p>
            <w:pPr>
              <w:ind w:left="20"/>
              <w:spacing w:after="0"/>
              <w:rPr>
                <w:rFonts w:ascii="Arial" w:cs="Arial" w:eastAsia="Arial" w:hAnsi="Arial"/>
                <w:sz w:val="18"/>
                <w:szCs w:val="18"/>
                <w:color w:val="0000FF"/>
              </w:rPr>
            </w:pPr>
            <w:hyperlink w:anchor="page22">
              <w:r>
                <w:rPr>
                  <w:rFonts w:ascii="Arial" w:cs="Arial" w:eastAsia="Arial" w:hAnsi="Arial"/>
                  <w:sz w:val="18"/>
                  <w:szCs w:val="18"/>
                  <w:color w:val="0000FF"/>
                </w:rPr>
                <w:t>Related Party Transactions</w:t>
              </w:r>
            </w:hyperlink>
          </w:p>
        </w:tc>
        <w:tc>
          <w:tcPr>
            <w:tcW w:w="100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Borders>
              <w:bottom w:val="single" w:sz="8" w:color="0000FF"/>
            </w:tcBorders>
            <w:gridSpan w:val="11"/>
          </w:tcPr>
          <w:p>
            <w:pPr>
              <w:ind w:left="2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10. Commitments and Contingencies</w:t>
              </w:r>
            </w:hyperlink>
          </w:p>
        </w:tc>
        <w:tc>
          <w:tcPr>
            <w:tcW w:w="7200" w:type="dxa"/>
            <w:vAlign w:val="bottom"/>
            <w:gridSpan w:val="17"/>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23">
              <w:r>
                <w:rPr>
                  <w:rFonts w:ascii="Arial" w:cs="Arial" w:eastAsia="Arial" w:hAnsi="Arial"/>
                  <w:sz w:val="17"/>
                  <w:szCs w:val="17"/>
                  <w:color w:val="0000FF"/>
                  <w:w w:val="73"/>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gridSpan w:val="28"/>
          </w:tcPr>
          <w:p>
            <w:pPr>
              <w:ind w:left="20"/>
              <w:spacing w:after="0"/>
              <w:rPr>
                <w:rFonts w:ascii="Arial" w:cs="Arial" w:eastAsia="Arial" w:hAnsi="Arial"/>
                <w:sz w:val="18"/>
                <w:szCs w:val="18"/>
                <w:color w:val="0000FF"/>
              </w:rPr>
            </w:pPr>
            <w:hyperlink w:anchor="page28">
              <w:r>
                <w:rPr>
                  <w:rFonts w:ascii="Arial" w:cs="Arial" w:eastAsia="Arial" w:hAnsi="Arial"/>
                  <w:sz w:val="18"/>
                  <w:szCs w:val="18"/>
                  <w:color w:val="0000FF"/>
                </w:rPr>
                <w:t>11. Segment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28"/>
          </w:tcPr>
          <w:p>
            <w:pPr>
              <w:spacing w:after="0"/>
              <w:rPr>
                <w:rFonts w:ascii="Arial" w:cs="Arial" w:eastAsia="Arial" w:hAnsi="Arial"/>
                <w:sz w:val="18"/>
                <w:szCs w:val="18"/>
                <w:color w:val="0000FF"/>
                <w:w w:val="96"/>
              </w:rPr>
            </w:pPr>
            <w:hyperlink w:anchor="page31">
              <w:r>
                <w:rPr>
                  <w:rFonts w:ascii="Arial" w:cs="Arial" w:eastAsia="Arial" w:hAnsi="Arial"/>
                  <w:sz w:val="18"/>
                  <w:szCs w:val="18"/>
                  <w:color w:val="0000FF"/>
                  <w:w w:val="96"/>
                </w:rPr>
                <w:t>Item 2. MANAGEMENT’S DISCUSSION AND ANALYSIS OF FINANCIAL CONDITION AND RESULTS OF OPERATIONS</w:t>
              </w:r>
            </w:hyperlink>
          </w:p>
        </w:tc>
        <w:tc>
          <w:tcPr>
            <w:tcW w:w="7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31">
              <w:r>
                <w:rPr>
                  <w:rFonts w:ascii="Arial" w:cs="Arial" w:eastAsia="Arial" w:hAnsi="Arial"/>
                  <w:sz w:val="17"/>
                  <w:szCs w:val="17"/>
                  <w:color w:val="0000FF"/>
                  <w:w w:val="73"/>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0000FF"/>
            </w:tcBorders>
            <w:gridSpan w:val="24"/>
          </w:tcPr>
          <w:p>
            <w:pPr>
              <w:spacing w:after="0"/>
              <w:rPr>
                <w:rFonts w:ascii="Arial" w:cs="Arial" w:eastAsia="Arial" w:hAnsi="Arial"/>
                <w:sz w:val="18"/>
                <w:szCs w:val="18"/>
                <w:color w:val="0000FF"/>
                <w:w w:val="97"/>
              </w:rPr>
            </w:pPr>
            <w:hyperlink w:anchor="page49">
              <w:r>
                <w:rPr>
                  <w:rFonts w:ascii="Arial" w:cs="Arial" w:eastAsia="Arial" w:hAnsi="Arial"/>
                  <w:sz w:val="18"/>
                  <w:szCs w:val="18"/>
                  <w:color w:val="0000FF"/>
                  <w:w w:val="97"/>
                </w:rPr>
                <w:t>Item 3. QUANTITATIVE AND QUALITATIVE DISCLOSURES ABOUT MARKET RISK</w:t>
              </w:r>
            </w:hyperlink>
          </w:p>
        </w:tc>
        <w:tc>
          <w:tcPr>
            <w:tcW w:w="350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49">
              <w:r>
                <w:rPr>
                  <w:rFonts w:ascii="Arial" w:cs="Arial" w:eastAsia="Arial" w:hAnsi="Arial"/>
                  <w:sz w:val="17"/>
                  <w:szCs w:val="17"/>
                  <w:color w:val="0000FF"/>
                  <w:w w:val="73"/>
                </w:rPr>
                <w:t>50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5"/>
          </w:tcPr>
          <w:p>
            <w:pPr>
              <w:spacing w:after="0"/>
              <w:rPr>
                <w:rFonts w:ascii="Arial" w:cs="Arial" w:eastAsia="Arial" w:hAnsi="Arial"/>
                <w:sz w:val="18"/>
                <w:szCs w:val="18"/>
                <w:color w:val="0000FF"/>
                <w:w w:val="93"/>
              </w:rPr>
            </w:pPr>
            <w:hyperlink w:anchor="page51">
              <w:r>
                <w:rPr>
                  <w:rFonts w:ascii="Arial" w:cs="Arial" w:eastAsia="Arial" w:hAnsi="Arial"/>
                  <w:sz w:val="18"/>
                  <w:szCs w:val="18"/>
                  <w:color w:val="0000FF"/>
                  <w:w w:val="93"/>
                </w:rPr>
                <w:t>Item 4. CONTROLS AND PROCEDURES</w:t>
              </w:r>
            </w:hyperlink>
          </w:p>
        </w:tc>
        <w:tc>
          <w:tcPr>
            <w:tcW w:w="7040" w:type="dxa"/>
            <w:vAlign w:val="bottom"/>
            <w:gridSpan w:val="15"/>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51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0"/>
          </w:tcPr>
          <w:p>
            <w:pPr>
              <w:spacing w:after="0"/>
              <w:rPr>
                <w:rFonts w:ascii="Arial" w:cs="Arial" w:eastAsia="Arial" w:hAnsi="Arial"/>
                <w:sz w:val="18"/>
                <w:szCs w:val="18"/>
                <w:b w:val="1"/>
                <w:bCs w:val="1"/>
                <w:color w:val="0000FF"/>
              </w:rPr>
            </w:pPr>
            <w:hyperlink w:anchor="page52">
              <w:r>
                <w:rPr>
                  <w:rFonts w:ascii="Arial" w:cs="Arial" w:eastAsia="Arial" w:hAnsi="Arial"/>
                  <w:sz w:val="18"/>
                  <w:szCs w:val="18"/>
                  <w:b w:val="1"/>
                  <w:bCs w:val="1"/>
                  <w:color w:val="0000FF"/>
                </w:rPr>
                <w:t>PART II. OTHER INFORMATION</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4"/>
              </w:rPr>
            </w:pPr>
            <w:hyperlink w:anchor="page52">
              <w:r>
                <w:rPr>
                  <w:rFonts w:ascii="Arial" w:cs="Arial" w:eastAsia="Arial" w:hAnsi="Arial"/>
                  <w:sz w:val="18"/>
                  <w:szCs w:val="18"/>
                  <w:color w:val="0000FF"/>
                  <w:w w:val="94"/>
                </w:rPr>
                <w:t>Item 1. LEGAL PROCEEDINGS</w:t>
              </w:r>
            </w:hyperlink>
          </w:p>
        </w:tc>
        <w:tc>
          <w:tcPr>
            <w:tcW w:w="320" w:type="dxa"/>
            <w:vAlign w:val="bottom"/>
            <w:tcBorders>
              <w:top w:val="single" w:sz="8" w:color="0000FF"/>
            </w:tcBorders>
            <w:gridSpan w:val="2"/>
          </w:tcPr>
          <w:p>
            <w:pPr>
              <w:spacing w:after="0"/>
              <w:rPr>
                <w:sz w:val="18"/>
                <w:szCs w:val="18"/>
                <w:color w:val="auto"/>
              </w:rPr>
            </w:pPr>
          </w:p>
        </w:tc>
        <w:tc>
          <w:tcPr>
            <w:tcW w:w="7440" w:type="dxa"/>
            <w:vAlign w:val="bottom"/>
            <w:gridSpan w:val="18"/>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52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52">
              <w:r>
                <w:rPr>
                  <w:rFonts w:ascii="Arial" w:cs="Arial" w:eastAsia="Arial" w:hAnsi="Arial"/>
                  <w:sz w:val="18"/>
                  <w:szCs w:val="18"/>
                  <w:color w:val="0000FF"/>
                  <w:w w:val="93"/>
                </w:rPr>
                <w:t>Item 1A. RISK FACTORS</w:t>
              </w:r>
            </w:hyperlink>
          </w:p>
        </w:tc>
        <w:tc>
          <w:tcPr>
            <w:tcW w:w="8260" w:type="dxa"/>
            <w:vAlign w:val="bottom"/>
            <w:gridSpan w:val="22"/>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52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0"/>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2. UNREGISTERED SALES OF EQUITY SECURITIES AND USE OF PROCEEDS</w:t>
              </w:r>
            </w:hyperlink>
          </w:p>
        </w:tc>
        <w:tc>
          <w:tcPr>
            <w:tcW w:w="100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0000FF"/>
            </w:tcBorders>
            <w:gridSpan w:val="23"/>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3. DEFAULTS UPON SENIOR SECURITIES</w:t>
              </w:r>
            </w:hyperlink>
          </w:p>
        </w:tc>
        <w:tc>
          <w:tcPr>
            <w:tcW w:w="3580" w:type="dxa"/>
            <w:vAlign w:val="bottom"/>
            <w:gridSpan w:val="7"/>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52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4"/>
              </w:rPr>
            </w:pPr>
            <w:hyperlink w:anchor="page52">
              <w:r>
                <w:rPr>
                  <w:rFonts w:ascii="Arial" w:cs="Arial" w:eastAsia="Arial" w:hAnsi="Arial"/>
                  <w:sz w:val="18"/>
                  <w:szCs w:val="18"/>
                  <w:color w:val="0000FF"/>
                  <w:w w:val="94"/>
                </w:rPr>
                <w:t>Item 4. MINE SAFETY DISCLOSURES</w:t>
              </w:r>
            </w:hyperlink>
          </w:p>
        </w:tc>
        <w:tc>
          <w:tcPr>
            <w:tcW w:w="740" w:type="dxa"/>
            <w:vAlign w:val="bottom"/>
            <w:tcBorders>
              <w:top w:val="single" w:sz="8" w:color="0000FF"/>
            </w:tcBorders>
            <w:gridSpan w:val="4"/>
          </w:tcPr>
          <w:p>
            <w:pPr>
              <w:spacing w:after="0"/>
              <w:rPr>
                <w:sz w:val="18"/>
                <w:szCs w:val="18"/>
                <w:color w:val="auto"/>
              </w:rPr>
            </w:pPr>
          </w:p>
        </w:tc>
        <w:tc>
          <w:tcPr>
            <w:tcW w:w="6460" w:type="dxa"/>
            <w:vAlign w:val="bottom"/>
            <w:gridSpan w:val="13"/>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52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0"/>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5. OTHER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0"/>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Item 6. EXHIBITS</w:t>
              </w:r>
            </w:hyperlink>
          </w:p>
        </w:tc>
        <w:tc>
          <w:tcPr>
            <w:tcW w:w="7760" w:type="dxa"/>
            <w:vAlign w:val="bottom"/>
            <w:gridSpan w:val="20"/>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53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0000FF"/>
            </w:tcBorders>
            <w:gridSpan w:val="6"/>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SIGNATURES</w:t>
              </w:r>
            </w:hyperlink>
          </w:p>
        </w:tc>
        <w:tc>
          <w:tcPr>
            <w:tcW w:w="8820" w:type="dxa"/>
            <w:vAlign w:val="bottom"/>
            <w:gridSpan w:val="24"/>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57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UNAUDITED CONDENSED CONSOLIDATED FINANCIAL STATEMENTS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unit data)</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191"/>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48"/>
        </w:trPr>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449</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Inventory</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6,137</w:t>
            </w:r>
          </w:p>
        </w:tc>
      </w:tr>
      <w:tr>
        <w:trPr>
          <w:trHeight w:val="128"/>
        </w:trPr>
        <w:tc>
          <w:tcPr>
            <w:tcW w:w="8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19,399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19,257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(4,354)</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Property and equipment, net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14,864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14,903</w:t>
            </w:r>
          </w:p>
        </w:tc>
      </w:tr>
      <w:tr>
        <w:trPr>
          <w:trHeight w:val="128"/>
        </w:trPr>
        <w:tc>
          <w:tcPr>
            <w:tcW w:w="8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OTHER 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1,960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assets, net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r>
      <w:tr>
        <w:trPr>
          <w:trHeight w:val="234"/>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30,642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48"/>
        </w:trPr>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6,867</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4,810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6,232</w:t>
            </w:r>
          </w:p>
        </w:tc>
      </w:tr>
      <w:tr>
        <w:trPr>
          <w:trHeight w:val="128"/>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7,931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8,329</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339</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w:t>
            </w:r>
          </w:p>
        </w:tc>
      </w:tr>
      <w:tr>
        <w:trPr>
          <w:trHeight w:val="21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long-term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9,218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9,567</w:t>
            </w:r>
          </w:p>
        </w:tc>
      </w:tr>
      <w:tr>
        <w:trPr>
          <w:trHeight w:val="88"/>
        </w:trPr>
        <w:tc>
          <w:tcPr>
            <w:tcW w:w="8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 (NOTE 10)</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08"/>
        </w:trPr>
        <w:tc>
          <w:tcPr>
            <w:tcW w:w="8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PARTNERS’ CAPITAL</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A preferred unitholders (71,090,468 and 71,090,468 units outstanding, respectively)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Series B preferred unitholders (800,000 and 800,000 units outstanding, respectively)</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unitholders (702,668,178 and 704,991,540 units outstanding, respectively)</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7,751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7,680</w:t>
            </w:r>
          </w:p>
        </w:tc>
      </w:tr>
      <w:tr>
        <w:trPr>
          <w:trHeight w:val="210"/>
        </w:trPr>
        <w:tc>
          <w:tcPr>
            <w:tcW w:w="8240" w:type="dxa"/>
            <w:vAlign w:val="bottom"/>
          </w:tcPr>
          <w:p>
            <w:pPr>
              <w:ind w:left="140"/>
              <w:spacing w:after="0"/>
              <w:rPr>
                <w:sz w:val="20"/>
                <w:szCs w:val="20"/>
                <w:color w:val="auto"/>
              </w:rPr>
            </w:pPr>
            <w:r>
              <w:rPr>
                <w:rFonts w:ascii="Arial" w:cs="Arial" w:eastAsia="Arial" w:hAnsi="Arial"/>
                <w:sz w:val="17"/>
                <w:szCs w:val="17"/>
                <w:color w:val="auto"/>
              </w:rPr>
              <w:t>Total partners’ capital excluding noncontrolling interests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10,043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9,972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2,838</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partners’ capital</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12,854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12,810</w:t>
            </w: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30,642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unit data)</w:t>
      </w:r>
    </w:p>
    <w:p>
      <w:pPr>
        <w:spacing w:after="0" w:line="1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183"/>
        </w:trPr>
        <w:tc>
          <w:tcPr>
            <w:tcW w:w="8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Product sales revenues</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13,381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8,083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revenues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13,694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8,383</w:t>
            </w:r>
          </w:p>
        </w:tc>
      </w:tr>
      <w:tr>
        <w:trPr>
          <w:trHeight w:val="162"/>
        </w:trPr>
        <w:tc>
          <w:tcPr>
            <w:tcW w:w="8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13,401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7,857</w:t>
            </w:r>
          </w:p>
        </w:tc>
      </w:tr>
      <w:tr>
        <w:trPr>
          <w:trHeight w:val="162"/>
        </w:trPr>
        <w:tc>
          <w:tcPr>
            <w:tcW w:w="8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162"/>
        </w:trPr>
        <w:tc>
          <w:tcPr>
            <w:tcW w:w="8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Interest expense (net of capitalized interest of $1 and $5, respectively)</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142"/>
        </w:trPr>
        <w:tc>
          <w:tcPr>
            <w:tcW w:w="8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142"/>
        </w:trPr>
        <w:tc>
          <w:tcPr>
            <w:tcW w:w="8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PAA</w:t>
            </w: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COMMON UNIT (NOTE 4):</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Net income allocated to common unitholders — Basic and Diluted</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 weighted average common units outstanding</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Basic and diluted net income per common unit</w:t>
            </w: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r>
      <w:tr>
        <w:trPr>
          <w:trHeight w:val="21"/>
        </w:trPr>
        <w:tc>
          <w:tcPr>
            <w:tcW w:w="8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60" w:right="22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216"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183"/>
        </w:trPr>
        <w:tc>
          <w:tcPr>
            <w:tcW w:w="8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income attributable to noncontrolling interests</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PAA</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ind w:left="90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0"/>
              </w:rPr>
              <w:t>(642)</w:t>
            </w:r>
          </w:p>
        </w:tc>
        <w:tc>
          <w:tcPr>
            <w:tcW w:w="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0"/>
              </w:rPr>
              <w:t>(3)</w:t>
            </w: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Unrealized gain on hedges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period activity</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0"/>
              </w:rPr>
              <w:t>(602)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ind w:left="88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5"/>
              </w:rPr>
              <w:t>(657)</w:t>
            </w:r>
          </w:p>
        </w:tc>
        <w:tc>
          <w:tcPr>
            <w:tcW w:w="52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(3)</w:t>
            </w:r>
          </w:p>
        </w:tc>
        <w:tc>
          <w:tcPr>
            <w:tcW w:w="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Unrealized gain on hedges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period activity</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5"/>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6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183"/>
        </w:trPr>
        <w:tc>
          <w:tcPr>
            <w:tcW w:w="8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225</w:t>
            </w:r>
          </w:p>
        </w:tc>
        <w:tc>
          <w:tcPr>
            <w:tcW w:w="12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423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Reconciliation of net income to net cash provided by operating activities: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177</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(Gains)/losses on asset sales and asset impairments, net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Deferred income tax expense</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fair value of Preferred Distribution Rate Reset Option (Note 8)</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Equity earnings in unconsolidated entities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on earnings from unconsolidated entities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Other</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assets and liabilities, net of acquisitions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10"/>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Net cash provided by operating activities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w:t>
            </w:r>
          </w:p>
        </w:tc>
      </w:tr>
      <w:tr>
        <w:trPr>
          <w:trHeight w:val="88"/>
        </w:trPr>
        <w:tc>
          <w:tcPr>
            <w:tcW w:w="82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Additions to property, equipment and other</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sales of assets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paid for purchases of linefill</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investing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Net cash used in investing activities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r>
      <w:tr>
        <w:trPr>
          <w:trHeight w:val="88"/>
        </w:trPr>
        <w:tc>
          <w:tcPr>
            <w:tcW w:w="82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borrowings/(repayments) under commercial paper program (Note 6)</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Net repayments under senior secured hedged inventory facility (Note 6)</w:t>
            </w:r>
          </w:p>
        </w:tc>
        <w:tc>
          <w:tcPr>
            <w:tcW w:w="9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(166)</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of senior notes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7"/>
                <w:szCs w:val="17"/>
                <w:color w:val="auto"/>
              </w:rPr>
              <w:t>Repurchase of common units (Note 7)</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paid to Series A preferred unitholders (Note 7)</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Distributions paid to common unitholders (Note 7)</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paid to noncontrolling interests (Note 7)</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financing activities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r>
      <w:tr>
        <w:trPr>
          <w:trHeight w:val="210"/>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w:t>
            </w:r>
          </w:p>
        </w:tc>
      </w:tr>
      <w:tr>
        <w:trPr>
          <w:trHeight w:val="88"/>
        </w:trPr>
        <w:tc>
          <w:tcPr>
            <w:tcW w:w="8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translation adjustment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08"/>
        </w:trPr>
        <w:tc>
          <w:tcPr>
            <w:tcW w:w="8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 and restricted cash</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and restricted cash, beginning of period</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r>
      <w:tr>
        <w:trPr>
          <w:trHeight w:val="23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and restricted cash, end of period</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Interest, net of amounts capitalized</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taxes, net of amounts refunded</w:t>
            </w: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Limited Partners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Partners’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80" w:type="dxa"/>
            <w:vAlign w:val="bottom"/>
            <w:gridSpan w:val="5"/>
            <w:vMerge w:val="restart"/>
          </w:tcPr>
          <w:p>
            <w:pPr>
              <w:jc w:val="right"/>
              <w:ind w:right="144"/>
              <w:spacing w:after="0"/>
              <w:rPr>
                <w:sz w:val="20"/>
                <w:szCs w:val="20"/>
                <w:color w:val="auto"/>
              </w:rPr>
            </w:pPr>
            <w:r>
              <w:rPr>
                <w:rFonts w:ascii="Arial" w:cs="Arial" w:eastAsia="Arial" w:hAnsi="Arial"/>
                <w:sz w:val="14"/>
                <w:szCs w:val="14"/>
                <w:b w:val="1"/>
                <w:bCs w:val="1"/>
                <w:color w:val="auto"/>
              </w:rPr>
              <w:t>Preferred Unitholders</w:t>
            </w: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vMerge w:val="restart"/>
          </w:tcPr>
          <w:p>
            <w:pPr>
              <w:jc w:val="center"/>
              <w:ind w:right="160"/>
              <w:spacing w:after="0" w:line="122"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restart"/>
          </w:tcPr>
          <w:p>
            <w:pPr>
              <w:jc w:val="center"/>
              <w:ind w:right="1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jc w:val="right"/>
              <w:ind w:right="18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gridSpan w:val="2"/>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Series A</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9"/>
              </w:rPr>
              <w:t>Series B</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Unitholders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Interests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7"/>
          </w:tcPr>
          <w:p>
            <w:pPr>
              <w:ind w:left="80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66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787</w:t>
            </w:r>
          </w:p>
        </w:tc>
        <w:tc>
          <w:tcPr>
            <w:tcW w:w="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2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2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Distributions (Note 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Repurchase of common units (Note 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787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Limited Partners</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Partners’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80" w:type="dxa"/>
            <w:vAlign w:val="bottom"/>
            <w:gridSpan w:val="5"/>
            <w:vMerge w:val="restart"/>
          </w:tcPr>
          <w:p>
            <w:pPr>
              <w:jc w:val="right"/>
              <w:ind w:right="184"/>
              <w:spacing w:after="0"/>
              <w:rPr>
                <w:sz w:val="20"/>
                <w:szCs w:val="20"/>
                <w:color w:val="auto"/>
              </w:rPr>
            </w:pPr>
            <w:r>
              <w:rPr>
                <w:rFonts w:ascii="Arial" w:cs="Arial" w:eastAsia="Arial" w:hAnsi="Arial"/>
                <w:sz w:val="14"/>
                <w:szCs w:val="14"/>
                <w:b w:val="1"/>
                <w:bCs w:val="1"/>
                <w:color w:val="auto"/>
              </w:rPr>
              <w:t>Preferred Unitholders</w:t>
            </w: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Capital Excluding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w w:val="94"/>
              </w:rPr>
              <w:t>Noncontrolling</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jc w:val="right"/>
              <w:ind w:right="20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8"/>
              </w:rPr>
              <w:t>Partners’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Series A</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Series B</w:t>
            </w: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Unitholders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rPr>
              <w:t>(unaudited)</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68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787</w:t>
            </w:r>
          </w:p>
        </w:tc>
        <w:tc>
          <w:tcPr>
            <w:tcW w:w="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2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2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373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422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423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Repurchase of common units (Note 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100" w:type="dxa"/>
            <w:vAlign w:val="bottom"/>
          </w:tcPr>
          <w:p>
            <w:pPr>
              <w:ind w:left="100"/>
              <w:spacing w:after="0" w:line="176" w:lineRule="exact"/>
              <w:rPr>
                <w:sz w:val="20"/>
                <w:szCs w:val="20"/>
                <w:color w:val="auto"/>
              </w:rPr>
            </w:pPr>
            <w:r>
              <w:rPr>
                <w:rFonts w:ascii="Arial" w:cs="Arial" w:eastAsia="Arial" w:hAnsi="Arial"/>
                <w:sz w:val="18"/>
                <w:szCs w:val="18"/>
                <w:color w:val="auto"/>
              </w:rPr>
              <w:t>Contributions from noncontrolling</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68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and conducted through two operating segments: Crude Oil and NGL. See Note 11 for further discussion of our operating segments.</w:t>
      </w:r>
    </w:p>
    <w:p>
      <w:pPr>
        <w:spacing w:after="0" w:line="192"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Our non-economic general partner interest is held by PAA GP LLC (“PAA GP”), a Delaware limited liability company, whose sole member is Plains AAP, L.P. (“AAP”), a Delaware limited partnership. In addition to its ownership of PAA GP, as of March 31, 2022, AAP also owned a limited partner interest in us through its ownership of approximately 241.5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March 31, 2022, owned an approximate 81% limited partner interest in AAP. PAA GP Holdings LLC (“PAGP GP”) is the general partner of PAGP.</w:t>
      </w:r>
    </w:p>
    <w:p>
      <w:pPr>
        <w:spacing w:after="0" w:line="17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2021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2021 was derived from audited financial statements, but does not include all disclosures required by GAAP. The results of operations for the three months ended March 31, 2022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including the reclassifications discussed below.</w:t>
      </w:r>
    </w:p>
    <w:p>
      <w:pPr>
        <w:spacing w:after="0" w:line="19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of Prior Period Information</w:t>
      </w:r>
    </w:p>
    <w:p>
      <w:pPr>
        <w:spacing w:after="0" w:line="25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During the fourth quarter of 2021, we effected changes in the primary financial information provided to our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See Note 11 for further discussion of our operating segments. In connection with this change, we changed the presentation of Revenues on our Condensed Consolidated Statements of Operations. “Product sales revenues” include amounts that were previously presented as “Supply and Logistics segment revenues,” while “Services revenues” includes amounts previously presented as “Transportation segment revenues” and “Facilities segment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Sheets that sum to the total of the amounts shown on our Condensed Consolidated Statements of Cash Flows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86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Restricted cash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8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cash and cash equivalents and restricted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87"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Included in “Other current assets” on our Condensed Consolidated Balance Sheets.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Except as discussed below and in our 2021 Annual Report on Form 10-K, there have been no new accounting pronouncements that have become effective or have been issued during the three months ended March 31, 2022 that are of significance or potential significance to us.</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August 2020, the FASB issued ASU 2020-06, Debt—Debt with Conversion and Other Options (Subtopic 470-20) and Derivatives and Hedging —Contracts in Entity’s Own Equity (Subtopic 815-40): Accounting for Convertible Instruments and Contracts in an Entity’s Own Equity, which simplifies accounting for certain financial instruments with characteristics of liabilities 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adopted this guidance effective January 1, 2022, and our adoption did not have a material impact on our financial position, results of operations or cash flows.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disaggregate our revenues by segment and type of activity. These categories depict how the nature, amount, timing and uncertainty of revenues and cash flows are affected by economic factors. See Note 3 to our Consolidated Financial Statements included in Part IV of our 2021 Annual Report on Form 10-K for additional information regarding our types of revenues and policies for revenue recognition.</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Revenues from Contracts with Customers. </w:t>
      </w:r>
      <w:r>
        <w:rPr>
          <w:rFonts w:ascii="Arial" w:cs="Arial" w:eastAsia="Arial" w:hAnsi="Arial"/>
          <w:sz w:val="18"/>
          <w:szCs w:val="18"/>
          <w:color w:val="auto"/>
        </w:rPr>
        <w:t>The following tables present our revenues from contracts with customers disaggregated by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activity (in millions):</w:t>
      </w:r>
    </w:p>
    <w:p>
      <w:pPr>
        <w:spacing w:after="0" w:line="219"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Crude Oil segment revenues from contracts with customers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Sales</w:t>
            </w:r>
          </w:p>
        </w:tc>
        <w:tc>
          <w:tcPr>
            <w:tcW w:w="860" w:type="dxa"/>
            <w:vAlign w:val="bottom"/>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12,857</w:t>
            </w:r>
          </w:p>
        </w:tc>
        <w:tc>
          <w:tcPr>
            <w:tcW w:w="12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7,726</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Transportation</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Terminalling, Storage and Other</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Crude Oil segment revenues from contracts with customers</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13,102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8240" w:type="dxa"/>
            <w:vAlign w:val="bottom"/>
          </w:tcPr>
          <w:p>
            <w:pPr>
              <w:spacing w:after="0"/>
              <w:rPr>
                <w:sz w:val="24"/>
                <w:szCs w:val="24"/>
                <w:color w:val="auto"/>
              </w:rPr>
            </w:pPr>
          </w:p>
        </w:tc>
        <w:tc>
          <w:tcPr>
            <w:tcW w:w="244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24"/>
                <w:szCs w:val="24"/>
                <w:color w:val="auto"/>
              </w:rPr>
            </w:pPr>
          </w:p>
        </w:tc>
      </w:tr>
      <w:tr>
        <w:trPr>
          <w:trHeight w:val="188"/>
        </w:trPr>
        <w:tc>
          <w:tcPr>
            <w:tcW w:w="8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 segment revenues from contracts with customers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Sales</w:t>
            </w:r>
          </w:p>
        </w:tc>
        <w:tc>
          <w:tcPr>
            <w:tcW w:w="860" w:type="dxa"/>
            <w:vAlign w:val="bottom"/>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Transportation</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Terminalling, Storage and Other</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NGL segment revenues from contracts with customers</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 31, 2022</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86"/>
              </w:rPr>
              <w:t>879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13,981</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75"/>
              <w:spacing w:after="0"/>
              <w:rPr>
                <w:sz w:val="20"/>
                <w:szCs w:val="20"/>
                <w:color w:val="auto"/>
              </w:rPr>
            </w:pPr>
            <w:r>
              <w:rPr>
                <w:rFonts w:ascii="Arial" w:cs="Arial" w:eastAsia="Arial" w:hAnsi="Arial"/>
                <w:sz w:val="18"/>
                <w:szCs w:val="18"/>
                <w:color w:val="auto"/>
                <w:w w:val="95"/>
              </w:rPr>
              <w:t>(144)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86"/>
              </w:rPr>
              <w:t>735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13,814</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13,694</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00"/>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86"/>
              </w:rPr>
              <w:t>801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8,747</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75"/>
              <w:spacing w:after="0"/>
              <w:rPr>
                <w:sz w:val="20"/>
                <w:szCs w:val="20"/>
                <w:color w:val="auto"/>
              </w:rPr>
            </w:pPr>
            <w:r>
              <w:rPr>
                <w:rFonts w:ascii="Arial" w:cs="Arial" w:eastAsia="Arial" w:hAnsi="Arial"/>
                <w:sz w:val="18"/>
                <w:szCs w:val="18"/>
                <w:color w:val="auto"/>
                <w:w w:val="95"/>
              </w:rPr>
              <w:t>(162)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86"/>
              </w:rPr>
              <w:t>639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transport or throughput a minimum volume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3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Financial Statement Classification</w:t>
            </w: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3800" w:type="dxa"/>
            <w:vAlign w:val="bottom"/>
            <w:gridSpan w:val="3"/>
            <w:vMerge w:val="continue"/>
          </w:tcPr>
          <w:p>
            <w:pPr>
              <w:spacing w:after="0"/>
              <w:rPr>
                <w:sz w:val="16"/>
                <w:szCs w:val="16"/>
                <w:color w:val="auto"/>
              </w:rPr>
            </w:pPr>
          </w:p>
        </w:tc>
        <w:tc>
          <w:tcPr>
            <w:tcW w:w="1340" w:type="dxa"/>
            <w:vAlign w:val="bottom"/>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4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3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N/A</w:t>
            </w:r>
          </w:p>
        </w:tc>
        <w:tc>
          <w:tcPr>
            <w:tcW w:w="1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260" w:hanging="652"/>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Condensed Consolidated Financial Statements as we had not yet billed or collected such amounts.</w:t>
      </w:r>
    </w:p>
    <w:p>
      <w:pPr>
        <w:spacing w:after="0" w:line="283"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 in the liability balance associated with contracts with customers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4"/>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Amounts recognized as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March 31, 2022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rPr>
              <w:t>2027 and</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2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Terminalling, storage and other agreement revenues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76"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Short-term contracts and those with variable consideration, due to the election of practical expedients;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21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6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March 31, 2022 and December 31, 2021,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tbl>
      <w:tblPr>
        <w:tblLayout w:type="fixed"/>
        <w:tblInd w:w="0" w:type="dxa"/>
        <w:tblCellMar>
          <w:top w:w="0" w:type="dxa"/>
          <w:left w:w="0" w:type="dxa"/>
          <w:bottom w:w="0" w:type="dxa"/>
          <w:right w:w="0" w:type="dxa"/>
        </w:tblCellMar>
      </w:tblPr>
      <w:tr>
        <w:trPr>
          <w:trHeight w:val="144"/>
        </w:trPr>
        <w:tc>
          <w:tcPr>
            <w:tcW w:w="38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2"/>
                <w:szCs w:val="12"/>
                <w:color w:val="auto"/>
              </w:rPr>
            </w:pP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88"/>
              </w:rPr>
              <w:t>5,496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88"/>
              </w:rPr>
              <w:t>4,031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180" w:type="dxa"/>
            <w:vAlign w:val="bottom"/>
          </w:tcPr>
          <w:p>
            <w:pPr>
              <w:jc w:val="center"/>
              <w:ind w:left="536"/>
              <w:spacing w:after="0"/>
              <w:rPr>
                <w:sz w:val="20"/>
                <w:szCs w:val="20"/>
                <w:color w:val="auto"/>
              </w:rPr>
            </w:pPr>
            <w:r>
              <w:rPr>
                <w:rFonts w:ascii="Arial" w:cs="Arial" w:eastAsia="Arial" w:hAnsi="Arial"/>
                <w:sz w:val="18"/>
                <w:szCs w:val="18"/>
                <w:color w:val="auto"/>
                <w:w w:val="88"/>
              </w:rPr>
              <w:t>9,620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left="654"/>
              <w:spacing w:after="0"/>
              <w:rPr>
                <w:sz w:val="20"/>
                <w:szCs w:val="20"/>
                <w:color w:val="auto"/>
              </w:rPr>
            </w:pPr>
            <w:r>
              <w:rPr>
                <w:rFonts w:ascii="Arial" w:cs="Arial" w:eastAsia="Arial" w:hAnsi="Arial"/>
                <w:sz w:val="18"/>
                <w:szCs w:val="18"/>
                <w:color w:val="auto"/>
                <w:w w:val="88"/>
              </w:rPr>
              <w:t>5,126</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8"/>
                <w:szCs w:val="18"/>
                <w:color w:val="auto"/>
                <w:w w:val="94"/>
              </w:rPr>
              <w:t>(7,980)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4"/>
              </w:rPr>
              <w:t>(4,452)</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left="536"/>
              <w:spacing w:after="0"/>
              <w:rPr>
                <w:sz w:val="20"/>
                <w:szCs w:val="20"/>
                <w:color w:val="auto"/>
              </w:rPr>
            </w:pPr>
            <w:r>
              <w:rPr>
                <w:rFonts w:ascii="Arial" w:cs="Arial" w:eastAsia="Arial" w:hAnsi="Arial"/>
                <w:sz w:val="18"/>
                <w:szCs w:val="18"/>
                <w:color w:val="auto"/>
                <w:w w:val="88"/>
              </w:rPr>
              <w:t>7,136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88"/>
              </w:rPr>
              <w:t>4,705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22" w:lineRule="exact"/>
        <w:rPr>
          <w:rFonts w:ascii="Arial" w:cs="Arial" w:eastAsia="Arial" w:hAnsi="Arial"/>
          <w:sz w:val="22"/>
          <w:szCs w:val="22"/>
          <w:color w:val="auto"/>
          <w:vertAlign w:val="superscript"/>
        </w:rPr>
      </w:pPr>
    </w:p>
    <w:p>
      <w:pPr>
        <w:ind w:left="5540"/>
        <w:spacing w:after="0"/>
        <w:rPr>
          <w:rFonts w:ascii="Arial" w:cs="Arial" w:eastAsia="Arial" w:hAnsi="Arial"/>
          <w:sz w:val="22"/>
          <w:szCs w:val="22"/>
          <w:color w:val="auto"/>
          <w:vertAlign w:val="superscript"/>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Common Unit</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calculate basic and diluted net income per common unit by dividing net income attributable to PAA (after deducting amounts allocated to the preferred unitholders and participating securities) by the basic and diluted weighted average number of common units outstanding during the period. Participating securities include equity-indexed compensation plan awards that have vested distribution equivalent rights, which entitle the grantee to a cash payment equal to the cash distribution paid on our outstanding common units.</w:t>
      </w:r>
    </w:p>
    <w:p>
      <w:pPr>
        <w:spacing w:after="0" w:line="21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and Note 18 to our Consolidated Financial Statements included in Part IV of our 2021 Annual Report on Form 10-K for a discussion of our Series A preferred units and equity-indexed compensation plan awards. When applying the if-converted method prescribed by FASB guidance, the possible conversion of approximately 71 million Series A preferred units, on a weighted-average basis, were excluded from the calculation of diluted net income per common unit for the three months ended March 31, 2022 and 2021 as the effect was antidilutive for both periods.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were deemed to be dilutive during the period were reduced by a hypothetical common unit repurchase based on the remaining unamortized fair value, as prescribed by the treasury stock method in guidance issued by the FASB. For the three months ended March 31, 2022, approximately 0.7 million equity-indexed compensation plan awards, on a weighted-average basis, were dilutive, but did not change the presentation of diluted net income per common unit or diluted weighted average common units outstanding. For the three months ended March 31, 2021, there were no potentially dilutive equity-indexed compensation awards as a result of the hypothetical common unit repurchase.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unit (in millions, except per unit data):</w:t>
      </w:r>
    </w:p>
    <w:p>
      <w:pPr>
        <w:spacing w:after="0" w:line="27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13335</wp:posOffset>
            </wp:positionV>
            <wp:extent cx="18859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Common Unit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PAA</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Distributions to Series A preferred unitholders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Distributions to Series B preferred unitholders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Distributions to participating securities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20" w:type="dxa"/>
            <w:vAlign w:val="bottom"/>
          </w:tcPr>
          <w:p>
            <w:pPr>
              <w:spacing w:after="0"/>
              <w:rPr>
                <w:sz w:val="21"/>
                <w:szCs w:val="21"/>
                <w:color w:val="auto"/>
              </w:rPr>
            </w:pPr>
          </w:p>
        </w:tc>
        <w:tc>
          <w:tcPr>
            <w:tcW w:w="8240" w:type="dxa"/>
            <w:vAlign w:val="bottom"/>
            <w:tcBorders>
              <w:top w:val="single" w:sz="8" w:color="CCEEFF"/>
              <w:bottom w:val="single" w:sz="8" w:color="CCEEFF"/>
            </w:tcBorders>
            <w:gridSpan w:val="2"/>
            <w:shd w:val="clear" w:color="auto" w:fill="CCEEFF"/>
          </w:tcPr>
          <w:p>
            <w:pPr>
              <w:ind w:left="180"/>
              <w:spacing w:after="0" w:line="223" w:lineRule="exact"/>
              <w:rPr>
                <w:sz w:val="20"/>
                <w:szCs w:val="20"/>
                <w:color w:val="auto"/>
              </w:rPr>
            </w:pPr>
            <w:r>
              <w:rPr>
                <w:rFonts w:ascii="Arial" w:cs="Arial" w:eastAsia="Arial" w:hAnsi="Arial"/>
                <w:sz w:val="18"/>
                <w:szCs w:val="18"/>
                <w:color w:val="auto"/>
              </w:rPr>
              <w:t xml:space="preserve">Net income allocated to common unitholders </w:t>
            </w:r>
            <w:r>
              <w:rPr>
                <w:rFonts w:ascii="Arial" w:cs="Arial" w:eastAsia="Arial" w:hAnsi="Arial"/>
                <w:sz w:val="23"/>
                <w:szCs w:val="23"/>
                <w:color w:val="auto"/>
                <w:vertAlign w:val="superscript"/>
              </w:rPr>
              <w:t>(1)</w:t>
            </w:r>
          </w:p>
        </w:tc>
        <w:tc>
          <w:tcPr>
            <w:tcW w:w="940" w:type="dxa"/>
            <w:vAlign w:val="bottom"/>
            <w:tcBorders>
              <w:top w:val="single" w:sz="8" w:color="auto"/>
              <w:bottom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common units outstanding</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56"/>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5"/>
        </w:trPr>
        <w:tc>
          <w:tcPr>
            <w:tcW w:w="20" w:type="dxa"/>
            <w:vAlign w:val="bottom"/>
          </w:tcPr>
          <w:p>
            <w:pPr>
              <w:spacing w:after="0"/>
              <w:rPr>
                <w:sz w:val="21"/>
                <w:szCs w:val="21"/>
                <w:color w:val="auto"/>
              </w:rPr>
            </w:pPr>
          </w:p>
        </w:tc>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common unit</w:t>
            </w: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2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4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121" w:lineRule="exact"/>
        <w:rPr>
          <w:sz w:val="20"/>
          <w:szCs w:val="20"/>
          <w:color w:val="auto"/>
        </w:rPr>
      </w:pPr>
    </w:p>
    <w:p>
      <w:pPr>
        <w:ind w:left="660" w:right="80" w:hanging="652"/>
        <w:spacing w:after="0" w:line="238"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Long-term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linefill and long-term inventory consisted of the following (barrels in thousands and carrying value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4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w w:val="94"/>
              </w:rPr>
              <w:t>Price/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6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1"/>
                <w:szCs w:val="11"/>
                <w:color w:val="auto"/>
              </w:rPr>
            </w:pPr>
          </w:p>
        </w:tc>
        <w:tc>
          <w:tcPr>
            <w:tcW w:w="74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174"/>
              <w:spacing w:after="0" w:line="135"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1"/>
              </w:rPr>
              <w:t xml:space="preserve">Unit </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54"/>
              <w:spacing w:after="0" w:line="189" w:lineRule="exact"/>
              <w:rPr>
                <w:sz w:val="20"/>
                <w:szCs w:val="20"/>
                <w:color w:val="auto"/>
              </w:rPr>
            </w:pPr>
            <w:r>
              <w:rPr>
                <w:rFonts w:ascii="Arial" w:cs="Arial" w:eastAsia="Arial" w:hAnsi="Arial"/>
                <w:sz w:val="14"/>
                <w:szCs w:val="14"/>
                <w:b w:val="1"/>
                <w:bCs w:val="1"/>
                <w:color w:val="auto"/>
                <w:w w:val="96"/>
              </w:rPr>
              <w:t xml:space="preserve">Unit </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4,711</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89.15</w:t>
            </w:r>
          </w:p>
        </w:tc>
        <w:tc>
          <w:tcPr>
            <w:tcW w:w="14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gridSpan w:val="3"/>
          </w:tcPr>
          <w:p>
            <w:pPr>
              <w:ind w:left="62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right w:val="single" w:sz="8" w:color="auto"/>
            </w:tcBorders>
            <w:gridSpan w:val="2"/>
          </w:tcPr>
          <w:p>
            <w:pPr>
              <w:ind w:left="38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subtotal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Linefill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15,160</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57.52</w:t>
            </w:r>
          </w:p>
        </w:tc>
        <w:tc>
          <w:tcPr>
            <w:tcW w:w="14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1,667</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Linefill subtotal</w:t>
            </w: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Long-term inventory</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3,289</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45.75</w:t>
            </w:r>
          </w:p>
        </w:tc>
        <w:tc>
          <w:tcPr>
            <w:tcW w:w="14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inventory subtotal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340" w:hanging="652"/>
        <w:spacing w:after="0" w:line="227"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74" w:lineRule="exact"/>
        <w:rPr>
          <w:sz w:val="20"/>
          <w:szCs w:val="20"/>
          <w:color w:val="auto"/>
        </w:rPr>
      </w:pPr>
    </w:p>
    <w:p>
      <w:pPr>
        <w:ind w:left="8800"/>
        <w:spacing w:after="0"/>
        <w:tabs>
          <w:tab w:leader="none" w:pos="101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ind w:left="8960"/>
        <w:spacing w:after="0"/>
        <w:tabs>
          <w:tab w:leader="none" w:pos="103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ectPr>
          <w:pgSz w:w="11900" w:h="16838" w:orient="portrait"/>
          <w:cols w:equalWidth="0" w:num="1">
            <w:col w:w="11220"/>
          </w:cols>
          <w:pgMar w:left="320" w:top="125" w:right="359" w:bottom="1440" w:gutter="0" w:footer="0" w:header="0"/>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Commercial paper notes, bearing a weighted-average interest rate of 0.8%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71062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notes:</w:t>
      </w:r>
    </w:p>
    <w:p>
      <w:pPr>
        <w:ind w:left="160"/>
        <w:spacing w:after="0" w:line="228" w:lineRule="auto"/>
        <w:rPr>
          <w:sz w:val="20"/>
          <w:szCs w:val="20"/>
          <w:color w:val="auto"/>
        </w:rPr>
      </w:pPr>
      <w:r>
        <w:rPr>
          <w:rFonts w:ascii="Arial" w:cs="Arial" w:eastAsia="Arial" w:hAnsi="Arial"/>
          <w:sz w:val="18"/>
          <w:szCs w:val="18"/>
          <w:color w:val="auto"/>
        </w:rPr>
        <w:t xml:space="preserve">3.65% senior notes due June 2022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-8255</wp:posOffset>
            </wp:positionV>
            <wp:extent cx="710628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2.85% senior notes due January 2023</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short-term debt</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40" w:right="800"/>
        <w:spacing w:after="0" w:line="289" w:lineRule="auto"/>
        <w:rPr>
          <w:sz w:val="20"/>
          <w:szCs w:val="20"/>
          <w:color w:val="auto"/>
        </w:rPr>
      </w:pPr>
      <w:r>
        <w:rPr>
          <w:rFonts w:ascii="Arial" w:cs="Arial" w:eastAsia="Arial" w:hAnsi="Arial"/>
          <w:sz w:val="18"/>
          <w:szCs w:val="18"/>
          <w:color w:val="auto"/>
        </w:rPr>
        <w:t>Senior notes, net of unamortized discounts and debt issuance costs of $52 and $54, respectively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-170180</wp:posOffset>
            </wp:positionV>
            <wp:extent cx="710628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4599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20"/>
        <w:spacing w:after="0"/>
        <w:tabs>
          <w:tab w:leader="none" w:pos="980" w:val="left"/>
          <w:tab w:leader="none" w:pos="1440" w:val="left"/>
          <w:tab w:leader="none" w:pos="2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382</w:t>
        <w:tab/>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750</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400—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4"/>
        </w:trPr>
        <w:tc>
          <w:tcPr>
            <w:tcW w:w="134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674"/>
        </w:trPr>
        <w:tc>
          <w:tcPr>
            <w:tcW w:w="1340" w:type="dxa"/>
            <w:vAlign w:val="bottom"/>
          </w:tcPr>
          <w:p>
            <w:pPr>
              <w:jc w:val="right"/>
              <w:spacing w:after="0"/>
              <w:rPr>
                <w:sz w:val="20"/>
                <w:szCs w:val="20"/>
                <w:color w:val="auto"/>
              </w:rPr>
            </w:pPr>
            <w:r>
              <w:rPr>
                <w:rFonts w:ascii="Arial" w:cs="Arial" w:eastAsia="Arial" w:hAnsi="Arial"/>
                <w:sz w:val="18"/>
                <w:szCs w:val="18"/>
                <w:color w:val="auto"/>
              </w:rPr>
              <w:t>7,931</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8,329</w:t>
            </w:r>
          </w:p>
        </w:tc>
      </w:tr>
    </w:tbl>
    <w:p>
      <w:pPr>
        <w:ind w:left="2520" w:hanging="1437"/>
        <w:spacing w:after="0"/>
        <w:tabs>
          <w:tab w:leader="none" w:pos="2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69</w:t>
      </w:r>
    </w:p>
    <w:p>
      <w:pPr>
        <w:spacing w:after="0" w:line="35"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7,986</w:t>
      </w:r>
      <w:r>
        <w:rPr>
          <w:rFonts w:ascii="Arial" w:cs="Arial" w:eastAsia="Arial" w:hAnsi="Arial"/>
          <w:sz w:val="15"/>
          <w:szCs w:val="15"/>
          <w:color w:val="auto"/>
        </w:rPr>
        <w:t>8,398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14605</wp:posOffset>
            </wp:positionV>
            <wp:extent cx="8489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89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-139065</wp:posOffset>
            </wp:positionV>
            <wp:extent cx="17659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7" w:lineRule="exact"/>
        <w:rPr>
          <w:sz w:val="20"/>
          <w:szCs w:val="20"/>
          <w:color w:val="auto"/>
        </w:rPr>
      </w:pPr>
    </w:p>
    <w:p>
      <w:pPr>
        <w:ind w:left="20"/>
        <w:spacing w:after="0"/>
        <w:tabs>
          <w:tab w:leader="none" w:pos="840" w:val="left"/>
          <w:tab w:leader="none" w:pos="1440" w:val="left"/>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8,886</w:t>
        <w:tab/>
        <w:t>$</w:t>
      </w:r>
      <w:r>
        <w:rPr>
          <w:sz w:val="20"/>
          <w:szCs w:val="20"/>
          <w:color w:val="auto"/>
        </w:rPr>
        <w:tab/>
      </w:r>
      <w:r>
        <w:rPr>
          <w:rFonts w:ascii="Arial" w:cs="Arial" w:eastAsia="Arial" w:hAnsi="Arial"/>
          <w:sz w:val="15"/>
          <w:szCs w:val="15"/>
          <w:color w:val="auto"/>
        </w:rPr>
        <w:t>9,220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17659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7720" w:space="720"/>
            <w:col w:w="278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0" w:right="60" w:hanging="11"/>
        <w:spacing w:after="0" w:line="263" w:lineRule="auto"/>
        <w:rPr>
          <w:sz w:val="20"/>
          <w:szCs w:val="20"/>
          <w:color w:val="auto"/>
        </w:rPr>
      </w:pPr>
      <w:r>
        <w:rPr>
          <w:rFonts w:ascii="Arial" w:cs="Arial" w:eastAsia="Arial" w:hAnsi="Arial"/>
          <w:sz w:val="18"/>
          <w:szCs w:val="18"/>
          <w:color w:val="auto"/>
        </w:rPr>
        <w:t>We classified these commercial paper notes as short-term as of March 31, 2022, as these notes were primarily designated as working capital borrowings, were required to be repaid within one year and were primarily for hedged NGL and crude oil inventory and NYMEX and ICE margin deposits.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These senior notes were redeemed on March 1, 2022.</w:t>
      </w:r>
    </w:p>
    <w:p>
      <w:pPr>
        <w:spacing w:after="0" w:line="117" w:lineRule="exact"/>
        <w:rPr>
          <w:sz w:val="20"/>
          <w:szCs w:val="20"/>
          <w:color w:val="auto"/>
        </w:rPr>
      </w:pPr>
    </w:p>
    <w:p>
      <w:pPr>
        <w:ind w:left="20" w:hanging="11"/>
        <w:spacing w:after="0" w:line="254" w:lineRule="auto"/>
        <w:rPr>
          <w:sz w:val="20"/>
          <w:szCs w:val="20"/>
          <w:color w:val="auto"/>
        </w:rPr>
      </w:pPr>
      <w:r>
        <w:rPr>
          <w:rFonts w:ascii="Arial" w:cs="Arial" w:eastAsia="Arial" w:hAnsi="Arial"/>
          <w:sz w:val="18"/>
          <w:szCs w:val="18"/>
          <w:color w:val="auto"/>
        </w:rPr>
        <w:t>Our fixed-rate senior notes had a face value of approximately $8.4 billion and $9.1 billion as of March 31, 2022 and December 31, 2021, respectively. We estimated the aggregate fair value of these notes as of March 31, 2022 and December 31, 2021 to be approximately $8.4 billion and $9.9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approximates fair value as interest rates reflect current market rates. The fair value estimates for our senior notes and commercial paper notes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Total borrowings under our credit facilities and commercial paper program for the three months ended March 31, 2022 and 2021 were approximately $5.6 billion and $14.2 billion, respectively. Total repayments under our credit facilities and commercial paper program were approximately $5.2 billion and $14.8 billion for the three months ended March 31, 2022 and 2021, respectively. The variance in total gross borrowings and repayments is impacted by various business and financial factors including, but not limited to, the timing, average term and method of general partnership borrowing activities.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2022, we redeemed our 3.65%, $750 million senior notes due June 2022.</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March 31, 2022 and December 31, 2021, we had outstanding letters of credit of $34 million and $98 million, respectively.</w:t>
      </w:r>
    </w:p>
    <w:p>
      <w:pPr>
        <w:sectPr>
          <w:pgSz w:w="11900" w:h="16838" w:orient="portrait"/>
          <w:cols w:equalWidth="0" w:num="1">
            <w:col w:w="11240"/>
          </w:cols>
          <w:pgMar w:left="320" w:top="125" w:right="33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the activity for our preferred and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527685</wp:posOffset>
            </wp:positionV>
            <wp:extent cx="709803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Outstanding at December 31, 2021</w:t>
      </w:r>
    </w:p>
    <w:p>
      <w:pPr>
        <w:spacing w:after="0" w:line="23" w:lineRule="exact"/>
        <w:rPr>
          <w:sz w:val="20"/>
          <w:szCs w:val="20"/>
          <w:color w:val="auto"/>
        </w:rPr>
      </w:pPr>
    </w:p>
    <w:p>
      <w:pPr>
        <w:ind w:left="380" w:right="20" w:hanging="161"/>
        <w:spacing w:after="0" w:line="234" w:lineRule="auto"/>
        <w:rPr>
          <w:sz w:val="20"/>
          <w:szCs w:val="20"/>
          <w:color w:val="auto"/>
        </w:rPr>
      </w:pPr>
      <w:r>
        <w:rPr>
          <w:rFonts w:ascii="Arial" w:cs="Arial" w:eastAsia="Arial" w:hAnsi="Arial"/>
          <w:sz w:val="18"/>
          <w:szCs w:val="18"/>
          <w:color w:val="auto"/>
        </w:rPr>
        <w:t>Repurchase and cancellation of common units under the Common Equity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09803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ind w:left="60" w:right="1180" w:firstLine="162"/>
        <w:spacing w:after="0" w:line="339" w:lineRule="auto"/>
        <w:rPr>
          <w:sz w:val="20"/>
          <w:szCs w:val="20"/>
          <w:color w:val="auto"/>
        </w:rPr>
      </w:pPr>
      <w:r>
        <w:rPr>
          <w:rFonts w:ascii="Arial" w:cs="Arial" w:eastAsia="Arial" w:hAnsi="Arial"/>
          <w:sz w:val="18"/>
          <w:szCs w:val="18"/>
          <w:color w:val="auto"/>
        </w:rPr>
        <w:t>Issuances of common units under equity-indexed compensation plans Outstanding at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357505</wp:posOffset>
            </wp:positionV>
            <wp:extent cx="709803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Arial" w:cs="Arial" w:eastAsia="Arial" w:hAnsi="Arial"/>
          <w:sz w:val="18"/>
          <w:szCs w:val="18"/>
          <w:color w:val="auto"/>
        </w:rPr>
        <w:t>Outstanding at December 31, 2020</w:t>
      </w:r>
    </w:p>
    <w:p>
      <w:pPr>
        <w:spacing w:after="0" w:line="23" w:lineRule="exact"/>
        <w:rPr>
          <w:sz w:val="20"/>
          <w:szCs w:val="20"/>
          <w:color w:val="auto"/>
        </w:rPr>
      </w:pPr>
    </w:p>
    <w:p>
      <w:pPr>
        <w:ind w:left="400" w:hanging="161"/>
        <w:spacing w:after="0" w:line="234" w:lineRule="auto"/>
        <w:rPr>
          <w:sz w:val="20"/>
          <w:szCs w:val="20"/>
          <w:color w:val="auto"/>
        </w:rPr>
      </w:pPr>
      <w:r>
        <w:rPr>
          <w:rFonts w:ascii="Arial" w:cs="Arial" w:eastAsia="Arial" w:hAnsi="Arial"/>
          <w:sz w:val="18"/>
          <w:szCs w:val="18"/>
          <w:color w:val="auto"/>
        </w:rPr>
        <w:t>Repurchase and cancellation of common units under the Common Equity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wp:posOffset>
            </wp:positionV>
            <wp:extent cx="709803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ind w:left="80" w:right="1200" w:firstLine="122"/>
        <w:spacing w:after="0" w:line="339" w:lineRule="auto"/>
        <w:rPr>
          <w:sz w:val="20"/>
          <w:szCs w:val="20"/>
          <w:color w:val="auto"/>
        </w:rPr>
      </w:pPr>
      <w:r>
        <w:rPr>
          <w:rFonts w:ascii="Arial" w:cs="Arial" w:eastAsia="Arial" w:hAnsi="Arial"/>
          <w:sz w:val="18"/>
          <w:szCs w:val="18"/>
          <w:color w:val="auto"/>
        </w:rPr>
        <w:t>Issuances of common units under equity-indexed compensation plans Outstanding at March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Limited Partners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92"/>
              </w:rPr>
              <w:t>Series A</w:t>
            </w:r>
          </w:p>
        </w:tc>
        <w:tc>
          <w:tcPr>
            <w:tcW w:w="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89"/>
              </w:rPr>
              <w:t>Series B</w:t>
            </w:r>
          </w:p>
        </w:tc>
        <w:tc>
          <w:tcPr>
            <w:tcW w:w="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jc w:val="right"/>
              <w:ind w:right="219"/>
              <w:spacing w:after="0"/>
              <w:rPr>
                <w:sz w:val="20"/>
                <w:szCs w:val="20"/>
                <w:color w:val="auto"/>
              </w:rPr>
            </w:pPr>
            <w:r>
              <w:rPr>
                <w:rFonts w:ascii="Arial" w:cs="Arial" w:eastAsia="Arial" w:hAnsi="Arial"/>
                <w:sz w:val="14"/>
                <w:szCs w:val="14"/>
                <w:b w:val="1"/>
                <w:bCs w:val="1"/>
                <w:color w:val="auto"/>
              </w:rPr>
              <w:t>Common Units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Preferred Units</w:t>
            </w:r>
          </w:p>
        </w:tc>
        <w:tc>
          <w:tcPr>
            <w:tcW w:w="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Preferred Units</w:t>
            </w:r>
          </w:p>
        </w:tc>
        <w:tc>
          <w:tcPr>
            <w:tcW w:w="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704,991,540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(2,375,299)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51,937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702,668,178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Series A</w:t>
            </w:r>
          </w:p>
        </w:tc>
        <w:tc>
          <w:tcPr>
            <w:tcW w:w="20" w:type="dxa"/>
            <w:vAlign w:val="bottom"/>
          </w:tcPr>
          <w:p>
            <w:pPr>
              <w:spacing w:after="0"/>
              <w:rPr>
                <w:sz w:val="11"/>
                <w:szCs w:val="11"/>
                <w:color w:val="auto"/>
              </w:rPr>
            </w:pPr>
          </w:p>
        </w:tc>
        <w:tc>
          <w:tcPr>
            <w:tcW w:w="16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Series B</w:t>
            </w:r>
          </w:p>
        </w:tc>
        <w:tc>
          <w:tcPr>
            <w:tcW w:w="40" w:type="dxa"/>
            <w:vAlign w:val="bottom"/>
          </w:tcPr>
          <w:p>
            <w:pPr>
              <w:spacing w:after="0"/>
              <w:rPr>
                <w:sz w:val="11"/>
                <w:szCs w:val="11"/>
                <w:color w:val="auto"/>
              </w:rPr>
            </w:pPr>
          </w:p>
        </w:tc>
        <w:tc>
          <w:tcPr>
            <w:tcW w:w="15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Common Units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Preferred Units</w:t>
            </w:r>
          </w:p>
        </w:tc>
        <w:tc>
          <w:tcPr>
            <w:tcW w:w="20" w:type="dxa"/>
            <w:vAlign w:val="bottom"/>
          </w:tcPr>
          <w:p>
            <w:pPr>
              <w:spacing w:after="0"/>
              <w:rPr>
                <w:sz w:val="16"/>
                <w:szCs w:val="16"/>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Preferred Units</w:t>
            </w:r>
          </w:p>
        </w:tc>
        <w:tc>
          <w:tcPr>
            <w:tcW w:w="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71,090,468</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800,000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722,380,416</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25,431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722,055,847</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ectPr>
          <w:pgSz w:w="11900" w:h="16838" w:orient="portrait"/>
          <w:cols w:equalWidth="0" w:num="2">
            <w:col w:w="6400" w:space="20"/>
            <w:col w:w="4820"/>
          </w:cols>
          <w:pgMar w:left="320" w:top="125" w:right="339" w:bottom="1440" w:gutter="0" w:footer="0" w:header="0"/>
          <w:type w:val="continuous"/>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Equity Repurchase Program</w:t>
      </w:r>
    </w:p>
    <w:p>
      <w:pPr>
        <w:spacing w:after="0" w:line="23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We repurchased 2.4 million and 0.4 million common units under our Common Equity Repurchase Program (the “Program”) through open market purchases that settled during the three months ended March 31, 2022 and 2021, respectively, for a total purchase price of $25 million and $3 million, respectively, including commissions and fees. The repurchased common units were canceled immediately upon acquisition, as were the PAGP Class C shares held by us associated with the repurchased common units. At March 31, 2022, the remaining available capacity under the Program was</w:t>
      </w:r>
    </w:p>
    <w:p>
      <w:pPr>
        <w:spacing w:after="0" w:line="1" w:lineRule="exact"/>
        <w:rPr>
          <w:sz w:val="20"/>
          <w:szCs w:val="20"/>
          <w:color w:val="auto"/>
        </w:rPr>
      </w:pPr>
    </w:p>
    <w:p>
      <w:pPr>
        <w:ind w:right="820"/>
        <w:spacing w:after="0" w:line="260" w:lineRule="auto"/>
        <w:rPr>
          <w:sz w:val="20"/>
          <w:szCs w:val="20"/>
          <w:color w:val="auto"/>
        </w:rPr>
      </w:pPr>
      <w:r>
        <w:rPr>
          <w:rFonts w:ascii="Arial" w:cs="Arial" w:eastAsia="Arial" w:hAnsi="Arial"/>
          <w:sz w:val="18"/>
          <w:szCs w:val="18"/>
          <w:color w:val="auto"/>
        </w:rPr>
        <w:t>$247 million. See Note 12 to our Consolidated Financial Statements included in Part IV of our 2021 Annual Report on Form 10-K for additional information regarding the Program.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3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Series A Preferred Unit Distributions</w:t>
      </w:r>
      <w:r>
        <w:rPr>
          <w:rFonts w:ascii="Arial" w:cs="Arial" w:eastAsia="Arial" w:hAnsi="Arial"/>
          <w:sz w:val="18"/>
          <w:szCs w:val="18"/>
          <w:color w:val="auto"/>
        </w:rPr>
        <w:t>. The following table details distributions to our Series A preferred unitholders paid during or pertaining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three months of 2022 (in millions, except per unit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4"/>
                <w:szCs w:val="14"/>
                <w:b w:val="1"/>
                <w:bCs w:val="1"/>
                <w:color w:val="auto"/>
              </w:rPr>
              <w:t>Series A Preferred Unitholders</w:t>
            </w:r>
          </w:p>
        </w:tc>
      </w:tr>
      <w:tr>
        <w:trPr>
          <w:trHeight w:val="188"/>
        </w:trPr>
        <w:tc>
          <w:tcPr>
            <w:tcW w:w="786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6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May 13, 2022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29"/>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February 14, 2022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r>
      <w:tr>
        <w:trPr>
          <w:trHeight w:val="176"/>
        </w:trPr>
        <w:tc>
          <w:tcPr>
            <w:tcW w:w="3880" w:type="dxa"/>
            <w:vAlign w:val="bottom"/>
            <w:tcBorders>
              <w:bottom w:val="single" w:sz="8" w:color="auto"/>
            </w:tcBorders>
          </w:tcPr>
          <w:p>
            <w:pPr>
              <w:spacing w:after="0"/>
              <w:rPr>
                <w:sz w:val="15"/>
                <w:szCs w:val="15"/>
                <w:color w:val="auto"/>
              </w:rPr>
            </w:pPr>
          </w:p>
        </w:tc>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21" w:lineRule="exact"/>
        <w:rPr>
          <w:sz w:val="20"/>
          <w:szCs w:val="20"/>
          <w:color w:val="auto"/>
        </w:rPr>
      </w:pPr>
    </w:p>
    <w:p>
      <w:pPr>
        <w:ind w:left="660" w:right="80" w:hanging="652"/>
        <w:spacing w:after="0" w:line="267" w:lineRule="auto"/>
        <w:tabs>
          <w:tab w:leader="none" w:pos="64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April 29, 2022 for the period from January 1, 2022 through March 31, 2022. At March 31, 2022, such amount was accrued as distributions payable in “Other current liabilities” on our Condensed Consolidated Balance Sheet.</w:t>
      </w:r>
    </w:p>
    <w:p>
      <w:pPr>
        <w:spacing w:after="0" w:line="20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Series B Preferred Unit Distributions</w:t>
      </w:r>
      <w:r>
        <w:rPr>
          <w:rFonts w:ascii="Arial" w:cs="Arial" w:eastAsia="Arial" w:hAnsi="Arial"/>
          <w:sz w:val="17"/>
          <w:szCs w:val="17"/>
          <w:color w:val="auto"/>
        </w:rPr>
        <w:t>. Distributions on our Series B preferred units are payable semi-annually in arrears on the 15th day of May</w:t>
      </w:r>
      <w:r>
        <w:rPr>
          <w:rFonts w:ascii="Arial" w:cs="Arial" w:eastAsia="Arial" w:hAnsi="Arial"/>
          <w:sz w:val="17"/>
          <w:szCs w:val="17"/>
          <w:i w:val="1"/>
          <w:iCs w:val="1"/>
          <w:color w:val="auto"/>
        </w:rPr>
        <w:t xml:space="preserve"> </w:t>
      </w:r>
      <w:r>
        <w:rPr>
          <w:rFonts w:ascii="Arial" w:cs="Arial" w:eastAsia="Arial" w:hAnsi="Arial"/>
          <w:sz w:val="17"/>
          <w:szCs w:val="17"/>
          <w:color w:val="auto"/>
        </w:rPr>
        <w:t>and November. The following table details distributions paid to our Series B preferred unitholders (in millions, except per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4"/>
                <w:szCs w:val="14"/>
                <w:b w:val="1"/>
                <w:bCs w:val="1"/>
                <w:color w:val="auto"/>
              </w:rPr>
              <w:t>Series B Preferred Unitholders</w:t>
            </w:r>
          </w:p>
        </w:tc>
      </w:tr>
      <w:tr>
        <w:trPr>
          <w:trHeight w:val="188"/>
        </w:trPr>
        <w:tc>
          <w:tcPr>
            <w:tcW w:w="40" w:type="dxa"/>
            <w:vAlign w:val="bottom"/>
          </w:tcPr>
          <w:p>
            <w:pPr>
              <w:spacing w:after="0"/>
              <w:rPr>
                <w:sz w:val="16"/>
                <w:szCs w:val="16"/>
                <w:color w:val="auto"/>
              </w:rPr>
            </w:pPr>
          </w:p>
        </w:tc>
        <w:tc>
          <w:tcPr>
            <w:tcW w:w="7820" w:type="dxa"/>
            <w:vAlign w:val="bottom"/>
            <w:gridSpan w:val="3"/>
          </w:tcPr>
          <w:p>
            <w:pPr>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40" w:type="dxa"/>
            <w:vAlign w:val="bottom"/>
          </w:tcPr>
          <w:p>
            <w:pPr>
              <w:spacing w:after="0"/>
              <w:rPr>
                <w:sz w:val="19"/>
                <w:szCs w:val="19"/>
                <w:color w:val="auto"/>
              </w:rPr>
            </w:pPr>
          </w:p>
        </w:tc>
        <w:tc>
          <w:tcPr>
            <w:tcW w:w="7700" w:type="dxa"/>
            <w:vAlign w:val="bottom"/>
            <w:tcBorders>
              <w:top w:val="single" w:sz="8" w:color="auto"/>
            </w:tcBorders>
            <w:gridSpan w:val="2"/>
            <w:shd w:val="clear" w:color="auto" w:fill="CCEEFF"/>
          </w:tcPr>
          <w:p>
            <w:pPr>
              <w:spacing w:after="0" w:line="224" w:lineRule="exact"/>
              <w:rPr>
                <w:sz w:val="20"/>
                <w:szCs w:val="20"/>
                <w:color w:val="auto"/>
              </w:rPr>
            </w:pPr>
            <w:r>
              <w:rPr>
                <w:rFonts w:ascii="Arial" w:cs="Arial" w:eastAsia="Arial" w:hAnsi="Arial"/>
                <w:sz w:val="18"/>
                <w:szCs w:val="18"/>
                <w:color w:val="auto"/>
              </w:rPr>
              <w:t xml:space="preserve">May 16, 2022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24.5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30.625</w:t>
            </w:r>
          </w:p>
        </w:tc>
      </w:tr>
      <w:tr>
        <w:trPr>
          <w:trHeight w:val="175"/>
        </w:trPr>
        <w:tc>
          <w:tcPr>
            <w:tcW w:w="4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1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May 2, 2022 for the period from November 15, 2021 through May 14, 2022.</w:t>
      </w:r>
    </w:p>
    <w:p>
      <w:pPr>
        <w:spacing w:after="0" w:line="33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At March 31, 2022, approximately $18 million of accrued distributions payable to our Series B preferred unitholders was included in “Other current liabilities” on our Condensed Consolidated Balance Sheet.</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Common Unit Distributions</w:t>
      </w:r>
      <w:r>
        <w:rPr>
          <w:rFonts w:ascii="Arial" w:cs="Arial" w:eastAsia="Arial" w:hAnsi="Arial"/>
          <w:sz w:val="18"/>
          <w:szCs w:val="18"/>
          <w:color w:val="auto"/>
        </w:rPr>
        <w:t>. The following table details distributions to our common unitholders paid during or pertaining to the first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2022 (in millions, except per unit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6"/>
        </w:trPr>
        <w:tc>
          <w:tcPr>
            <w:tcW w:w="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Common Unitholders</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4"/>
                <w:szCs w:val="14"/>
                <w:b w:val="1"/>
                <w:bCs w:val="1"/>
                <w:color w:val="auto"/>
                <w:w w:val="92"/>
              </w:rPr>
              <w:t>Cash Distribution per</w:t>
            </w:r>
          </w:p>
        </w:tc>
      </w:tr>
      <w:tr>
        <w:trPr>
          <w:trHeight w:val="201"/>
        </w:trPr>
        <w:tc>
          <w:tcPr>
            <w:tcW w:w="40" w:type="dxa"/>
            <w:vAlign w:val="bottom"/>
          </w:tcPr>
          <w:p>
            <w:pPr>
              <w:spacing w:after="0"/>
              <w:rPr>
                <w:sz w:val="17"/>
                <w:szCs w:val="17"/>
                <w:color w:val="auto"/>
              </w:rPr>
            </w:pPr>
          </w:p>
        </w:tc>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100" w:type="dxa"/>
            <w:vAlign w:val="bottom"/>
          </w:tcPr>
          <w:p>
            <w:pPr>
              <w:jc w:val="right"/>
              <w:ind w:right="59"/>
              <w:spacing w:after="0"/>
              <w:rPr>
                <w:sz w:val="20"/>
                <w:szCs w:val="20"/>
                <w:color w:val="auto"/>
              </w:rPr>
            </w:pPr>
            <w:r>
              <w:rPr>
                <w:rFonts w:ascii="Arial" w:cs="Arial" w:eastAsia="Arial" w:hAnsi="Arial"/>
                <w:sz w:val="14"/>
                <w:szCs w:val="14"/>
                <w:b w:val="1"/>
                <w:bCs w:val="1"/>
                <w:color w:val="auto"/>
              </w:rPr>
              <w:t>Public</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 Cash Distribution</w:t>
            </w:r>
          </w:p>
        </w:tc>
        <w:tc>
          <w:tcPr>
            <w:tcW w:w="120" w:type="dxa"/>
            <w:vAlign w:val="bottom"/>
          </w:tcPr>
          <w:p>
            <w:pPr>
              <w:spacing w:after="0"/>
              <w:rPr>
                <w:sz w:val="17"/>
                <w:szCs w:val="17"/>
                <w:color w:val="auto"/>
              </w:rPr>
            </w:pPr>
          </w:p>
        </w:tc>
        <w:tc>
          <w:tcPr>
            <w:tcW w:w="1460" w:type="dxa"/>
            <w:vAlign w:val="bottom"/>
          </w:tcPr>
          <w:p>
            <w:pPr>
              <w:jc w:val="right"/>
              <w:ind w:right="279"/>
              <w:spacing w:after="0"/>
              <w:rPr>
                <w:sz w:val="20"/>
                <w:szCs w:val="20"/>
                <w:color w:val="auto"/>
              </w:rPr>
            </w:pPr>
            <w:r>
              <w:rPr>
                <w:rFonts w:ascii="Arial" w:cs="Arial" w:eastAsia="Arial" w:hAnsi="Arial"/>
                <w:sz w:val="14"/>
                <w:szCs w:val="14"/>
                <w:b w:val="1"/>
                <w:bCs w:val="1"/>
                <w:color w:val="auto"/>
              </w:rPr>
              <w:t>Common Unit</w:t>
            </w:r>
          </w:p>
        </w:tc>
      </w:tr>
      <w:tr>
        <w:trPr>
          <w:trHeight w:val="224"/>
        </w:trPr>
        <w:tc>
          <w:tcPr>
            <w:tcW w:w="40" w:type="dxa"/>
            <w:vAlign w:val="bottom"/>
          </w:tcPr>
          <w:p>
            <w:pPr>
              <w:spacing w:after="0"/>
              <w:rPr>
                <w:sz w:val="19"/>
                <w:szCs w:val="19"/>
                <w:color w:val="auto"/>
              </w:rPr>
            </w:pPr>
          </w:p>
        </w:tc>
        <w:tc>
          <w:tcPr>
            <w:tcW w:w="438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May 13, 2022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0.2175</w:t>
            </w:r>
          </w:p>
        </w:tc>
      </w:tr>
      <w:tr>
        <w:trPr>
          <w:trHeight w:val="230"/>
        </w:trPr>
        <w:tc>
          <w:tcPr>
            <w:tcW w:w="40" w:type="dxa"/>
            <w:vAlign w:val="bottom"/>
          </w:tcPr>
          <w:p>
            <w:pPr>
              <w:spacing w:after="0"/>
              <w:rPr>
                <w:sz w:val="19"/>
                <w:szCs w:val="19"/>
                <w:color w:val="auto"/>
              </w:rPr>
            </w:pPr>
          </w:p>
        </w:tc>
        <w:tc>
          <w:tcPr>
            <w:tcW w:w="4500" w:type="dxa"/>
            <w:vAlign w:val="bottom"/>
            <w:gridSpan w:val="3"/>
          </w:tcPr>
          <w:p>
            <w:pPr>
              <w:ind w:left="20"/>
              <w:spacing w:after="0"/>
              <w:rPr>
                <w:sz w:val="20"/>
                <w:szCs w:val="20"/>
                <w:color w:val="auto"/>
              </w:rPr>
            </w:pPr>
            <w:r>
              <w:rPr>
                <w:rFonts w:ascii="Arial" w:cs="Arial" w:eastAsia="Arial" w:hAnsi="Arial"/>
                <w:sz w:val="18"/>
                <w:szCs w:val="18"/>
                <w:color w:val="auto"/>
              </w:rPr>
              <w:t>February 14, 2022</w:t>
            </w:r>
          </w:p>
        </w:tc>
        <w:tc>
          <w:tcPr>
            <w:tcW w:w="1100" w:type="dxa"/>
            <w:vAlign w:val="bottom"/>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680" w:type="dxa"/>
            <w:vAlign w:val="bottom"/>
          </w:tcPr>
          <w:p>
            <w:pPr>
              <w:jc w:val="right"/>
              <w:ind w:right="47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0.1800</w:t>
            </w:r>
          </w:p>
        </w:tc>
      </w:tr>
      <w:tr>
        <w:trPr>
          <w:trHeight w:val="162"/>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12"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April 29, 2022 for the period from January 1, 2022 through March 31, 2022.</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22" w:lineRule="exact"/>
        <w:rPr>
          <w:rFonts w:ascii="Arial" w:cs="Arial" w:eastAsia="Arial" w:hAnsi="Arial"/>
          <w:sz w:val="22"/>
          <w:szCs w:val="22"/>
          <w:color w:val="auto"/>
          <w:vertAlign w:val="superscript"/>
        </w:rPr>
      </w:pPr>
    </w:p>
    <w:p>
      <w:pPr>
        <w:ind w:left="5540"/>
        <w:spacing w:after="0"/>
        <w:rPr>
          <w:rFonts w:ascii="Arial" w:cs="Arial" w:eastAsia="Arial" w:hAnsi="Arial"/>
          <w:sz w:val="22"/>
          <w:szCs w:val="22"/>
          <w:color w:val="auto"/>
          <w:vertAlign w:val="superscript"/>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March 31, 2022, noncontrolling interests in our subsidiaries consisted of (i) a 35% interest in Plains Oyrx Permian Basin LLC (the “Permian JV”) and (ii) a 33% interest in Red River Pipeline Company LLC (“Red River LLC”).</w:t>
      </w:r>
    </w:p>
    <w:p>
      <w:pPr>
        <w:spacing w:after="0" w:line="1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three months ended March 31, 2022, we paid distributions of $54 million and $5 million to noncontrolling interests in the Permian JV and Red River LLC,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(i) commodity price risk,</w:t>
      </w:r>
    </w:p>
    <w:p>
      <w:pPr>
        <w:ind w:firstLine="8"/>
        <w:spacing w:after="0" w:line="268"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interest rates or currency exchange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7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jc w:val="both"/>
        <w:ind w:right="120" w:firstLine="607"/>
        <w:spacing w:after="0" w:line="311" w:lineRule="auto"/>
        <w:rPr>
          <w:sz w:val="20"/>
          <w:szCs w:val="20"/>
          <w:color w:val="auto"/>
        </w:rPr>
      </w:pPr>
      <w:r>
        <w:rPr>
          <w:rFonts w:ascii="Arial" w:cs="Arial" w:eastAsia="Arial" w:hAnsi="Arial"/>
          <w:sz w:val="16"/>
          <w:szCs w:val="16"/>
          <w:color w:val="auto"/>
        </w:rPr>
        <w:t>At March 31, 2022 and December 31, 2021,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can be divided into the following general categories: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2022, net derivative positions related to these activities included:</w:t>
      </w:r>
    </w:p>
    <w:p>
      <w:pPr>
        <w:spacing w:after="0" w:line="146" w:lineRule="exact"/>
        <w:rPr>
          <w:sz w:val="20"/>
          <w:szCs w:val="20"/>
          <w:color w:val="auto"/>
        </w:rPr>
      </w:pPr>
    </w:p>
    <w:p>
      <w:pPr>
        <w:ind w:left="980" w:right="3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long position of 6.6 million barrels associated with our crude oil purchases, which was unwound ratably during April 2022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short time spread position of 5.3 million barrels, which hedges a portion of our anticipated crude oil lease gathering purchases through May 2023.</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crude oil basis spread position of 1.2 million barrels at multiple locations through November 2023. These derivatives allow us to lock in grade and location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net short position of 11.0 million barrels through December 2023 related to anticipated net sales of crude oil and NGL inventory.</w:t>
      </w:r>
    </w:p>
    <w:p>
      <w:pPr>
        <w:spacing w:after="0" w:line="264"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March 31, 2022:</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Notional Volume</w:t>
            </w:r>
          </w:p>
        </w:tc>
        <w:tc>
          <w:tcPr>
            <w:tcW w:w="2180" w:type="dxa"/>
            <w:vAlign w:val="bottom"/>
          </w:tcPr>
          <w:p>
            <w:pPr>
              <w:spacing w:after="0"/>
              <w:rPr>
                <w:sz w:val="16"/>
                <w:szCs w:val="16"/>
                <w:color w:val="auto"/>
              </w:rPr>
            </w:pPr>
          </w:p>
        </w:tc>
      </w:tr>
      <w:tr>
        <w:trPr>
          <w:trHeight w:val="195"/>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29"/>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Natural gas purchases</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82.6 Bcf</w:t>
            </w:r>
          </w:p>
        </w:tc>
        <w:tc>
          <w:tcPr>
            <w:tcW w:w="16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Propane sales</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(15.5)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Butane sales</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6"/>
              </w:rPr>
              <w:t>(3.8)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Condensate sales</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(1.5)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6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8.8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2023</w:t>
            </w:r>
          </w:p>
        </w:tc>
      </w:tr>
      <w:tr>
        <w:trPr>
          <w:trHeight w:val="304"/>
        </w:trPr>
        <w:tc>
          <w:tcPr>
            <w:tcW w:w="6660" w:type="dxa"/>
            <w:vAlign w:val="bottom"/>
          </w:tcPr>
          <w:p>
            <w:pPr>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0.5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92"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from commodity derivative activity</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133</w:t>
            </w:r>
          </w:p>
        </w:tc>
      </w:tr>
      <w:tr>
        <w:trPr>
          <w:trHeight w:val="284"/>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w:t>
            </w:r>
          </w:p>
        </w:tc>
        <w:tc>
          <w:tcPr>
            <w:tcW w:w="200" w:type="dxa"/>
            <w:vAlign w:val="bottom"/>
          </w:tcPr>
          <w:p>
            <w:pPr>
              <w:spacing w:after="0"/>
              <w:rPr>
                <w:sz w:val="24"/>
                <w:szCs w:val="24"/>
                <w:color w:val="auto"/>
              </w:rPr>
            </w:pPr>
          </w:p>
        </w:tc>
        <w:tc>
          <w:tcPr>
            <w:tcW w:w="1060" w:type="dxa"/>
            <w:vAlign w:val="bottom"/>
          </w:tcPr>
          <w:p>
            <w:pPr>
              <w:ind w:left="72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ind w:left="760"/>
              <w:spacing w:after="0"/>
              <w:rPr>
                <w:sz w:val="20"/>
                <w:szCs w:val="20"/>
                <w:color w:val="auto"/>
              </w:rPr>
            </w:pPr>
            <w:r>
              <w:rPr>
                <w:rFonts w:ascii="Arial" w:cs="Arial" w:eastAsia="Arial" w:hAnsi="Arial"/>
                <w:sz w:val="18"/>
                <w:szCs w:val="18"/>
                <w:color w:val="auto"/>
              </w:rPr>
              <w:t>173</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3"/>
              </w:rPr>
              <w:t>(25)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3"/>
              </w:rPr>
              <w:t>(47)</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259</w:t>
            </w:r>
          </w:p>
        </w:tc>
      </w:tr>
      <w:tr>
        <w:trPr>
          <w:trHeight w:val="20"/>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10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200" w:type="dxa"/>
            <w:vAlign w:val="bottom"/>
          </w:tcPr>
          <w:p>
            <w:pPr>
              <w:spacing w:after="0"/>
              <w:rPr>
                <w:sz w:val="11"/>
                <w:szCs w:val="11"/>
                <w:color w:val="auto"/>
              </w:rPr>
            </w:pPr>
          </w:p>
        </w:tc>
        <w:tc>
          <w:tcPr>
            <w:tcW w:w="1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1060" w:type="dxa"/>
            <w:vAlign w:val="bottom"/>
            <w:gridSpan w:val="3"/>
          </w:tcPr>
          <w:p>
            <w:pPr>
              <w:jc w:val="center"/>
              <w:ind w:right="300"/>
              <w:spacing w:after="0" w:line="102" w:lineRule="exact"/>
              <w:rPr>
                <w:sz w:val="20"/>
                <w:szCs w:val="20"/>
                <w:color w:val="auto"/>
              </w:rPr>
            </w:pPr>
            <w:r>
              <w:rPr>
                <w:rFonts w:ascii="Arial" w:cs="Arial" w:eastAsia="Arial" w:hAnsi="Arial"/>
                <w:sz w:val="11"/>
                <w:szCs w:val="11"/>
                <w:b w:val="1"/>
                <w:bCs w:val="1"/>
                <w:color w:val="auto"/>
              </w:rPr>
              <w:t>the Balance</w:t>
            </w:r>
          </w:p>
        </w:tc>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201"/>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Sheet</w:t>
            </w: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summarizes the terms of our outstanding interest rate derivatives as of March 31, 2022 (notional amounts in millions):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Number and Types of</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Expected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Rate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2740" w:type="dxa"/>
            <w:vAlign w:val="bottom"/>
            <w:gridSpan w:val="2"/>
            <w:vMerge w:val="continue"/>
          </w:tcPr>
          <w:p>
            <w:pPr>
              <w:spacing w:after="0"/>
              <w:rPr>
                <w:sz w:val="16"/>
                <w:szCs w:val="16"/>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Derivatives Employed</w:t>
            </w:r>
          </w:p>
        </w:tc>
        <w:tc>
          <w:tcPr>
            <w:tcW w:w="1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Termination Date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Locked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7"/>
              </w:rPr>
              <w:t>Treatment</w:t>
            </w:r>
          </w:p>
        </w:tc>
        <w:tc>
          <w:tcPr>
            <w:tcW w:w="0" w:type="dxa"/>
            <w:vAlign w:val="bottom"/>
          </w:tcPr>
          <w:p>
            <w:pPr>
              <w:spacing w:after="0"/>
              <w:rPr>
                <w:sz w:val="1"/>
                <w:szCs w:val="1"/>
                <w:color w:val="auto"/>
              </w:rPr>
            </w:pPr>
          </w:p>
        </w:tc>
      </w:tr>
      <w:tr>
        <w:trPr>
          <w:trHeight w:val="170"/>
        </w:trPr>
        <w:tc>
          <w:tcPr>
            <w:tcW w:w="264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Anticipated interest payments</w:t>
            </w:r>
          </w:p>
        </w:tc>
        <w:tc>
          <w:tcPr>
            <w:tcW w:w="10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8 forward starting swaps</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6/15/2023</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1.38 %</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(30-year)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4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8 forward starting swaps</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12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color w:val="auto"/>
                <w:w w:val="89"/>
              </w:rPr>
              <w:t>6/14/2024</w:t>
            </w:r>
          </w:p>
        </w:tc>
        <w:tc>
          <w:tcPr>
            <w:tcW w:w="100" w:type="dxa"/>
            <w:vAlign w:val="bottom"/>
          </w:tcPr>
          <w:p>
            <w:pPr>
              <w:spacing w:after="0"/>
              <w:rPr>
                <w:sz w:val="15"/>
                <w:szCs w:val="15"/>
                <w:color w:val="auto"/>
              </w:rPr>
            </w:pPr>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0.73 %</w:t>
            </w:r>
          </w:p>
        </w:tc>
        <w:tc>
          <w:tcPr>
            <w:tcW w:w="10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(30-year)</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As of March 31, 2022, there was a net loss of $173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2054 as the underlying hedged transactions impact earnings. A portion of these amounts is based on market prices as of March 31, 2022; thus, actual amounts to be reclassified will differ and could vary materially as a result of changes in market conditions.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 recognized in AOCI for derivatives (in millions):</w:t>
      </w:r>
    </w:p>
    <w:p>
      <w:pPr>
        <w:spacing w:after="0" w:line="27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 w:lineRule="exact"/>
        <w:rPr>
          <w:sz w:val="20"/>
          <w:szCs w:val="20"/>
          <w:color w:val="auto"/>
        </w:rPr>
      </w:pPr>
    </w:p>
    <w:p>
      <w:pPr>
        <w:ind w:left="9080"/>
        <w:spacing w:after="0"/>
        <w:tabs>
          <w:tab w:leader="none" w:pos="104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36" w:lineRule="exact"/>
        <w:rPr>
          <w:sz w:val="20"/>
          <w:szCs w:val="20"/>
          <w:color w:val="auto"/>
        </w:rPr>
      </w:pPr>
    </w:p>
    <w:p>
      <w:pPr>
        <w:ind w:left="20"/>
        <w:spacing w:after="0"/>
        <w:tabs>
          <w:tab w:leader="none" w:pos="8600" w:val="left"/>
          <w:tab w:leader="none" w:pos="9600" w:val="left"/>
          <w:tab w:leader="none" w:pos="9960" w:val="left"/>
          <w:tab w:leader="none" w:pos="10960" w:val="left"/>
        </w:tabs>
        <w:rPr>
          <w:sz w:val="20"/>
          <w:szCs w:val="20"/>
          <w:color w:val="auto"/>
        </w:rPr>
      </w:pPr>
      <w:r>
        <w:rPr>
          <w:rFonts w:ascii="Arial" w:cs="Arial" w:eastAsia="Arial" w:hAnsi="Arial"/>
          <w:sz w:val="18"/>
          <w:szCs w:val="18"/>
          <w:color w:val="auto"/>
        </w:rPr>
        <w:t>Interest rate derivatives,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w:t>
        <w:tab/>
        <w:t>$</w:t>
      </w:r>
      <w:r>
        <w:rPr>
          <w:sz w:val="20"/>
          <w:szCs w:val="20"/>
          <w:color w:val="auto"/>
        </w:rPr>
        <w:tab/>
      </w: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At March 31, 2022, the net fair value of our interest rate hedges, which were included in “Other long-term assets, net” on our Condensed Consolidated Balance Sheet, totaled $97 million. At December 31, 2021, the net fair value of these hedges totaled $65 million and was included in “Other long-term assets,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This embedded derivative is not designated in a hedging relationship for accounting purposes and corresponding changes in fair value are recognized in “Other expense, net” in our Condensed Consolidated Statement of Operations. For the three months ended March 31, 2022 and 2021, we recognized losses of $44 million and $67 million, respectively. The fair value of the Preferred Distribution Rate Reset Option, which was included in “Other long-term liabilities and deferred credits” on our Condensed Consolidated Balance Sheets, totaled $44 million and less than $1 million at March 31, 2022 and December 31, 2021, respectively. See Note 12 to our Consolidated Financial Statements included in Part IV of our 2021 Annual Report on Form 10-K for additional information regarding our Series A preferred units and the Preferred Distribution Rate Reset Option.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3"/>
              </w:rPr>
              <w:t>Fair Value as of March 31, 2022</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December 31, 2021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20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center"/>
              <w:ind w:left="254"/>
              <w:spacing w:after="0"/>
              <w:rPr>
                <w:sz w:val="20"/>
                <w:szCs w:val="20"/>
                <w:color w:val="auto"/>
              </w:rPr>
            </w:pPr>
            <w:r>
              <w:rPr>
                <w:rFonts w:ascii="Arial" w:cs="Arial" w:eastAsia="Arial" w:hAnsi="Arial"/>
                <w:sz w:val="18"/>
                <w:szCs w:val="18"/>
                <w:color w:val="auto"/>
                <w:w w:val="93"/>
              </w:rPr>
              <w:t>(76)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center"/>
              <w:ind w:left="214"/>
              <w:spacing w:after="0"/>
              <w:rPr>
                <w:sz w:val="20"/>
                <w:szCs w:val="20"/>
                <w:color w:val="auto"/>
              </w:rPr>
            </w:pPr>
            <w:r>
              <w:rPr>
                <w:rFonts w:ascii="Arial" w:cs="Arial" w:eastAsia="Arial" w:hAnsi="Arial"/>
                <w:sz w:val="18"/>
                <w:szCs w:val="18"/>
                <w:color w:val="auto"/>
                <w:w w:val="93"/>
              </w:rPr>
              <w:t>(73)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center"/>
              <w:ind w:left="254"/>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center"/>
              <w:ind w:left="216"/>
              <w:spacing w:after="0"/>
              <w:rPr>
                <w:sz w:val="20"/>
                <w:szCs w:val="20"/>
                <w:color w:val="auto"/>
              </w:rPr>
            </w:pPr>
            <w:r>
              <w:rPr>
                <w:rFonts w:ascii="Arial" w:cs="Arial" w:eastAsia="Arial" w:hAnsi="Arial"/>
                <w:sz w:val="18"/>
                <w:szCs w:val="18"/>
                <w:color w:val="auto"/>
                <w:w w:val="93"/>
              </w:rPr>
              <w:t>(17)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19"/>
                <w:szCs w:val="19"/>
                <w:color w:val="auto"/>
              </w:rPr>
            </w:pPr>
          </w:p>
        </w:tc>
        <w:tc>
          <w:tcPr>
            <w:tcW w:w="640" w:type="dxa"/>
            <w:vAlign w:val="bottom"/>
          </w:tcPr>
          <w:p>
            <w:pPr>
              <w:jc w:val="center"/>
              <w:ind w:left="254"/>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center"/>
              <w:ind w:left="254"/>
              <w:spacing w:after="0"/>
              <w:rPr>
                <w:sz w:val="20"/>
                <w:szCs w:val="20"/>
                <w:color w:val="auto"/>
              </w:rPr>
            </w:pPr>
            <w:r>
              <w:rPr>
                <w:rFonts w:ascii="Arial" w:cs="Arial" w:eastAsia="Arial" w:hAnsi="Arial"/>
                <w:sz w:val="18"/>
                <w:szCs w:val="18"/>
                <w:color w:val="auto"/>
                <w:w w:val="89"/>
              </w:rPr>
              <w:t>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center"/>
              <w:ind w:left="114"/>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center"/>
              <w:ind w:left="136"/>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Preferred Distribution Rate Reset Option and Other</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93"/>
              </w:rPr>
              <w:t>(44)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00" w:type="dxa"/>
            <w:vAlign w:val="bottom"/>
            <w:gridSpan w:val="3"/>
          </w:tcPr>
          <w:p>
            <w:pPr>
              <w:ind w:left="14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center"/>
              <w:ind w:left="254"/>
              <w:spacing w:after="0"/>
              <w:rPr>
                <w:sz w:val="20"/>
                <w:szCs w:val="20"/>
                <w:color w:val="auto"/>
              </w:rPr>
            </w:pPr>
            <w:r>
              <w:rPr>
                <w:rFonts w:ascii="Arial" w:cs="Arial" w:eastAsia="Arial" w:hAnsi="Arial"/>
                <w:sz w:val="18"/>
                <w:szCs w:val="18"/>
                <w:color w:val="auto"/>
                <w:w w:val="93"/>
              </w:rPr>
              <w:t>(76)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center"/>
              <w:ind w:left="254"/>
              <w:spacing w:after="0"/>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center"/>
              <w:ind w:left="214"/>
              <w:spacing w:after="0"/>
              <w:rPr>
                <w:sz w:val="20"/>
                <w:szCs w:val="20"/>
                <w:color w:val="auto"/>
              </w:rPr>
            </w:pPr>
            <w:r>
              <w:rPr>
                <w:rFonts w:ascii="Arial" w:cs="Arial" w:eastAsia="Arial" w:hAnsi="Arial"/>
                <w:sz w:val="18"/>
                <w:szCs w:val="18"/>
                <w:color w:val="auto"/>
                <w:w w:val="93"/>
              </w:rPr>
              <w:t>(44)</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center"/>
              <w:ind w:left="216"/>
              <w:spacing w:after="0"/>
              <w:rPr>
                <w:sz w:val="20"/>
                <w:szCs w:val="20"/>
                <w:color w:val="auto"/>
              </w:rPr>
            </w:pPr>
            <w:r>
              <w:rPr>
                <w:rFonts w:ascii="Arial" w:cs="Arial" w:eastAsia="Arial" w:hAnsi="Arial"/>
                <w:sz w:val="18"/>
                <w:szCs w:val="18"/>
                <w:color w:val="auto"/>
                <w:w w:val="93"/>
              </w:rPr>
              <w:t>(17)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56"/>
        </w:trPr>
        <w:tc>
          <w:tcPr>
            <w:tcW w:w="3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right="2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100"/>
        <w:spacing w:after="0" w:line="311" w:lineRule="auto"/>
        <w:rPr>
          <w:sz w:val="20"/>
          <w:szCs w:val="20"/>
          <w:color w:val="auto"/>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880"/>
        <w:spacing w:after="0" w:line="308" w:lineRule="auto"/>
        <w:rPr>
          <w:sz w:val="20"/>
          <w:szCs w:val="20"/>
          <w:color w:val="auto"/>
        </w:rPr>
      </w:pPr>
      <w:r>
        <w:rPr>
          <w:rFonts w:ascii="Arial" w:cs="Arial" w:eastAsia="Arial" w:hAnsi="Arial"/>
          <w:sz w:val="17"/>
          <w:szCs w:val="17"/>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46"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Product sales revenues.</w:t>
      </w:r>
    </w:p>
    <w:p>
      <w:pPr>
        <w:spacing w:after="0" w:line="215" w:lineRule="exact"/>
        <w:rPr>
          <w:sz w:val="20"/>
          <w:szCs w:val="20"/>
          <w:color w:val="auto"/>
        </w:rPr>
      </w:pPr>
    </w:p>
    <w:p>
      <w:pPr>
        <w:jc w:val="both"/>
        <w:ind w:left="660" w:right="360"/>
        <w:spacing w:after="0" w:line="301" w:lineRule="auto"/>
        <w:rPr>
          <w:sz w:val="20"/>
          <w:szCs w:val="20"/>
          <w:color w:val="auto"/>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some of which involve management judgment. A significant change in these inputs could result in a material change in fair value to this embedded derivative feature.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Net losses for the period included in earnings</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w w:val="96"/>
              </w:rPr>
              <w:t>Change in unrealized losses included in earnings relating to Level 3 derivatives still held at the end of the period</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2021 Annual Report on Form 10-K for a complete discussion of related parties, including the determination of our related parties and nature of involvement with such related parties.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During the three months ended March 31, 2022 and 2021,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Condensed Consolidated Statements of Operations from these transactions is included below (in millions):</w:t>
      </w:r>
    </w:p>
    <w:p>
      <w:pPr>
        <w:spacing w:after="0" w:line="27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related parties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8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 from related parties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bl>
    <w:p>
      <w:pPr>
        <w:spacing w:after="0" w:line="37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388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8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162"/>
        </w:trPr>
        <w:tc>
          <w:tcPr>
            <w:tcW w:w="3880" w:type="dxa"/>
            <w:vAlign w:val="bottom"/>
            <w:tcBorders>
              <w:bottom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88" w:lineRule="exact"/>
        <w:rPr>
          <w:sz w:val="20"/>
          <w:szCs w:val="20"/>
          <w:color w:val="auto"/>
        </w:rPr>
      </w:pPr>
    </w:p>
    <w:p>
      <w:pPr>
        <w:ind w:left="660" w:right="80" w:hanging="652"/>
        <w:spacing w:after="0" w:line="227"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40" w:lineRule="exact"/>
        <w:rPr>
          <w:rFonts w:ascii="Arial" w:cs="Arial" w:eastAsia="Arial" w:hAnsi="Arial"/>
          <w:sz w:val="23"/>
          <w:szCs w:val="23"/>
          <w:color w:val="auto"/>
          <w:vertAlign w:val="superscript"/>
        </w:rPr>
      </w:pPr>
    </w:p>
    <w:p>
      <w:pPr>
        <w:ind w:left="660" w:right="200" w:hanging="652"/>
        <w:spacing w:after="0" w:line="234"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w:t>
      </w:r>
    </w:p>
    <w:p>
      <w:pPr>
        <w:spacing w:after="0" w:line="208" w:lineRule="exact"/>
        <w:rPr>
          <w:sz w:val="20"/>
          <w:szCs w:val="20"/>
          <w:color w:val="auto"/>
        </w:rPr>
      </w:pPr>
    </w:p>
    <w:p>
      <w:pPr>
        <w:ind w:right="20" w:firstLine="648"/>
        <w:spacing w:after="0" w:line="22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At March 31, 2022, our estimated undiscounted reserve for environmental liabilities (excluding liabilities related to the Line 901 incident, as discussed further below) totaled $59 million, of which $9 million was classified as short-term and $50 million was classified as long-term. At December 31, 2021, our estimated undiscounted reserve for environmental liabilities (excluding liabilities related to the Line 901 incident) totaled $57 million, of which $11 million was classified as short-term and $46 million was classified as long-term. Such short-term liabilities are reflected in “Other current liabilities” and long-term liabilities are reflected in “Other long-term liabilities and deferred credits” on our Condensed Consolidated Balance Sheets. At both March 31, 2022 and December 31, 2021, we had recorded receivables (excluding receivables related to the Line 901 incident) totaling $11 million, for amounts probable of recovery under insurance and from third parties under indemnification agreements, $1 million of which for each period is reflected in “Other long-term assets, net” and the remainder is reflected in “Trade accounts receivable and other receivables, net” on our Condensed Consolidated Balance Sheets.</w:t>
      </w:r>
    </w:p>
    <w:p>
      <w:pPr>
        <w:spacing w:after="0" w:line="19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also contains requirements for implementing certain agreed-upon injunctive relief, as well as requirements for potentially restarting Line 901 and the Sisquoc to Pentland portion of Line 903. The Consent Decree resolved all regulatory claims related to the incident.</w:t>
      </w:r>
    </w:p>
    <w:p>
      <w:pPr>
        <w:spacing w:after="0" w:line="19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 pending in the United States District Court for the Central District of California. In the first proceeding, the plaintiffs claim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order to fully and finally resolve all claims and litigation for both classes, we have reached an agreement in principle to settle this case in exchange for a payment of $230 million (the “Class Action Settlement”). The Class Action Settlement is subject to negotiation of final documentation and approval of the trial court.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w:t>
      </w:r>
    </w:p>
    <w:p>
      <w:pPr>
        <w:spacing w:after="0" w:line="19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addition, after various other unitholder derivative lawsuits were either dismissed or consolidated, one proceeding remains pending in Delaware Chancery Court. Generally, the plaintiffs in the remaining derivative lawsuit claim that PAGP’s Board of Directors failed to exercise proper oversight over PAA’s pipeline integrity efforts. In April 2022, Plains entered into a settlement agreement to settle this lawsuit, subject to court approval and notice to all PAA unitholders (the “Derivative Settlement”). Following court approval, we intend to effect notice to all PAA unitholders by filing a Current Report on Form 8-K with the SEC. The key terms of the Derivative Settlement include a payment of Plaintiff’s attorneys’ fees by our insurers in the amount of approximately $2.0 million and the agreement of Plains to comply with various covenants regarding the implementation or continuation of certain Board oversight practices with respect to pipeline integrity.</w:t>
      </w:r>
    </w:p>
    <w:p>
      <w:pPr>
        <w:spacing w:after="0" w:line="222"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We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The following lawsuits remain: (i) a lawsuit pending in the United States District Court for the Central District of California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 including a lack of duty owed to the claimants to keep Line 901 in service.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connection with the foregoing, including the Class Action Settlement and the Derivative Settlement, we have made adjustments to our total estimated Line 901 costs and the portion of such costs that we believe are probable of recovery from insurance carriers, net of deductibles. Effective as of March 31, 2022, we estimate that the aggregate total costs we have incurred or will incur with respect to the Line 901 incident will be approximately $725 million, which includes actual and projected emergency response and clean-up costs, natural resource damage assessments, fines and penalties payable pursuant to the Consent Decree, certain third party claims settlements (including the Class Action Settlement and the Derivative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As of March 31, 2022, we had a remaining undiscounted gross liability of $335 million related to this event, which aggregate amount is reflected in “Trade accounts payable” and “Other current liabilities” on our Condensed Consolidated Balance Sheet. We maintain insurance coverage, which is subject to certain exclusions and deductibles, in the event of such environmental liabilities; however, after giving effect to the settlements described above and assuming full collection of costs that we believe are probable of recovery from insurance providers, net of deductibles, we will reach the limit of our $500 million 2015 insurance program applicable to the Line 901 incident. Through March 31, 2022, we had collected, subject to customary reservations, approximately $260 million out of the $500 million of release costs that we believe are probable of recovery from insurance carriers, net of deductibles. Therefore, as of March 31, 2022, we have recognized a receivable of approximately $240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25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11—Segment Information</w:t>
      </w:r>
    </w:p>
    <w:p>
      <w:pPr>
        <w:spacing w:after="0" w:line="229"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During the fourth quarter of 2021, we effected changes in the primary financial information provided to our CODM for assessing performance and allocating resources to present two operating segments, Crude Oil and NGL. Prior to the fourth quarter of 2021, this information was organized into three operating segments: Transportation, Facilities and Supply and Logistics. All segment data and related disclosures for earlier periods presented herein have been recast to reflect the new segment reporting structure. Our CODM evaluates segment performance based on measures including Segment Adjusted EBITDA (as defined below) and maintenance capital. 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Amounts attributable to noncontrolling interests for earlier periods presented herein have been recast to reflect this modification. See Note 20 to our Consolidated Financial Statements included in Part IV of our</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2021 Annual Report on Form 10-K for additional information regarding the modifications to our segment reporting and for a full discussion of our basis for segmentation and performance measures.</w:t>
      </w:r>
    </w:p>
    <w:p>
      <w:pPr>
        <w:spacing w:after="0" w:line="21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(d) our proportionate share of the depreciation and amortization expense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Crude Oil</w:t>
            </w:r>
          </w:p>
        </w:tc>
        <w:tc>
          <w:tcPr>
            <w:tcW w:w="320" w:type="dxa"/>
            <w:vAlign w:val="bottom"/>
          </w:tcPr>
          <w:p>
            <w:pPr>
              <w:spacing w:after="0"/>
              <w:rPr>
                <w:sz w:val="11"/>
                <w:szCs w:val="11"/>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NGL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13,381</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7,586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474</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40" w:hanging="652"/>
        <w:spacing w:after="0" w:line="234"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PAA (in millions):</w:t>
      </w:r>
    </w:p>
    <w:p>
      <w:pPr>
        <w:spacing w:after="0" w:line="27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8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6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6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Gains/(losses) from derivative activities and inventory valuation adjustments </w:t>
            </w:r>
            <w:r>
              <w:rPr>
                <w:rFonts w:ascii="Arial" w:cs="Arial" w:eastAsia="Arial" w:hAnsi="Arial"/>
                <w:sz w:val="23"/>
                <w:szCs w:val="23"/>
                <w:color w:val="auto"/>
                <w:vertAlign w:val="superscript"/>
              </w:rPr>
              <w:t>(3)</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86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6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6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6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(7)</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6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(9)</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8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expense, net</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tax</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30"/>
        </w:trPr>
        <w:tc>
          <w:tcPr>
            <w:tcW w:w="8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30"/>
        </w:trPr>
        <w:tc>
          <w:tcPr>
            <w:tcW w:w="8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PAA</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ind w:left="20" w:right="940" w:hanging="11"/>
        <w:spacing w:after="0" w:line="277" w:lineRule="auto"/>
        <w:rPr>
          <w:sz w:val="20"/>
          <w:szCs w:val="20"/>
          <w:color w:val="auto"/>
        </w:rPr>
      </w:pPr>
      <w:r>
        <w:rPr>
          <w:rFonts w:ascii="Arial" w:cs="Arial" w:eastAsia="Arial" w:hAnsi="Arial"/>
          <w:sz w:val="18"/>
          <w:szCs w:val="18"/>
          <w:color w:val="auto"/>
        </w:rPr>
        <w:t>Includes our proportionate share of the depreciation and amortization expense (including write-downs related to cancelled projects) of unconsolidated entities.</w:t>
      </w:r>
    </w:p>
    <w:p>
      <w:pPr>
        <w:spacing w:after="0" w:line="62"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84" w:lineRule="exact"/>
        <w:rPr>
          <w:sz w:val="20"/>
          <w:szCs w:val="20"/>
          <w:color w:val="auto"/>
        </w:rPr>
      </w:pPr>
    </w:p>
    <w:p>
      <w:pPr>
        <w:ind w:left="20"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 w:right="80"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ind w:left="20" w:right="4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settle in cash is not excluded in determining Segment Adjusted EBITDA. See Note 18 to our Consolidated Financial Statements included in Part IV of our 2021 Annual Report on Form 10-K for a discussion regarding our equity-indexed compensation plans.</w:t>
      </w:r>
    </w:p>
    <w:p>
      <w:pPr>
        <w:spacing w:after="0" w:line="87" w:lineRule="exact"/>
        <w:rPr>
          <w:sz w:val="20"/>
          <w:szCs w:val="20"/>
          <w:color w:val="auto"/>
        </w:rPr>
      </w:pPr>
    </w:p>
    <w:p>
      <w:pPr>
        <w:ind w:left="20" w:hanging="11"/>
        <w:spacing w:after="0" w:line="31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41"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10 for additional information regarding the Line 901 incident.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Reflects amounts attributable to noncontrolling interests in the Permian JV and Red River LLC.</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2021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Changes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fourth quarter of 2021, we reorganized our historical operating segments into two operating segments: Crude Oil and NGL. Additionally, during the fourth quarter of 2021, we modified our definition of Segment Adjusted EBITDA to exclude amounts attributable to noncontrolling interests. See Note 20 to our Consolidated Financial Statements included in Part IV of our 2021 Annual Report on Form 10-K for additional information. All segment data and related disclosures for earlier periods presented herein have been recast to reflect the new segment reporting structure and the modification to our definition of Segment Adjusted EBITDA.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w:t>
      </w:r>
    </w:p>
    <w:p>
      <w:pPr>
        <w:spacing w:after="0" w:line="25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During the first three months of 2022, we recognized net income attributable to PAA of $187 million compared to net income attributable to PAA of $422 million recognized during the first three months of 2021. Results for the first three months of 2022 decreased from the comparable 2021 period driven primarily by the impact of the mark-to-market of certain derivative instruments, and, to a lesser extent, the sale of our natural gas storage facilities and higher field operating costs primarily from (i) an increase in estimated costs associated with the Line 901 incident and (ii) gains related to hedged power costs resulting from the extreme winter weather event that occurred in February 2021 (“Winter Storm Uri”) recognized in the first quarter of 2021. These items were partially offset by more favorable margins in our NGL segment and increased earnings from higher tariff volumes on our pipelines.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“Results of Operations” section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46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Services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3"/>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PAA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Basic and diluted net income per common unit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common units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 xml:space="preserve">  Indicates that variance as a percentage is not meaningful.</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Revenues and Purchases</w:t>
      </w:r>
    </w:p>
    <w:p>
      <w:pPr>
        <w:spacing w:after="0" w:line="256"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NYMEX WTI</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8"/>
        </w:trPr>
        <w:tc>
          <w:tcPr>
            <w:tcW w:w="7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Crude Oil Price</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7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High</w:t>
            </w:r>
          </w:p>
        </w:tc>
        <w:tc>
          <w:tcPr>
            <w:tcW w:w="240" w:type="dxa"/>
            <w:vAlign w:val="bottom"/>
          </w:tcPr>
          <w:p>
            <w:pPr>
              <w:spacing w:after="0"/>
              <w:rPr>
                <w:sz w:val="15"/>
                <w:szCs w:val="15"/>
                <w:color w:val="auto"/>
              </w:rPr>
            </w:pP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Average</w:t>
            </w:r>
          </w:p>
        </w:tc>
      </w:tr>
      <w:tr>
        <w:trPr>
          <w:trHeight w:val="224"/>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2022</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Three Months Ended March 31, 2021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32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Product sales revenues and purchases increased for the three months ended March 31, 2022, compared to the same period in 2021 primarily due to higher prices and volumes in the 2022 period.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Revenues from services increased for the three months ended March 31, 2022, compared to the same period in 2021 primarily due to higher prices and volumes in the 2022 period, partially offset by the impact of the sale of our natural gas storage facilities in the third quarter of 2021.</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further discussion of our net revenues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increase in general and administrative expenses for the three months ended March 31, 2022 compared to the same period in 2021 was primarily due to (i) costs associated with the formation of the Permian JV, a portion of which are transition related, (ii) employee related costs, including an increase in equity-indexed compensation expense on equity-classified awards (which is excluded in the calculation of Adjusted EBITDA and Segment Adjusted EBITDA) due to changes in plan assumptions, and (iii) higher office rent due to a cost abatement in the prior year.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quarter of 2022, we recognized a gain of $40 million related to the sale of land and buildings in California.</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The increase in depreciation and amortization expense for the three months ended March 31, 2022 compared to the same period in 2021 was driven by depreciation expense on the assets contributed by Oryx Midstream Holdings LLC (“Oryx Midstream”) upon formation of the Permian JV.</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Expense,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expense, net (in millions):</w:t>
      </w:r>
    </w:p>
    <w:p>
      <w:pPr>
        <w:spacing w:after="0" w:line="27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828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Loss related to mark-to-market adjustment of Preferred Distribution Rate Reset Option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82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(2)</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38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8 to our Condensed Consolidated Financial Statements for additional information.</w:t>
      </w:r>
    </w:p>
    <w:p>
      <w:pPr>
        <w:spacing w:after="0" w:line="63"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Noncontrolling Interests</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increase in amounts attributable to noncontrolling interests for the three months ended March 31, 2022 compared to the same period in 2021 was primarily due to the formation of the Permian JV in October 2021. See Note 7 to our Consolidated Financial Statements included in Part IV of our 2021 Annual Report on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18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Adjusted EBITDA is defined as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and Implied DCF are reconciled to Net Income, and Free Cash Flow and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 Liquidity and Capital Resources—Liquidity Measures” for additional information regarding Free Cash Flow and Free Cash Flow after Distributions.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1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tables set forth the reconciliation of the non-GAAP financial performance measures Adjusted EBITDA, Adjusted EBITDA attributable to PAA and Implied DCF from Net Income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4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Selected Items Impacting Comparability:</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120"/>
              <w:spacing w:after="0"/>
              <w:rPr>
                <w:sz w:val="20"/>
                <w:szCs w:val="20"/>
                <w:color w:val="auto"/>
              </w:rPr>
            </w:pPr>
            <w:r>
              <w:rPr>
                <w:rFonts w:ascii="Arial" w:cs="Arial" w:eastAsia="Arial" w:hAnsi="Arial"/>
                <w:sz w:val="18"/>
                <w:szCs w:val="18"/>
                <w:color w:val="auto"/>
                <w:w w:val="94"/>
              </w:rPr>
              <w:t>(Gains)/losses from derivative activities and inventory valuation adjustments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inventory costing adjustments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Deficiencies under minimum volume commitments,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Net gain on foreign currency revaluation</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Line 901 incident</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Selected Items Impacting Comparability - Segment Adjusted EBITDA </w:t>
            </w:r>
            <w:r>
              <w:rPr>
                <w:rFonts w:ascii="Arial" w:cs="Arial" w:eastAsia="Arial" w:hAnsi="Arial"/>
                <w:sz w:val="23"/>
                <w:szCs w:val="23"/>
                <w:color w:val="auto"/>
                <w:vertAlign w:val="superscript"/>
              </w:rPr>
              <w:t>(2)</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Losses from derivative activities </w:t>
            </w:r>
            <w:r>
              <w:rPr>
                <w:rFonts w:ascii="Arial" w:cs="Arial" w:eastAsia="Arial" w:hAnsi="Arial"/>
                <w:sz w:val="23"/>
                <w:szCs w:val="23"/>
                <w:color w:val="auto"/>
                <w:vertAlign w:val="superscript"/>
              </w:rPr>
              <w:t>(3)</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(4)</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(5)</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gridSpan w:val="2"/>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(5)</w:t>
            </w:r>
          </w:p>
        </w:tc>
        <w:tc>
          <w:tcPr>
            <w:tcW w:w="80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3"/>
        </w:trPr>
        <w:tc>
          <w:tcPr>
            <w:tcW w:w="5840" w:type="dxa"/>
            <w:vAlign w:val="bottom"/>
            <w:gridSpan w:val="2"/>
            <w:shd w:val="clear" w:color="auto" w:fill="CCEEFF"/>
          </w:tcPr>
          <w:p>
            <w:pPr>
              <w:ind w:left="120"/>
              <w:spacing w:after="0" w:line="223"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(6)</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Adjusted EBITDA attributable to PAA</w:t>
            </w:r>
          </w:p>
        </w:tc>
        <w:tc>
          <w:tcPr>
            <w:tcW w:w="80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(5)</w:t>
            </w: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546</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(7)</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(8)</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Investment capital of noncontrolling interests </w:t>
            </w:r>
            <w:r>
              <w:rPr>
                <w:rFonts w:ascii="Arial" w:cs="Arial" w:eastAsia="Arial" w:hAnsi="Arial"/>
                <w:sz w:val="23"/>
                <w:szCs w:val="23"/>
                <w:color w:val="auto"/>
                <w:vertAlign w:val="superscript"/>
              </w:rPr>
              <w:t>(9)</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Current income tax expense</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8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6"/>
              </w:rPr>
              <w:t>Distributions from unconsolidated entities in excess of/(less than) adjusted</w:t>
            </w:r>
          </w:p>
        </w:tc>
        <w:tc>
          <w:tcPr>
            <w:tcW w:w="8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320"/>
              <w:spacing w:after="0" w:line="230" w:lineRule="exact"/>
              <w:rPr>
                <w:sz w:val="20"/>
                <w:szCs w:val="20"/>
                <w:color w:val="auto"/>
              </w:rPr>
            </w:pPr>
            <w:r>
              <w:rPr>
                <w:rFonts w:ascii="Arial" w:cs="Arial" w:eastAsia="Arial" w:hAnsi="Arial"/>
                <w:sz w:val="18"/>
                <w:szCs w:val="18"/>
                <w:color w:val="auto"/>
              </w:rPr>
              <w:t xml:space="preserve">equity earnings </w:t>
            </w:r>
            <w:r>
              <w:rPr>
                <w:rFonts w:ascii="Arial" w:cs="Arial" w:eastAsia="Arial" w:hAnsi="Arial"/>
                <w:sz w:val="23"/>
                <w:szCs w:val="23"/>
                <w:color w:val="auto"/>
                <w:vertAlign w:val="superscript"/>
              </w:rPr>
              <w:t>(10)</w:t>
            </w:r>
          </w:p>
        </w:tc>
        <w:tc>
          <w:tcPr>
            <w:tcW w:w="8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gridSpan w:val="2"/>
          </w:tcPr>
          <w:p>
            <w:pPr>
              <w:ind w:left="12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(11)</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58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(11)</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5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80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gridSpan w:val="2"/>
            <w:vMerge w:val="restart"/>
          </w:tcPr>
          <w:p>
            <w:pPr>
              <w:ind w:left="120"/>
              <w:spacing w:after="0" w:line="243"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(11)</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tcBorders>
              <w:bottom w:val="single" w:sz="8" w:color="CCEEFF"/>
            </w:tcBorders>
            <w:gridSpan w:val="2"/>
            <w:vMerge w:val="continue"/>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(127)</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Implied DCF Excess </w:t>
            </w:r>
            <w:r>
              <w:rPr>
                <w:rFonts w:ascii="Arial" w:cs="Arial" w:eastAsia="Arial" w:hAnsi="Arial"/>
                <w:sz w:val="23"/>
                <w:szCs w:val="23"/>
                <w:color w:val="auto"/>
                <w:vertAlign w:val="superscript"/>
              </w:rPr>
              <w:t>(12)</w:t>
            </w:r>
          </w:p>
        </w:tc>
        <w:tc>
          <w:tcPr>
            <w:tcW w:w="80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340" w:hanging="652"/>
        <w:spacing w:after="0" w:line="219" w:lineRule="auto"/>
        <w:tabs>
          <w:tab w:leader="none" w:pos="64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We exclude our proportionate share of the depreciation and amortization expense (including write-downs related to cancelled projects) of such unconsolidated entities when reviewing Adjusted EBITDA, similar to our consolidated assets.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hanging="11"/>
        <w:spacing w:after="0" w:line="277" w:lineRule="auto"/>
        <w:rPr>
          <w:sz w:val="20"/>
          <w:szCs w:val="20"/>
          <w:color w:val="auto"/>
        </w:rPr>
      </w:pPr>
      <w:r>
        <w:rPr>
          <w:rFonts w:ascii="Arial" w:cs="Arial" w:eastAsia="Arial" w:hAnsi="Arial"/>
          <w:sz w:val="18"/>
          <w:szCs w:val="18"/>
          <w:color w:val="auto"/>
        </w:rPr>
        <w:t>For a more detailed discussion of these selected items impacting comparability, see the footnotes to the Segment Adjusted EBITDA Reconciliation table in Note 11 to our Condensed Consolidated Financial Statements.</w:t>
      </w:r>
    </w:p>
    <w:p>
      <w:pPr>
        <w:spacing w:after="0" w:line="62" w:lineRule="exact"/>
        <w:rPr>
          <w:sz w:val="20"/>
          <w:szCs w:val="20"/>
          <w:color w:val="auto"/>
        </w:rPr>
      </w:pPr>
    </w:p>
    <w:p>
      <w:pPr>
        <w:ind w:right="20" w:hanging="11"/>
        <w:spacing w:after="0" w:line="259" w:lineRule="auto"/>
        <w:rPr>
          <w:sz w:val="20"/>
          <w:szCs w:val="20"/>
          <w:color w:val="auto"/>
        </w:rPr>
      </w:pPr>
      <w:r>
        <w:rPr>
          <w:rFonts w:ascii="Arial" w:cs="Arial" w:eastAsia="Arial" w:hAnsi="Arial"/>
          <w:sz w:val="18"/>
          <w:szCs w:val="18"/>
          <w:color w:val="auto"/>
        </w:rPr>
        <w:t>The Preferred Distribution Rate Reset Option of our Series A preferred units is accounted for as an embedded derivative and recorded at fair value in our Condensed Consolidated Financial Statements. The associated gains and losses are not integral to our results and were thus classified as a selected item impacting comparability. See Note 8 to our Condensed Consolidated Financial Statements for additional information regarding the Preferred Distribution Rate Reset Option.</w:t>
      </w:r>
    </w:p>
    <w:p>
      <w:pPr>
        <w:spacing w:after="0" w:line="79"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ind w:left="660" w:hanging="652"/>
        <w:spacing w:after="0" w:line="269" w:lineRule="auto"/>
        <w:tabs>
          <w:tab w:leader="none" w:pos="648"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72" w:lineRule="exact"/>
        <w:rPr>
          <w:rFonts w:ascii="Arial" w:cs="Arial" w:eastAsia="Arial" w:hAnsi="Arial"/>
          <w:sz w:val="21"/>
          <w:szCs w:val="21"/>
          <w:color w:val="auto"/>
          <w:vertAlign w:val="superscript"/>
        </w:rPr>
      </w:pPr>
    </w:p>
    <w:p>
      <w:pPr>
        <w:ind w:left="660" w:right="320" w:hanging="652"/>
        <w:spacing w:after="0" w:line="238" w:lineRule="auto"/>
        <w:tabs>
          <w:tab w:leader="none" w:pos="648"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Other expense, net per our Condensed Consolidated Statements of Operations, adjusted for selected items impacting comparability (“Adjusted Other income/(expense), net”) is included in Adjusted EBITDA and excluded from Segment Adjusted EBITDA.</w:t>
      </w:r>
    </w:p>
    <w:p>
      <w:pPr>
        <w:sectPr>
          <w:pgSz w:w="11900" w:h="16838" w:orient="portrait"/>
          <w:cols w:equalWidth="0" w:num="1">
            <w:col w:w="11220"/>
          </w:cols>
          <w:pgMar w:left="320" w:top="125" w:right="35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Reflects amounts attributable to noncontrolling interests in the Permian JV and Red River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140" w:lineRule="exact"/>
        <w:rPr>
          <w:sz w:val="20"/>
          <w:szCs w:val="20"/>
          <w:color w:val="auto"/>
        </w:rPr>
      </w:pPr>
    </w:p>
    <w:p>
      <w:pPr>
        <w:ind w:left="20" w:right="320" w:hanging="11"/>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4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ind w:left="640" w:hanging="632"/>
        <w:spacing w:after="0"/>
        <w:tabs>
          <w:tab w:leader="none" w:pos="640" w:val="left"/>
        </w:tabs>
        <w:numPr>
          <w:ilvl w:val="0"/>
          <w:numId w:val="25"/>
        </w:numPr>
        <w:rPr>
          <w:rFonts w:ascii="Arial" w:cs="Arial" w:eastAsia="Arial" w:hAnsi="Arial"/>
          <w:sz w:val="22"/>
          <w:szCs w:val="22"/>
          <w:color w:val="auto"/>
          <w:vertAlign w:val="superscript"/>
        </w:rPr>
      </w:pPr>
      <w:r>
        <w:rPr>
          <w:rFonts w:ascii="Arial" w:cs="Arial" w:eastAsia="Arial" w:hAnsi="Arial"/>
          <w:sz w:val="17"/>
          <w:szCs w:val="17"/>
          <w:color w:val="auto"/>
        </w:rPr>
        <w:t>Investment capital expenditures attributable to noncontrolling interests that reduce Implied DCF available to PAA common unitholders.</w:t>
      </w:r>
    </w:p>
    <w:p>
      <w:pPr>
        <w:spacing w:after="0" w:line="93" w:lineRule="exact"/>
        <w:rPr>
          <w:rFonts w:ascii="Arial" w:cs="Arial" w:eastAsia="Arial" w:hAnsi="Arial"/>
          <w:sz w:val="22"/>
          <w:szCs w:val="22"/>
          <w:color w:val="auto"/>
          <w:vertAlign w:val="superscript"/>
        </w:rPr>
      </w:pPr>
    </w:p>
    <w:p>
      <w:pPr>
        <w:ind w:left="660" w:right="840" w:hanging="652"/>
        <w:spacing w:after="0" w:line="234" w:lineRule="auto"/>
        <w:tabs>
          <w:tab w:leader="none" w:pos="652"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60"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93" w:lineRule="exact"/>
        <w:rPr>
          <w:rFonts w:ascii="Arial" w:cs="Arial" w:eastAsia="Arial" w:hAnsi="Arial"/>
          <w:sz w:val="23"/>
          <w:szCs w:val="23"/>
          <w:color w:val="auto"/>
          <w:vertAlign w:val="superscript"/>
        </w:rPr>
      </w:pPr>
    </w:p>
    <w:p>
      <w:pPr>
        <w:ind w:left="660" w:right="320" w:hanging="652"/>
        <w:spacing w:after="0" w:line="227" w:lineRule="auto"/>
        <w:tabs>
          <w:tab w:leader="none" w:pos="652"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Excess DCF is retained to establish reserves for debt repayment, future distributions, common unit repurchases, capital expenditures and other partnership purposes.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 See Note 11 to our Condensed Consolidated Financial Statements for our definition of Segment Adjusted EBITDA and a reconciliation of Segment Adjusted EBITDA to Net income attributable to PAA. See Note 20 to our Consolidated Financial Statements included in Part IV of our 2021 Annual Report on Form 10-K for our definition of maintenance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Segment</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primarily our assets to sales locations, including our terminals, third-party connecting carriers, regional hubs or to refineries. Our merchant activities are subject to our risk management policies and may include the use of derivative instruments to hedge our exposure.</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oil purchases volumes and (ii) the overall strength, weakness and volatility of market conditions, including regional differentials and time spreads. In addition, the execution of our risk management strategies in conjunction with our assets can provide upside in certain markets. The segment results also include the direct fixed and variable field costs of operating the crude oil assets, as well as an allocation of indirect operating costs.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Crude Oil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7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5"/>
            <w:vMerge w:val="restart"/>
          </w:tcPr>
          <w:p>
            <w:pPr>
              <w:ind w:left="84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740" w:type="dxa"/>
            <w:vAlign w:val="bottom"/>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57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55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4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4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40" w:type="dxa"/>
            <w:vAlign w:val="bottom"/>
            <w:gridSpan w:val="4"/>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5"/>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740" w:type="dxa"/>
            <w:vAlign w:val="bottom"/>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 activities and inventory valuation</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40" w:type="dxa"/>
            <w:vAlign w:val="bottom"/>
            <w:gridSpan w:val="4"/>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40" w:type="dxa"/>
            <w:vAlign w:val="bottom"/>
            <w:gridSpan w:val="4"/>
          </w:tcPr>
          <w:p>
            <w:pPr>
              <w:ind w:left="180"/>
              <w:spacing w:after="0"/>
              <w:rPr>
                <w:sz w:val="20"/>
                <w:szCs w:val="20"/>
                <w:color w:val="auto"/>
              </w:rPr>
            </w:pPr>
            <w:r>
              <w:rPr>
                <w:rFonts w:ascii="Arial" w:cs="Arial" w:eastAsia="Arial" w:hAnsi="Arial"/>
                <w:sz w:val="18"/>
                <w:szCs w:val="18"/>
                <w:color w:val="auto"/>
              </w:rPr>
              <w:t>Equity-indexed compensation expense</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Net gain on foreign currency revaluation</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40" w:type="dxa"/>
            <w:vAlign w:val="bottom"/>
            <w:gridSpan w:val="4"/>
          </w:tcPr>
          <w:p>
            <w:pPr>
              <w:ind w:left="180"/>
              <w:spacing w:after="0"/>
              <w:rPr>
                <w:sz w:val="20"/>
                <w:szCs w:val="20"/>
                <w:color w:val="auto"/>
              </w:rPr>
            </w:pPr>
            <w:r>
              <w:rPr>
                <w:rFonts w:ascii="Arial" w:cs="Arial" w:eastAsia="Arial" w:hAnsi="Arial"/>
                <w:sz w:val="18"/>
                <w:szCs w:val="18"/>
                <w:color w:val="auto"/>
              </w:rPr>
              <w:t>Line 901 incident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Adjusted EBITDA attributable to noncontrolling interests</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7"/>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5"/>
            <w:vMerge w:val="restart"/>
          </w:tcPr>
          <w:p>
            <w:pPr>
              <w:ind w:left="88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80" w:type="dxa"/>
            <w:vAlign w:val="bottom"/>
            <w:gridSpan w:val="5"/>
          </w:tcPr>
          <w:p>
            <w:pPr>
              <w:ind w:left="20"/>
              <w:spacing w:after="0"/>
              <w:rPr>
                <w:sz w:val="20"/>
                <w:szCs w:val="20"/>
                <w:color w:val="auto"/>
              </w:rPr>
            </w:pPr>
            <w:r>
              <w:rPr>
                <w:rFonts w:ascii="Arial" w:cs="Arial" w:eastAsia="Arial" w:hAnsi="Arial"/>
                <w:sz w:val="14"/>
                <w:szCs w:val="14"/>
                <w:b w:val="1"/>
                <w:bCs w:val="1"/>
                <w:color w:val="auto"/>
              </w:rPr>
              <w:t>Average Volumes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5"/>
          </w:tcPr>
          <w:p>
            <w:pPr>
              <w:ind w:left="140"/>
              <w:spacing w:after="0"/>
              <w:rPr>
                <w:sz w:val="20"/>
                <w:szCs w:val="20"/>
                <w:color w:val="auto"/>
              </w:rPr>
            </w:pPr>
            <w:r>
              <w:rPr>
                <w:rFonts w:ascii="Arial" w:cs="Arial" w:eastAsia="Arial" w:hAnsi="Arial"/>
                <w:sz w:val="14"/>
                <w:szCs w:val="14"/>
                <w:b w:val="1"/>
                <w:bCs w:val="1"/>
                <w:color w:val="auto"/>
              </w:rPr>
              <w:t>Volumes</w:t>
            </w:r>
          </w:p>
        </w:tc>
        <w:tc>
          <w:tcPr>
            <w:tcW w:w="920" w:type="dxa"/>
            <w:vAlign w:val="bottom"/>
          </w:tcPr>
          <w:p>
            <w:pPr>
              <w:jc w:val="right"/>
              <w:ind w:right="51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720" w:type="dxa"/>
            <w:vAlign w:val="bottom"/>
            <w:tcBorders>
              <w:top w:val="single" w:sz="8" w:color="auto"/>
            </w:tcBorders>
            <w:gridSpan w:val="4"/>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Tariff activities volumes </w:t>
            </w:r>
            <w:r>
              <w:rPr>
                <w:rFonts w:ascii="Arial" w:cs="Arial" w:eastAsia="Arial" w:hAnsi="Arial"/>
                <w:sz w:val="23"/>
                <w:szCs w:val="23"/>
                <w:color w:val="auto"/>
                <w:vertAlign w:val="superscript"/>
              </w:rPr>
              <w:t>(4)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40" w:type="dxa"/>
            <w:vAlign w:val="bottom"/>
            <w:gridSpan w:val="4"/>
          </w:tcPr>
          <w:p>
            <w:pPr>
              <w:ind w:left="200"/>
              <w:spacing w:after="0"/>
              <w:rPr>
                <w:sz w:val="20"/>
                <w:szCs w:val="20"/>
                <w:color w:val="auto"/>
              </w:rPr>
            </w:pPr>
            <w:r>
              <w:rPr>
                <w:rFonts w:ascii="Arial" w:cs="Arial" w:eastAsia="Arial" w:hAnsi="Arial"/>
                <w:sz w:val="18"/>
                <w:szCs w:val="18"/>
                <w:color w:val="auto"/>
              </w:rPr>
              <w:t>Crude oil pipelines tariff volumes (by region):</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740" w:type="dxa"/>
            <w:vAlign w:val="bottom"/>
            <w:gridSpan w:val="4"/>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40" w:type="dxa"/>
            <w:vAlign w:val="bottom"/>
            <w:gridSpan w:val="4"/>
          </w:tcPr>
          <w:p>
            <w:pPr>
              <w:ind w:left="20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740" w:type="dxa"/>
            <w:vAlign w:val="bottom"/>
            <w:gridSpan w:val="4"/>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Mid-Continent </w:t>
            </w:r>
            <w:r>
              <w:rPr>
                <w:rFonts w:ascii="Arial" w:cs="Arial" w:eastAsia="Arial" w:hAnsi="Arial"/>
                <w:sz w:val="23"/>
                <w:szCs w:val="23"/>
                <w:color w:val="auto"/>
                <w:vertAlign w:val="superscript"/>
              </w:rPr>
              <w:t>(5)</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40" w:type="dxa"/>
            <w:vAlign w:val="bottom"/>
            <w:gridSpan w:val="4"/>
          </w:tcPr>
          <w:p>
            <w:pPr>
              <w:ind w:left="200"/>
              <w:spacing w:after="0"/>
              <w:rPr>
                <w:sz w:val="20"/>
                <w:szCs w:val="20"/>
                <w:color w:val="auto"/>
              </w:rPr>
            </w:pPr>
            <w:r>
              <w:rPr>
                <w:rFonts w:ascii="Arial" w:cs="Arial" w:eastAsia="Arial" w:hAnsi="Arial"/>
                <w:sz w:val="18"/>
                <w:szCs w:val="18"/>
                <w:color w:val="auto"/>
              </w:rPr>
              <w:t>Gulf Coast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740" w:type="dxa"/>
            <w:vAlign w:val="bottom"/>
            <w:gridSpan w:val="4"/>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40" w:type="dxa"/>
            <w:vAlign w:val="bottom"/>
            <w:gridSpan w:val="4"/>
          </w:tcPr>
          <w:p>
            <w:pPr>
              <w:ind w:left="200"/>
              <w:spacing w:after="0"/>
              <w:rPr>
                <w:sz w:val="20"/>
                <w:szCs w:val="20"/>
                <w:color w:val="auto"/>
              </w:rPr>
            </w:pPr>
            <w:r>
              <w:rPr>
                <w:rFonts w:ascii="Arial" w:cs="Arial" w:eastAsia="Arial" w:hAnsi="Arial"/>
                <w:sz w:val="18"/>
                <w:szCs w:val="18"/>
                <w:color w:val="auto"/>
              </w:rPr>
              <w:t>Western</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7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740" w:type="dxa"/>
            <w:vAlign w:val="bottom"/>
            <w:gridSpan w:val="4"/>
          </w:tcPr>
          <w:p>
            <w:pPr>
              <w:ind w:left="100"/>
              <w:spacing w:after="0"/>
              <w:rPr>
                <w:sz w:val="20"/>
                <w:szCs w:val="20"/>
                <w:color w:val="auto"/>
              </w:rPr>
            </w:pPr>
            <w:r>
              <w:rPr>
                <w:rFonts w:ascii="Arial" w:cs="Arial" w:eastAsia="Arial" w:hAnsi="Arial"/>
                <w:sz w:val="18"/>
                <w:szCs w:val="18"/>
                <w:color w:val="auto"/>
              </w:rPr>
              <w:t>Crude oil pipelines tariff activities total volumes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70"/>
        </w:trPr>
        <w:tc>
          <w:tcPr>
            <w:tcW w:w="3880" w:type="dxa"/>
            <w:vAlign w:val="bottom"/>
            <w:gridSpan w:val="2"/>
            <w:shd w:val="clear" w:color="auto" w:fill="CCEEFF"/>
          </w:tcPr>
          <w:p>
            <w:pPr>
              <w:spacing w:after="0"/>
              <w:rPr>
                <w:sz w:val="23"/>
                <w:szCs w:val="23"/>
                <w:color w:val="auto"/>
              </w:rPr>
            </w:pPr>
          </w:p>
        </w:tc>
        <w:tc>
          <w:tcPr>
            <w:tcW w:w="1840" w:type="dxa"/>
            <w:vAlign w:val="bottom"/>
            <w:gridSpan w:val="2"/>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80" w:type="dxa"/>
            <w:vAlign w:val="bottom"/>
            <w:gridSpan w:val="5"/>
          </w:tcPr>
          <w:p>
            <w:pPr>
              <w:ind w:left="20"/>
              <w:spacing w:after="0" w:line="230" w:lineRule="exact"/>
              <w:rPr>
                <w:sz w:val="20"/>
                <w:szCs w:val="20"/>
                <w:color w:val="auto"/>
              </w:rPr>
            </w:pPr>
            <w:r>
              <w:rPr>
                <w:rFonts w:ascii="Arial" w:cs="Arial" w:eastAsia="Arial" w:hAnsi="Arial"/>
                <w:sz w:val="18"/>
                <w:szCs w:val="18"/>
                <w:color w:val="auto"/>
              </w:rPr>
              <w:t xml:space="preserve">Commercial crude oil storage capacity </w:t>
            </w:r>
            <w:r>
              <w:rPr>
                <w:rFonts w:ascii="Arial" w:cs="Arial" w:eastAsia="Arial" w:hAnsi="Arial"/>
                <w:sz w:val="23"/>
                <w:szCs w:val="23"/>
                <w:color w:val="auto"/>
                <w:vertAlign w:val="superscript"/>
              </w:rPr>
              <w:t>(5) (6)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880" w:type="dxa"/>
            <w:vAlign w:val="bottom"/>
            <w:gridSpan w:val="2"/>
            <w:shd w:val="clear" w:color="auto" w:fill="CCEEFF"/>
          </w:tcPr>
          <w:p>
            <w:pPr>
              <w:spacing w:after="0"/>
              <w:rPr>
                <w:sz w:val="23"/>
                <w:szCs w:val="23"/>
                <w:color w:val="auto"/>
              </w:rPr>
            </w:pPr>
          </w:p>
        </w:tc>
        <w:tc>
          <w:tcPr>
            <w:tcW w:w="1840" w:type="dxa"/>
            <w:vAlign w:val="bottom"/>
            <w:gridSpan w:val="2"/>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780" w:type="dxa"/>
            <w:vAlign w:val="bottom"/>
            <w:gridSpan w:val="5"/>
          </w:tcPr>
          <w:p>
            <w:pPr>
              <w:ind w:left="20"/>
              <w:spacing w:after="0"/>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87"/>
        </w:trPr>
        <w:tc>
          <w:tcPr>
            <w:tcW w:w="40" w:type="dxa"/>
            <w:vAlign w:val="bottom"/>
            <w:tcBorders>
              <w:bottom w:val="single" w:sz="8" w:color="auto"/>
            </w:tcBorders>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c>
          <w:tcPr>
            <w:tcW w:w="18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Indicates that variance as a percentage is not meaningful.</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80" w:hanging="652"/>
        <w:spacing w:after="0" w:line="227" w:lineRule="auto"/>
        <w:tabs>
          <w:tab w:leader="none" w:pos="64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94" w:lineRule="exact"/>
        <w:rPr>
          <w:rFonts w:ascii="Arial" w:cs="Arial" w:eastAsia="Arial" w:hAnsi="Arial"/>
          <w:sz w:val="23"/>
          <w:szCs w:val="23"/>
          <w:color w:val="auto"/>
          <w:vertAlign w:val="superscript"/>
        </w:rPr>
      </w:pPr>
    </w:p>
    <w:p>
      <w:pPr>
        <w:ind w:left="660" w:right="220" w:hanging="652"/>
        <w:spacing w:after="0" w:line="249" w:lineRule="auto"/>
        <w:tabs>
          <w:tab w:leader="none" w:pos="648"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Average daily volumes in thousands of barrels per day calculated as the total volumes (attributable to our interest for pipelines owned by unconsolidated entities or undivided joint interests) for the year divided by the number of days in the year. Volumes associated with acquisitions represent total volumes for the number of days we actually owned the assets divided by the number of days in the period.</w:t>
      </w:r>
    </w:p>
    <w:p>
      <w:pPr>
        <w:sectPr>
          <w:pgSz w:w="11900" w:h="16838" w:orient="portrait"/>
          <w:cols w:equalWidth="0" w:num="1">
            <w:col w:w="11240"/>
          </w:cols>
          <w:pgMar w:left="320" w:top="125" w:right="3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assets owned by unconsolidated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capacity in millions of barrels per day calculated as total volumes for the period divided by the number of months in the period.</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Crude Oil Segment Adjusted EBITDA decreased for the three months ended March 31, 2022 compared to the same period in 2021 primarily due to (i) the sale of our natural gas storage facilities in August of 2021 and (ii) gains related to hedged power costs resulting from Winter Storm Uri recognized in the first quarter of 2021. These items were partially offset by increased earnings in the first quarter of 2022 from higher tariff volumes on our pipelines.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Variances in the components impacting Segment Adjusted EBITDA are discussed in more detail below.</w:t>
      </w:r>
    </w:p>
    <w:p>
      <w:pPr>
        <w:spacing w:after="0" w:line="25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i w:val="1"/>
          <w:iCs w:val="1"/>
          <w:color w:val="auto"/>
        </w:rPr>
        <w:t xml:space="preserve">Revenues, Net of Purchases and Related Costs (“net revenues”) and Equity Earnings in Unconsolidated Entities. </w:t>
      </w:r>
      <w:r>
        <w:rPr>
          <w:rFonts w:ascii="Arial" w:cs="Arial" w:eastAsia="Arial" w:hAnsi="Arial"/>
          <w:sz w:val="18"/>
          <w:szCs w:val="18"/>
          <w:color w:val="auto"/>
        </w:rPr>
        <w:t>The following is a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significant factors impacting net revenues and equity earnings in unconsolidated entities that contributed to the variance in Segment Adjusted EBITDA for the first quarter of 2022 compared to the first quarter of 2021.</w:t>
      </w:r>
    </w:p>
    <w:p>
      <w:pPr>
        <w:spacing w:after="0" w:line="184" w:lineRule="exact"/>
        <w:rPr>
          <w:sz w:val="20"/>
          <w:szCs w:val="20"/>
          <w:color w:val="auto"/>
        </w:rPr>
      </w:pPr>
    </w:p>
    <w:p>
      <w:pPr>
        <w:ind w:left="980" w:right="140" w:hanging="324"/>
        <w:spacing w:after="0" w:line="259"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Production and Market Impacts. </w:t>
      </w:r>
      <w:r>
        <w:rPr>
          <w:rFonts w:ascii="Arial" w:cs="Arial" w:eastAsia="Arial" w:hAnsi="Arial"/>
          <w:sz w:val="18"/>
          <w:szCs w:val="18"/>
          <w:color w:val="auto"/>
        </w:rPr>
        <w:t>Since the trough in demand for crude oil in 2020 related to the COVID-19 pandemic, we have seen steady</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our volumes, commensurate with the growth in total U.S. crude oil production, resulting in a favorable impact on our earnings in the first quarter of 2022 compared to the first quarter of 2021. This was partially offset by the impact of less favorable crude oil differentials, including contango profits that benefited the 2021 period.</w:t>
      </w:r>
    </w:p>
    <w:p>
      <w:pPr>
        <w:spacing w:after="0" w:line="213" w:lineRule="exact"/>
        <w:rPr>
          <w:rFonts w:ascii="Arial" w:cs="Arial" w:eastAsia="Arial" w:hAnsi="Arial"/>
          <w:sz w:val="18"/>
          <w:szCs w:val="18"/>
          <w:i w:val="1"/>
          <w:iCs w:val="1"/>
          <w:color w:val="auto"/>
        </w:rPr>
      </w:pPr>
    </w:p>
    <w:p>
      <w:pPr>
        <w:ind w:left="980" w:hanging="324"/>
        <w:spacing w:after="0" w:line="255"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Joint Venture Formation and Divestiture Transactions. </w:t>
      </w:r>
      <w:r>
        <w:rPr>
          <w:rFonts w:ascii="Arial" w:cs="Arial" w:eastAsia="Arial" w:hAnsi="Arial"/>
          <w:sz w:val="18"/>
          <w:szCs w:val="18"/>
          <w:color w:val="auto"/>
        </w:rPr>
        <w:t>In October of 2021, we closed on the transaction with Oryx Midstream to merge our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Permian Basin assets, with the exception of our long-haul pipeline systems and certain of our intra-basin assets into the Permian JV. The pipelines contributed by Oryx Midstream upon formation of the Permian JV resulted in approximately 640 thousand barrels per day of additional tariff volumes in the Permian Basin in the first quarter of 2022. We deduct the portion of the financial results attributable to Oryx Midstream’s 35% interest in the Permian JV in determining Segment Adjusted EBITDA, which offset the favorable impact of the additional volumes for the first quarter of 2022.</w:t>
      </w:r>
    </w:p>
    <w:p>
      <w:pPr>
        <w:spacing w:after="0" w:line="219" w:lineRule="exact"/>
        <w:rPr>
          <w:rFonts w:ascii="Arial" w:cs="Arial" w:eastAsia="Arial" w:hAnsi="Arial"/>
          <w:sz w:val="18"/>
          <w:szCs w:val="18"/>
          <w:i w:val="1"/>
          <w:iCs w:val="1"/>
          <w:color w:val="auto"/>
        </w:rPr>
      </w:pPr>
    </w:p>
    <w:p>
      <w:pPr>
        <w:ind w:left="980" w:right="22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We sold our natural gas storage facilities in August 2021, which was a significant driver of the decrease in our results for the first quarter of 2022 compared to the first quarter of 2021 as net re</w:t>
      </w:r>
      <w:r>
        <w:rPr>
          <w:rFonts w:ascii="Arial" w:cs="Arial" w:eastAsia="Arial" w:hAnsi="Arial"/>
          <w:sz w:val="18"/>
          <w:szCs w:val="18"/>
          <w:i w:val="1"/>
          <w:iCs w:val="1"/>
          <w:color w:val="auto"/>
        </w:rPr>
        <w:t>v</w:t>
      </w:r>
      <w:r>
        <w:rPr>
          <w:rFonts w:ascii="Arial" w:cs="Arial" w:eastAsia="Arial" w:hAnsi="Arial"/>
          <w:sz w:val="18"/>
          <w:szCs w:val="18"/>
          <w:color w:val="auto"/>
        </w:rPr>
        <w:t>enues from our natural gas storage facilities in the first quarter of 2021 were approximately $42 million, which included the benefit of favorable margins from hub activities related to Winter Storm Uri, as mentioned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line="286" w:lineRule="auto"/>
        <w:tabs>
          <w:tab w:leader="none" w:pos="975" w:val="left"/>
        </w:tabs>
        <w:numPr>
          <w:ilvl w:val="0"/>
          <w:numId w:val="28"/>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Winter Storm Uri. </w:t>
      </w:r>
      <w:r>
        <w:rPr>
          <w:rFonts w:ascii="Arial" w:cs="Arial" w:eastAsia="Arial" w:hAnsi="Arial"/>
          <w:sz w:val="17"/>
          <w:szCs w:val="17"/>
          <w:color w:val="auto"/>
        </w:rPr>
        <w:t>During the first quarter of 2021, Winter Storm Uri had a negative impact on our volumes; however, this impact was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offset during the 2021 period by gains related to hedged power costs, which are reflected in equity earnings and field operating costs, and favorable margins from hub activities at our natural gas storage facilities resulting from Winter Storm Uri.</w:t>
      </w:r>
    </w:p>
    <w:p>
      <w:pPr>
        <w:spacing w:after="0" w:line="192" w:lineRule="exact"/>
        <w:rPr>
          <w:rFonts w:ascii="Arial" w:cs="Arial" w:eastAsia="Arial" w:hAnsi="Arial"/>
          <w:sz w:val="17"/>
          <w:szCs w:val="17"/>
          <w:b w:val="1"/>
          <w:bCs w:val="1"/>
          <w:i w:val="1"/>
          <w:iCs w:val="1"/>
          <w:color w:val="auto"/>
        </w:rPr>
      </w:pPr>
    </w:p>
    <w:p>
      <w:pPr>
        <w:ind w:left="980" w:right="260" w:hanging="324"/>
        <w:spacing w:after="0" w:line="277" w:lineRule="auto"/>
        <w:tabs>
          <w:tab w:leader="none" w:pos="975"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Pipeline Loss Allowance Revenue. </w:t>
      </w:r>
      <w:r>
        <w:rPr>
          <w:rFonts w:ascii="Arial" w:cs="Arial" w:eastAsia="Arial" w:hAnsi="Arial"/>
          <w:sz w:val="18"/>
          <w:szCs w:val="18"/>
          <w:color w:val="auto"/>
        </w:rPr>
        <w:t>Pipeline loss allowance revenues increased for the three months ended March 31, 2022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2021 primarily due to higher prices and volumes during the 2022 period.</w:t>
      </w:r>
    </w:p>
    <w:p>
      <w:pPr>
        <w:spacing w:after="0" w:line="197" w:lineRule="exact"/>
        <w:rPr>
          <w:rFonts w:ascii="Arial" w:cs="Arial" w:eastAsia="Arial" w:hAnsi="Arial"/>
          <w:sz w:val="18"/>
          <w:szCs w:val="18"/>
          <w:i w:val="1"/>
          <w:iCs w:val="1"/>
          <w:color w:val="auto"/>
        </w:rPr>
      </w:pPr>
    </w:p>
    <w:p>
      <w:pPr>
        <w:ind w:left="980" w:right="20" w:hanging="324"/>
        <w:spacing w:after="0" w:line="271" w:lineRule="auto"/>
        <w:tabs>
          <w:tab w:leader="none" w:pos="975"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For the three months ended March 31, 2022 and 2021, Segment Adjusted EBITDA includes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$43 million and $26 million, respectively, associated with deficiencies under minimum volume commitments under contracts that have make-up rights. Although the payments have been received associated with the volume deficiencies, the revenues are not recognized until future periods when either the shortfall is made up or when the shipper’s make-up rights expire or it is determined that their ability to utilize the make-up right is remote. During the three months ended March 31, 2022 and 2021, we recognized approximately $37 million and $58 million, respectively, associated with deficiencies under minimum volume commitments that were previously deferred. The amount presented as an “Adjustment” in the table above reflects the net adjustment for revenues deferred during the period and the reversal of previously deferred revenues that were recognized during the period.</w:t>
      </w:r>
    </w:p>
    <w:p>
      <w:pPr>
        <w:spacing w:after="0" w:line="205" w:lineRule="exact"/>
        <w:rPr>
          <w:rFonts w:ascii="Arial" w:cs="Arial" w:eastAsia="Arial" w:hAnsi="Arial"/>
          <w:sz w:val="17"/>
          <w:szCs w:val="17"/>
          <w:i w:val="1"/>
          <w:iCs w:val="1"/>
          <w:color w:val="auto"/>
        </w:rPr>
      </w:pPr>
    </w:p>
    <w:p>
      <w:pPr>
        <w:ind w:left="980" w:right="60" w:hanging="324"/>
        <w:spacing w:after="0" w:line="263" w:lineRule="auto"/>
        <w:tabs>
          <w:tab w:leader="none" w:pos="975"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Project Completions. </w:t>
      </w:r>
      <w:r>
        <w:rPr>
          <w:rFonts w:ascii="Arial" w:cs="Arial" w:eastAsia="Arial" w:hAnsi="Arial"/>
          <w:sz w:val="18"/>
          <w:szCs w:val="18"/>
          <w:color w:val="auto"/>
        </w:rPr>
        <w:t>The Capline pipeline reversal project and phase two of the Wink to Webster pipeline project have been completed and</w:t>
      </w:r>
      <w:r>
        <w:rPr>
          <w:rFonts w:ascii="Arial" w:cs="Arial" w:eastAsia="Arial" w:hAnsi="Arial"/>
          <w:sz w:val="18"/>
          <w:szCs w:val="18"/>
          <w:i w:val="1"/>
          <w:iCs w:val="1"/>
          <w:color w:val="auto"/>
        </w:rPr>
        <w:t xml:space="preserve"> </w:t>
      </w:r>
      <w:r>
        <w:rPr>
          <w:rFonts w:ascii="Arial" w:cs="Arial" w:eastAsia="Arial" w:hAnsi="Arial"/>
          <w:sz w:val="18"/>
          <w:szCs w:val="18"/>
          <w:color w:val="auto"/>
        </w:rPr>
        <w:t>were placed in service in the first quarter of 2022, which favorably impacted equity earnings in unconsolidated entities and our tariff volumes for the 2022 period.</w:t>
      </w:r>
    </w:p>
    <w:p>
      <w:pPr>
        <w:spacing w:after="0" w:line="21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for the three months ended March 31, 2022 compared to the same period in 2021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 the impact of gains related to hedged power costs resulting from Winter Storm Uri recognized in the first quarter of 2021, (ii) additional estimated costs associated with the Line 901 incident (which impact field operating costs but are excluded from Segment Adjusted EBITDA and thus are reflected as an “Adjustment” in the table above), and (iii) incremental operating costs from the Permian JV.</w:t>
      </w:r>
    </w:p>
    <w:p>
      <w:pPr>
        <w:spacing w:after="0" w:line="19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See the</w:t>
      </w:r>
      <w:r>
        <w:rPr>
          <w:rFonts w:ascii="Arial" w:cs="Arial" w:eastAsia="Arial" w:hAnsi="Arial"/>
          <w:sz w:val="18"/>
          <w:szCs w:val="18"/>
          <w:i w:val="1"/>
          <w:iCs w:val="1"/>
          <w:color w:val="auto"/>
        </w:rPr>
        <w:t xml:space="preserve"> “—Consolidated Results” </w:t>
      </w:r>
      <w:r>
        <w:rPr>
          <w:rFonts w:ascii="Arial" w:cs="Arial" w:eastAsia="Arial" w:hAnsi="Arial"/>
          <w:sz w:val="18"/>
          <w:szCs w:val="18"/>
          <w:color w:val="auto"/>
        </w:rPr>
        <w:t>section above for a discussion of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w:t>
      </w:r>
    </w:p>
    <w:p>
      <w:pPr>
        <w:spacing w:after="0" w:line="19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The decrease in maintenance capital spending for the three months ended March 31, 2022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2021 was primarily due to timing.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Segment</w:t>
      </w:r>
    </w:p>
    <w:p>
      <w:pPr>
        <w:spacing w:after="0" w:line="229"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supply from the gas stream processed at our Empress straddle plant facility as well as acquiring NGL mix supply, which mix supply is then transported, stored and fractionated into finished products and sold to customers.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NGL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80" w:type="dxa"/>
            <w:vAlign w:val="bottom"/>
          </w:tcPr>
          <w:p>
            <w:pPr>
              <w:spacing w:after="0"/>
              <w:rPr>
                <w:sz w:val="14"/>
                <w:szCs w:val="14"/>
                <w:color w:val="auto"/>
              </w:rPr>
            </w:pPr>
          </w:p>
        </w:tc>
        <w:tc>
          <w:tcPr>
            <w:tcW w:w="240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40" w:type="dxa"/>
            <w:vAlign w:val="bottom"/>
            <w:gridSpan w:val="5"/>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ind w:left="516"/>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280" w:type="dxa"/>
            <w:vAlign w:val="bottom"/>
          </w:tcPr>
          <w:p>
            <w:pPr>
              <w:spacing w:after="0"/>
              <w:rPr>
                <w:sz w:val="15"/>
                <w:szCs w:val="15"/>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51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7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5840" w:type="dxa"/>
            <w:vAlign w:val="bottom"/>
            <w:gridSpan w:val="5"/>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840" w:type="dxa"/>
            <w:vAlign w:val="bottom"/>
            <w:gridSpan w:val="5"/>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40" w:type="dxa"/>
            <w:vAlign w:val="bottom"/>
            <w:gridSpan w:val="5"/>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3"/>
              </w:rPr>
              <w:t>(Gains)/losses from derivative activities and inventory valuation adjustments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30"/>
        </w:trPr>
        <w:tc>
          <w:tcPr>
            <w:tcW w:w="5840" w:type="dxa"/>
            <w:vAlign w:val="bottom"/>
            <w:gridSpan w:val="5"/>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8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Net gain on foreign currency revaluation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840" w:type="dxa"/>
            <w:vAlign w:val="bottom"/>
            <w:gridSpan w:val="5"/>
          </w:tcPr>
          <w:p>
            <w:pPr>
              <w:ind w:left="2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gridSpan w:val="5"/>
          </w:tcPr>
          <w:p>
            <w:pPr>
              <w:ind w:left="20"/>
              <w:spacing w:after="0"/>
              <w:rPr>
                <w:sz w:val="20"/>
                <w:szCs w:val="20"/>
                <w:color w:val="auto"/>
              </w:rPr>
            </w:pPr>
            <w:r>
              <w:rPr>
                <w:rFonts w:ascii="Arial" w:cs="Arial" w:eastAsia="Arial" w:hAnsi="Arial"/>
                <w:sz w:val="18"/>
                <w:szCs w:val="18"/>
                <w:color w:val="auto"/>
              </w:rPr>
              <w:t>Maintenance capital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24"/>
                <w:szCs w:val="24"/>
                <w:color w:val="auto"/>
              </w:rPr>
            </w:pPr>
          </w:p>
        </w:tc>
        <w:tc>
          <w:tcPr>
            <w:tcW w:w="1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ind w:left="496"/>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20" w:type="dxa"/>
            <w:vAlign w:val="bottom"/>
            <w:gridSpan w:val="4"/>
          </w:tcPr>
          <w:p>
            <w:pPr>
              <w:ind w:left="20"/>
              <w:spacing w:after="0" w:line="212" w:lineRule="exact"/>
              <w:rPr>
                <w:sz w:val="20"/>
                <w:szCs w:val="20"/>
                <w:color w:val="auto"/>
              </w:rPr>
            </w:pPr>
            <w:r>
              <w:rPr>
                <w:rFonts w:ascii="Arial" w:cs="Arial" w:eastAsia="Arial" w:hAnsi="Arial"/>
                <w:sz w:val="14"/>
                <w:szCs w:val="14"/>
                <w:b w:val="1"/>
                <w:bCs w:val="1"/>
                <w:color w:val="auto"/>
              </w:rPr>
              <w:t>Average Volumes (in thousands of barrels per day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23"/>
                <w:szCs w:val="23"/>
                <w:b w:val="1"/>
                <w:bCs w:val="1"/>
                <w:color w:val="auto"/>
                <w:vertAlign w:val="superscript"/>
              </w:rPr>
              <w:t>(4)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Volumes</w:t>
            </w:r>
          </w:p>
        </w:tc>
        <w:tc>
          <w:tcPr>
            <w:tcW w:w="920" w:type="dxa"/>
            <w:vAlign w:val="bottom"/>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5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NGL fractionation</w:t>
            </w:r>
          </w:p>
        </w:tc>
        <w:tc>
          <w:tcPr>
            <w:tcW w:w="8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NGL pipeline tariff</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NGL sales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1960" w:type="dxa"/>
            <w:vAlign w:val="bottom"/>
            <w:gridSpan w:val="4"/>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7"/>
        </w:trPr>
        <w:tc>
          <w:tcPr>
            <w:tcW w:w="5840" w:type="dxa"/>
            <w:vAlign w:val="bottom"/>
            <w:gridSpan w:val="5"/>
          </w:tcPr>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 xml:space="preserve">  Indicates that variance as a percentage is not meaningful.</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ind w:left="660" w:right="480" w:hanging="652"/>
        <w:spacing w:after="0" w:line="227"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94" w:lineRule="exact"/>
        <w:rPr>
          <w:rFonts w:ascii="Arial" w:cs="Arial" w:eastAsia="Arial" w:hAnsi="Arial"/>
          <w:sz w:val="23"/>
          <w:szCs w:val="23"/>
          <w:color w:val="auto"/>
          <w:vertAlign w:val="superscript"/>
        </w:rPr>
      </w:pPr>
    </w:p>
    <w:p>
      <w:pPr>
        <w:ind w:left="660" w:right="360" w:hanging="652"/>
        <w:spacing w:after="0" w:line="227"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Average daily volumes are calculated as total volumes (attributable to our interest for pipelines and facilities in which we have undivided joint interests) for the period divided by the number of days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Segment Adjusted EBITDA</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NGL Segment Adjusted EBITDA increased for the three months ended March 31, 2022 compared to the same period in 2021 primarily due to the favorable impact of higher realized fractionation spreads between the price of natural gas and the extracted NGL (“frac spreads”) and higher NGL sales prices, partially offset by lower NGL sales volumes.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variances in the components of Segment Adjusted EBITDA are discussed in more detail below.</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from our NGL activities increased for the three months ended March 31, 2022 compared to the same period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due to higher realized frac spreads and higher NGL sales prices, partially offset by lower NGL sales volumes. Additionally, net revenues for the 2022 period compared to 2021 include the benefit of our increased ownership in the Empress straddle plants effective June 2021.</w:t>
      </w:r>
    </w:p>
    <w:p>
      <w:pPr>
        <w:spacing w:after="0" w:line="19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months ended March 31, 2022 compared to the same period in 2021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 increased power costs related to our increased ownership in the Empress straddle plants and (ii) higher compensation costs including lower wage subsidies received by our Canadian subsidiary.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300" w:firstLine="648"/>
        <w:spacing w:after="0" w:line="285" w:lineRule="auto"/>
        <w:rPr>
          <w:sz w:val="20"/>
          <w:szCs w:val="20"/>
          <w:color w:val="auto"/>
        </w:rPr>
      </w:pPr>
      <w:r>
        <w:rPr>
          <w:rFonts w:ascii="Arial" w:cs="Arial" w:eastAsia="Arial" w:hAnsi="Arial"/>
          <w:sz w:val="16"/>
          <w:szCs w:val="16"/>
          <w:color w:val="auto"/>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our long-term debt and</w:t>
      </w:r>
    </w:p>
    <w:p>
      <w:pPr>
        <w:spacing w:after="0" w:line="2" w:lineRule="exact"/>
        <w:rPr>
          <w:sz w:val="20"/>
          <w:szCs w:val="20"/>
          <w:color w:val="auto"/>
        </w:rPr>
      </w:pPr>
    </w:p>
    <w:p>
      <w:pPr>
        <w:ind w:right="40" w:firstLine="8"/>
        <w:spacing w:after="0" w:line="253"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distributions to our unitholders. In addition, we may use cash for repurchases of common equity. We generally expect to fund our short-term cash requirements through cash flow generated from operating activities and/or borrowings under our commercial paper program or credit facilities. In addition, we generally expect to fund our long-term needs, such as those resulting from investment capital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21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As of March 31, 2022, although we had a working capital deficit of $473 million, we had approximately $2.4 billion of liquidity available to meet our ongoing operating, investing and financing needs, subject to continued covenant compliance, as noted below (in millions):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Availability under senior unsecured revolving credit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-149860</wp:posOffset>
            </wp:positionV>
            <wp:extent cx="710628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xml:space="preserve">Availability under senior secured hedged inventory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710628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Amounts outstanding under commercial paper program</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643"/>
        <w:spacing w:after="0"/>
        <w:rPr>
          <w:sz w:val="20"/>
          <w:szCs w:val="20"/>
          <w:color w:val="auto"/>
        </w:rPr>
      </w:pPr>
      <w:r>
        <w:rPr>
          <w:rFonts w:ascii="Arial" w:cs="Arial" w:eastAsia="Arial" w:hAnsi="Arial"/>
          <w:sz w:val="14"/>
          <w:szCs w:val="14"/>
          <w:b w:val="1"/>
          <w:bCs w:val="1"/>
          <w:color w:val="auto"/>
        </w:rPr>
        <w:t>As of</w:t>
      </w:r>
    </w:p>
    <w:p>
      <w:pPr>
        <w:ind w:left="343"/>
        <w:spacing w:after="0"/>
        <w:rPr>
          <w:sz w:val="20"/>
          <w:szCs w:val="20"/>
          <w:color w:val="auto"/>
        </w:rPr>
      </w:pPr>
      <w:r>
        <w:rPr>
          <w:rFonts w:ascii="Arial" w:cs="Arial" w:eastAsia="Arial" w:hAnsi="Arial"/>
          <w:sz w:val="14"/>
          <w:szCs w:val="14"/>
          <w:b w:val="1"/>
          <w:bCs w:val="1"/>
          <w:color w:val="auto"/>
        </w:rPr>
        <w:t>March 31, 2022</w:t>
      </w:r>
    </w:p>
    <w:p>
      <w:pPr>
        <w:spacing w:after="0" w:line="34" w:lineRule="exact"/>
        <w:rPr>
          <w:sz w:val="20"/>
          <w:szCs w:val="20"/>
          <w:color w:val="auto"/>
        </w:rPr>
      </w:pPr>
    </w:p>
    <w:p>
      <w:pPr>
        <w:ind w:left="1163" w:hanging="1163"/>
        <w:spacing w:after="0"/>
        <w:tabs>
          <w:tab w:leader="none" w:pos="11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1,321</w:t>
      </w:r>
    </w:p>
    <w:p>
      <w:pPr>
        <w:spacing w:after="0" w:line="23" w:lineRule="exact"/>
        <w:rPr>
          <w:rFonts w:ascii="Arial" w:cs="Arial" w:eastAsia="Arial" w:hAnsi="Arial"/>
          <w:sz w:val="18"/>
          <w:szCs w:val="18"/>
          <w:color w:val="auto"/>
        </w:rPr>
      </w:pPr>
    </w:p>
    <w:p>
      <w:pPr>
        <w:ind w:left="1163"/>
        <w:spacing w:after="0"/>
        <w:rPr>
          <w:rFonts w:ascii="Arial" w:cs="Arial" w:eastAsia="Arial" w:hAnsi="Arial"/>
          <w:sz w:val="18"/>
          <w:szCs w:val="18"/>
          <w:color w:val="auto"/>
        </w:rPr>
      </w:pPr>
      <w:r>
        <w:rPr>
          <w:rFonts w:ascii="Arial" w:cs="Arial" w:eastAsia="Arial" w:hAnsi="Arial"/>
          <w:sz w:val="18"/>
          <w:szCs w:val="18"/>
          <w:color w:val="auto"/>
        </w:rPr>
        <w:t>1,345</w:t>
      </w:r>
    </w:p>
    <w:p>
      <w:pPr>
        <w:spacing w:after="0" w:line="22" w:lineRule="exact"/>
        <w:rPr>
          <w:rFonts w:ascii="Arial" w:cs="Arial" w:eastAsia="Arial" w:hAnsi="Arial"/>
          <w:sz w:val="18"/>
          <w:szCs w:val="18"/>
          <w:color w:val="auto"/>
        </w:rPr>
      </w:pPr>
    </w:p>
    <w:p>
      <w:pPr>
        <w:ind w:left="1223"/>
        <w:spacing w:after="0"/>
        <w:rPr>
          <w:rFonts w:ascii="Arial" w:cs="Arial" w:eastAsia="Arial" w:hAnsi="Arial"/>
          <w:sz w:val="18"/>
          <w:szCs w:val="18"/>
          <w:color w:val="auto"/>
        </w:rPr>
      </w:pPr>
      <w:r>
        <w:rPr>
          <w:rFonts w:ascii="Arial" w:cs="Arial" w:eastAsia="Arial" w:hAnsi="Arial"/>
          <w:sz w:val="17"/>
          <w:szCs w:val="17"/>
          <w:color w:val="auto"/>
        </w:rPr>
        <w:t>(382)</w:t>
      </w:r>
    </w:p>
    <w:p>
      <w:pPr>
        <w:spacing w:after="0" w:line="33" w:lineRule="exact"/>
        <w:rPr>
          <w:sz w:val="20"/>
          <w:szCs w:val="20"/>
          <w:color w:val="auto"/>
        </w:rPr>
      </w:pPr>
    </w:p>
    <w:p>
      <w:pPr>
        <w:sectPr>
          <w:pgSz w:w="11900" w:h="16838" w:orient="portrait"/>
          <w:cols w:equalWidth="0" w:num="2">
            <w:col w:w="8857" w:space="720"/>
            <w:col w:w="1643"/>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9520" w:type="dxa"/>
            <w:vAlign w:val="bottom"/>
            <w:gridSpan w:val="2"/>
          </w:tcPr>
          <w:p>
            <w:pPr>
              <w:ind w:left="120"/>
              <w:spacing w:after="0"/>
              <w:rPr>
                <w:sz w:val="20"/>
                <w:szCs w:val="20"/>
                <w:color w:val="auto"/>
              </w:rPr>
            </w:pPr>
            <w:r>
              <w:rPr>
                <w:rFonts w:ascii="Arial" w:cs="Arial" w:eastAsia="Arial" w:hAnsi="Arial"/>
                <w:sz w:val="18"/>
                <w:szCs w:val="18"/>
                <w:color w:val="auto"/>
              </w:rPr>
              <w:t>Subtotal</w:t>
            </w:r>
          </w:p>
        </w:tc>
        <w:tc>
          <w:tcPr>
            <w:tcW w:w="6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r>
      <w:tr>
        <w:trPr>
          <w:trHeight w:val="230"/>
        </w:trPr>
        <w:tc>
          <w:tcPr>
            <w:tcW w:w="40" w:type="dxa"/>
            <w:vAlign w:val="bottom"/>
          </w:tcPr>
          <w:p>
            <w:pPr>
              <w:spacing w:after="0"/>
              <w:rPr>
                <w:sz w:val="19"/>
                <w:szCs w:val="19"/>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40" w:type="dxa"/>
            <w:vAlign w:val="bottom"/>
          </w:tcPr>
          <w:p>
            <w:pPr>
              <w:spacing w:after="0"/>
              <w:rPr>
                <w:sz w:val="19"/>
                <w:szCs w:val="19"/>
                <w:color w:val="auto"/>
              </w:rPr>
            </w:pPr>
          </w:p>
        </w:tc>
        <w:tc>
          <w:tcPr>
            <w:tcW w:w="95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2"/>
        </w:trPr>
        <w:tc>
          <w:tcPr>
            <w:tcW w:w="4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r>
    </w:tbl>
    <w:p>
      <w:pPr>
        <w:spacing w:after="0" w:line="121" w:lineRule="exact"/>
        <w:rPr>
          <w:sz w:val="20"/>
          <w:szCs w:val="20"/>
          <w:color w:val="auto"/>
        </w:rPr>
      </w:pPr>
    </w:p>
    <w:p>
      <w:pPr>
        <w:sectPr>
          <w:pgSz w:w="11900" w:h="16838" w:orient="portrait"/>
          <w:cols w:equalWidth="0" w:num="1">
            <w:col w:w="11220"/>
          </w:cols>
          <w:pgMar w:left="320" w:top="125" w:right="3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34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our commercial paper program, which reduce available capacity under the facilities.</w:t>
      </w:r>
    </w:p>
    <w:p>
      <w:pPr>
        <w:spacing w:after="0" w:line="62" w:lineRule="exact"/>
        <w:rPr>
          <w:sz w:val="20"/>
          <w:szCs w:val="20"/>
          <w:color w:val="auto"/>
        </w:rPr>
      </w:pPr>
    </w:p>
    <w:p>
      <w:pPr>
        <w:ind w:right="220" w:hanging="11"/>
        <w:spacing w:after="0" w:line="277" w:lineRule="auto"/>
        <w:rPr>
          <w:sz w:val="20"/>
          <w:szCs w:val="20"/>
          <w:color w:val="auto"/>
        </w:rPr>
      </w:pPr>
      <w:r>
        <w:rPr>
          <w:rFonts w:ascii="Arial" w:cs="Arial" w:eastAsia="Arial" w:hAnsi="Arial"/>
          <w:sz w:val="18"/>
          <w:szCs w:val="18"/>
          <w:color w:val="auto"/>
        </w:rPr>
        <w:t>Available capacity under our senior unsecured revolving credit facility and senior secured hedged inventory facility was reduced by outstanding letters of credit of $29 million and $5 million, respectively.</w:t>
      </w:r>
    </w:p>
    <w:p>
      <w:pPr>
        <w:spacing w:after="0" w:line="200"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Additionally, lack of compliance with the provisions in our credit agreements may restrict our ability to make distributions of available cash. We were in compliance with the covenants contained in our credit agreements and indentures as of March 31, 2022.</w:t>
      </w:r>
    </w:p>
    <w:p>
      <w:pPr>
        <w:spacing w:after="0" w:line="21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2021 Annual Report on Form 10-K for further discussion regarding risks that may impact our 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Measures</w:t>
      </w:r>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Free Cash Flow is further reduced by cash distributions paid to our preferred and common unitholders to arrive at Free Cash Flow after Distributions.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reconciliation of the non-GAAP financial liquidity measures Free Cash Flow and Free Cash Flow 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Distributions from Net Cash Provided by Operating Activities (in millions):</w:t>
      </w:r>
    </w:p>
    <w:p>
      <w:pPr>
        <w:spacing w:after="0" w:line="260"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30"/>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cash provided by operating activities to free cash flow:</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8600" w:type="dxa"/>
            <w:vAlign w:val="bottom"/>
            <w:gridSpan w:val="2"/>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8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6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(1)</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30"/>
        </w:trPr>
        <w:tc>
          <w:tcPr>
            <w:tcW w:w="86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(2)</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80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20"/>
        </w:trPr>
        <w:tc>
          <w:tcPr>
            <w:tcW w:w="3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4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distributions paid to our preferred and common unitholders during the period presented.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Net cash provided by operating activities for the first three months of 2022 and 2021 was $340 million and $791 million, respectively, and primarily resulted from earnings from our operations. During the three months ended March 31, 2022, our cash provided by operating activities was negatively impacted by working capital changes. During the three months ended March 31, 2021, our cash provided by operating activities was positively impacted by working capital changes, including decreases in the volume of inventory that we held, primarily due to the sale of crude oil inventory that had been stored during the contango market and the sale of NGL inventory related to demand for heating during the winter season. The net proceeds from the liquidation of such inventory were used to repay borrowings under our commercial paper program and credit facilities.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23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2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388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jc w:val="both"/>
        <w:ind w:right="26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76" w:lineRule="exact"/>
        <w:rPr>
          <w:sz w:val="20"/>
          <w:szCs w:val="20"/>
          <w:color w:val="auto"/>
        </w:rPr>
      </w:pPr>
    </w:p>
    <w:p>
      <w:pPr>
        <w:jc w:val="both"/>
        <w:ind w:right="240" w:hanging="11"/>
        <w:spacing w:after="0" w:line="277" w:lineRule="auto"/>
        <w:rPr>
          <w:sz w:val="20"/>
          <w:szCs w:val="20"/>
          <w:color w:val="auto"/>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10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i w:val="1"/>
          <w:iCs w:val="1"/>
          <w:color w:val="auto"/>
        </w:rPr>
        <w:t xml:space="preserve">2022 Investment and Maintenance Capital. </w:t>
      </w:r>
      <w:r>
        <w:rPr>
          <w:rFonts w:ascii="Arial" w:cs="Arial" w:eastAsia="Arial" w:hAnsi="Arial"/>
          <w:sz w:val="17"/>
          <w:szCs w:val="17"/>
          <w:color w:val="auto"/>
        </w:rPr>
        <w:t>Total investment capital for the year ended December 31, 2022 is projected to be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$330 million ($275 million net to our interest). Approximately half of our projected investment capital expenditures are expected to be invested in the Permian JV assets. Additionally, maintenance capital for the full year of 2022 is projected to be $220 million ($210 million net to our interest). We expect to fund our 2022 investment and maintenance capital expenditures primarily with retained cash flow.</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Proceeds from the sale of assets have generally been used to fund our investment capital projects and reduce debt levels. The following table summarizes the proceeds received during the first three months of 2022 and 2021 from sales of assets (in millions):</w:t>
      </w:r>
    </w:p>
    <w:p>
      <w:pPr>
        <w:spacing w:after="0" w:line="219"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w:t>
      </w:r>
    </w:p>
    <w:p>
      <w:pPr>
        <w:jc w:val="center"/>
        <w:ind w:left="8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260" w:val="left"/>
          <w:tab w:leader="none" w:pos="9420" w:val="left"/>
          <w:tab w:leader="none" w:pos="9800" w:val="left"/>
          <w:tab w:leader="none" w:pos="10960" w:val="left"/>
        </w:tabs>
        <w:rPr>
          <w:sz w:val="20"/>
          <w:szCs w:val="20"/>
          <w:color w:val="auto"/>
        </w:rPr>
      </w:pPr>
      <w:r>
        <w:rPr>
          <w:rFonts w:ascii="Arial" w:cs="Arial" w:eastAsia="Arial" w:hAnsi="Arial"/>
          <w:sz w:val="18"/>
          <w:szCs w:val="18"/>
          <w:color w:val="auto"/>
        </w:rPr>
        <w:t xml:space="preserve">Proceeds from divestitures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w:t>
        <w:tab/>
        <w:t>$</w:t>
      </w:r>
      <w:r>
        <w:rPr>
          <w:sz w:val="20"/>
          <w:szCs w:val="20"/>
          <w:color w:val="auto"/>
        </w:rPr>
        <w:tab/>
      </w: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459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5"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Represents proceeds, including working capital adjustments, net of transaction costs.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65"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are continuously engaged in the evaluation of potential transactions that support our current business strategy. In the past, such transactions have included the sale on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Business—Divestitures and acquisitions involve risks that may adversely affect our business” included in our 2021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Arrangements</w:t>
      </w:r>
    </w:p>
    <w:p>
      <w:pPr>
        <w:spacing w:after="0" w:line="256"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During the three months ended March 31, 2022, we had net borrowings on our credit facilities and commercial paper program of $382 million. The net borrowings resulted primarily from borrowings during the period related to funding needs for capital investments, inventory purchases, senior notes repayments and other general partnership purposes, partially offset by cash flow from operating activities and proceeds from asset sales.</w:t>
      </w:r>
    </w:p>
    <w:p>
      <w:pPr>
        <w:spacing w:after="0" w:line="176"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During the three months ended March 31, 2021, we had net repayments on our credit facilities and commercial paper program of $576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Repayment of Senior Notes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three months ended March 31, 2022, we redeemed our 3.65%, $750 million senior notes due June 2022. We utilized cash on hand and borrowings under our commercial paper program to repay these senior notes.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Equity Repurchase Program</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repurchased 2.4 million and 0.4 million common units under the Program through open market purchases that settled during the three months ended March 31, 2022 and 2021, respectively, for a total purchase price of $25 million and $3 million, respectively, including commissions and fees. At March 31, 2022, the remaining available capacity under the Program was $247 million.</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periodically access the capital markets for both equity and debt financing. We have filed with the SEC a universal shelf registration statement that, subject to effectiveness at the time of use, allows us to issue, in the aggregate, up to a specified amount of debt or equity securities (“Traditional Shelf”), under which we had approximately $1.1 billion of unsold securities available at March 31, 2022.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three months ended March 31, 2022.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Unitholders</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included in our 2021 Annual Report on Form 10-K for additional discussion.</w:t>
      </w:r>
    </w:p>
    <w:p>
      <w:pPr>
        <w:spacing w:after="0" w:line="20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On May 13, 2022, we will pay a quarterly cash distribution of $0.2175 per common unit ($0.87 per unit on an annualized basis) to unitholders of record at the close of business on April 29, 2022 for the period from January 1, 2022 through March 31, 2022, which represents a $0.0375 per unit increase from the distribution paid in February 2022.</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See Note 7 to our Condensed Consolidated Financial Statements for details of distributions paid during or pertaining to the first three months of 2022, including distributions to our preferred unitholders.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Distributions to noncontrolling interests represent amounts paid on interests in consolidated entities that are not owned by us. As of March 31, 2022, noncontrolling interests in our subsidiaries consisted of (i) a 35% interest in the Permian JV and (ii) a 33% interest in Red River LLC. See Note 7 to our Condensed Consolidated Financial Statements for details of distributions paid to noncontrolling interests during the three months ended March 31,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Purchase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12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March 31, 2022 (in millions):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Remainder of</w:t>
            </w:r>
          </w:p>
        </w:tc>
        <w:tc>
          <w:tcPr>
            <w:tcW w:w="8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2027 and</w:t>
            </w:r>
          </w:p>
        </w:tc>
        <w:tc>
          <w:tcPr>
            <w:tcW w:w="220" w:type="dxa"/>
            <w:vAlign w:val="bottom"/>
          </w:tcPr>
          <w:p>
            <w:pPr>
              <w:spacing w:after="0"/>
              <w:rPr>
                <w:sz w:val="14"/>
                <w:szCs w:val="14"/>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Thereafter</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23,259</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26,253</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25,271</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24,414</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23,148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72,905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8"/>
              </w:rPr>
              <w:t>195,250</w:t>
            </w:r>
          </w:p>
        </w:tc>
        <w:tc>
          <w:tcPr>
            <w:tcW w:w="0" w:type="dxa"/>
            <w:vAlign w:val="bottom"/>
          </w:tcPr>
          <w:p>
            <w:pPr>
              <w:spacing w:after="0"/>
              <w:rPr>
                <w:sz w:val="1"/>
                <w:szCs w:val="1"/>
                <w:color w:val="auto"/>
              </w:rPr>
            </w:pPr>
          </w:p>
        </w:tc>
      </w:tr>
      <w:tr>
        <w:trPr>
          <w:trHeight w:val="176"/>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249" w:lineRule="auto"/>
        <w:tabs>
          <w:tab w:leader="none" w:pos="648"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March 2022.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7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merchant activities, we provide certain suppliers with irrevocable standby letters of credit to secure our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for the purchase and transportation of crude oil, NGL and natural gas. Additionally, we issue letters of credit to support insurance programs, derivative transactions, including hedging-related margin obligations, and construction activities. At March 31, 2022 and December 31, 2021, we had outstanding letters of credit of approximately $34 million and $98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ind w:left="980" w:right="100" w:hanging="324"/>
        <w:spacing w:after="0" w:line="293"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declines in global crude oil demand and crude oil prices (whether due to the COVID-19 pandemic, future pandemics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56" w:lineRule="exact"/>
        <w:rPr>
          <w:rFonts w:ascii="Arial" w:cs="Arial" w:eastAsia="Arial" w:hAnsi="Arial"/>
          <w:sz w:val="16"/>
          <w:szCs w:val="16"/>
          <w:color w:val="auto"/>
        </w:rPr>
      </w:pPr>
    </w:p>
    <w:p>
      <w:pPr>
        <w:ind w:left="980" w:right="400" w:hanging="324"/>
        <w:spacing w:after="0" w:line="263" w:lineRule="auto"/>
        <w:tabs>
          <w:tab w:leader="none" w:pos="975" w:val="left"/>
        </w:tabs>
        <w:numPr>
          <w:ilvl w:val="0"/>
          <w:numId w:val="34"/>
        </w:numPr>
        <w:rPr>
          <w:rFonts w:ascii="Arial" w:cs="Arial" w:eastAsia="Arial" w:hAnsi="Arial"/>
          <w:sz w:val="18"/>
          <w:szCs w:val="18"/>
          <w:i w:val="1"/>
          <w:iCs w:val="1"/>
          <w:color w:val="auto"/>
        </w:rPr>
      </w:pPr>
      <w:r>
        <w:rPr>
          <w:rFonts w:ascii="Arial" w:cs="Arial" w:eastAsia="Arial" w:hAnsi="Arial"/>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75" w:lineRule="exact"/>
        <w:rPr>
          <w:rFonts w:ascii="Arial" w:cs="Arial" w:eastAsia="Arial" w:hAnsi="Arial"/>
          <w:sz w:val="18"/>
          <w:szCs w:val="18"/>
          <w:i w:val="1"/>
          <w:iCs w:val="1"/>
          <w:color w:val="auto"/>
        </w:rPr>
      </w:pPr>
    </w:p>
    <w:p>
      <w:pPr>
        <w:ind w:left="980" w:right="360" w:hanging="324"/>
        <w:spacing w:after="0" w:line="342"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jc w:val="both"/>
        <w:ind w:left="980" w:right="400" w:hanging="324"/>
        <w:spacing w:after="0" w:line="301"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line="259"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arise out of pandemic related concerns that prohibit, restrict or regulate hydraulic fracturing or that prohibit the development of oil and gas resources and the related infrastructure on lands dedicated to or served by our pipelines;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environmental liabilities, litigation or other events that are not covered by an indemnity, insurance or existing reserves;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key personnel and inability to attract and retain new talent;</w:t>
      </w:r>
    </w:p>
    <w:p>
      <w:pPr>
        <w:spacing w:after="0" w:line="117"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right="20" w:hanging="324"/>
        <w:spacing w:after="0" w:line="308" w:lineRule="auto"/>
        <w:tabs>
          <w:tab w:leader="none" w:pos="97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right="360" w:hanging="324"/>
        <w:spacing w:after="0" w:line="25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right="22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2021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3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1300" w:right="40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19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1300" w:right="3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186" w:lineRule="exact"/>
        <w:rPr>
          <w:rFonts w:ascii="Arial" w:cs="Arial" w:eastAsia="Arial" w:hAnsi="Arial"/>
          <w:sz w:val="18"/>
          <w:szCs w:val="18"/>
          <w:i w:val="1"/>
          <w:iCs w:val="1"/>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rFonts w:ascii="Arial" w:cs="Arial" w:eastAsia="Arial" w:hAnsi="Arial"/>
          <w:sz w:val="18"/>
          <w:szCs w:val="18"/>
          <w:color w:val="auto"/>
        </w:rPr>
      </w:pPr>
    </w:p>
    <w:p>
      <w:pPr>
        <w:ind w:left="1300" w:right="240"/>
        <w:spacing w:after="0" w:line="275" w:lineRule="auto"/>
        <w:rPr>
          <w:rFonts w:ascii="Arial" w:cs="Arial" w:eastAsia="Arial" w:hAnsi="Arial"/>
          <w:sz w:val="18"/>
          <w:szCs w:val="18"/>
          <w:color w:val="auto"/>
        </w:rPr>
      </w:pPr>
      <w:r>
        <w:rPr>
          <w:rFonts w:ascii="Arial" w:cs="Arial" w:eastAsia="Arial" w:hAnsi="Arial"/>
          <w:sz w:val="17"/>
          <w:szCs w:val="17"/>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6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2022 that would be expected from a 10% price increase or decrease is shown in the table below (in millions):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Effect of 10%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center"/>
              <w:ind w:left="797"/>
              <w:spacing w:after="0"/>
              <w:rPr>
                <w:sz w:val="20"/>
                <w:szCs w:val="20"/>
                <w:color w:val="auto"/>
              </w:rPr>
            </w:pPr>
            <w:r>
              <w:rPr>
                <w:rFonts w:ascii="Arial" w:cs="Arial" w:eastAsia="Arial" w:hAnsi="Arial"/>
                <w:sz w:val="18"/>
                <w:szCs w:val="18"/>
                <w:color w:val="auto"/>
                <w:w w:val="93"/>
              </w:rPr>
              <w:t>(40)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center"/>
              <w:ind w:left="857"/>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837"/>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center"/>
              <w:ind w:left="817"/>
              <w:spacing w:after="0"/>
              <w:rPr>
                <w:sz w:val="20"/>
                <w:szCs w:val="20"/>
                <w:color w:val="auto"/>
              </w:rPr>
            </w:pPr>
            <w:r>
              <w:rPr>
                <w:rFonts w:ascii="Arial" w:cs="Arial" w:eastAsia="Arial" w:hAnsi="Arial"/>
                <w:sz w:val="18"/>
                <w:szCs w:val="18"/>
                <w:color w:val="auto"/>
                <w:w w:val="93"/>
              </w:rPr>
              <w:t>(34)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3"/>
              </w:rPr>
              <w:t>(95)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857"/>
              <w:spacing w:after="0"/>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March 31, 2022, approximately $382 million, was subject to interest rate re-sets that generally range from one day to approximately one week. The average interest rate on variable rate debt that was outstanding during the three months ended March 31, 2022 was 1.0%, based upon rates in effect during such period. The fair value of our interest rate derivatives was a net asset of $97 million as of March 31, 2022. A 10% increase in the forward LIBOR curve as of March 31, 2022 would have resulted in an increase of $18 million to the fair value of our interest rate derivatives. A 10% decrease in the forward LIBOR curve as of March 31, 2022 would have resulted in a decrease of $18 million to the fair value of our interest rate derivatives. See Note 8 to our Condensed Consolidated Financial Statements for a discussion of our interest rate risk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5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United States treasury rates, default probabilities and timing estimates to ultimately calculate the fair value of our Series A preferred units with and without the Preferred Distribution Rate Reset Option. The fair value of this embedded derivative was a liability of $44 million as of March 31, 2022. A 10% increase or decrease in the fair value would have an impact of $4 million. See Note 8 to our Condensed Consolidated Financial Statements for a discussion of embedded derivatives.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2022,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10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For a discussion of our risk factors, see Item 1A. of our 2021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equity repurchase activity during the first quarter of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2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Total Number of Common Units</w:t>
            </w:r>
          </w:p>
        </w:tc>
        <w:tc>
          <w:tcPr>
            <w:tcW w:w="140" w:type="dxa"/>
            <w:vAlign w:val="bottom"/>
          </w:tcPr>
          <w:p>
            <w:pPr>
              <w:spacing w:after="0"/>
              <w:rPr>
                <w:sz w:val="14"/>
                <w:szCs w:val="14"/>
                <w:color w:val="auto"/>
              </w:rPr>
            </w:pPr>
          </w:p>
        </w:tc>
        <w:tc>
          <w:tcPr>
            <w:tcW w:w="2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Common Units</w:t>
            </w:r>
          </w:p>
        </w:tc>
        <w:tc>
          <w:tcPr>
            <w:tcW w:w="1580" w:type="dxa"/>
            <w:vAlign w:val="bottom"/>
            <w:gridSpan w:val="3"/>
            <w:vMerge w:val="continue"/>
          </w:tcPr>
          <w:p>
            <w:pPr>
              <w:spacing w:after="0"/>
              <w:rPr>
                <w:sz w:val="11"/>
                <w:szCs w:val="11"/>
                <w:color w:val="auto"/>
              </w:rPr>
            </w:pP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21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Common Units that May Yet Be</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6"/>
                <w:szCs w:val="16"/>
                <w:color w:val="auto"/>
              </w:rPr>
            </w:pPr>
          </w:p>
        </w:tc>
        <w:tc>
          <w:tcPr>
            <w:tcW w:w="1420" w:type="dxa"/>
            <w:vAlign w:val="bottom"/>
            <w:gridSpan w:val="2"/>
          </w:tcPr>
          <w:p>
            <w:pPr>
              <w:ind w:left="60"/>
              <w:spacing w:after="0" w:line="189" w:lineRule="exact"/>
              <w:rPr>
                <w:sz w:val="20"/>
                <w:szCs w:val="20"/>
                <w:color w:val="auto"/>
              </w:rPr>
            </w:pPr>
            <w:r>
              <w:rPr>
                <w:rFonts w:ascii="Arial" w:cs="Arial" w:eastAsia="Arial" w:hAnsi="Arial"/>
                <w:sz w:val="14"/>
                <w:szCs w:val="14"/>
                <w:b w:val="1"/>
                <w:bCs w:val="1"/>
                <w:color w:val="auto"/>
              </w:rPr>
              <w:t xml:space="preserve">Common Unit </w:t>
            </w:r>
            <w:r>
              <w:rPr>
                <w:rFonts w:ascii="Arial" w:cs="Arial" w:eastAsia="Arial" w:hAnsi="Arial"/>
                <w:sz w:val="18"/>
                <w:szCs w:val="18"/>
                <w:b w:val="1"/>
                <w:bCs w:val="1"/>
                <w:color w:val="auto"/>
                <w:vertAlign w:val="superscript"/>
              </w:rPr>
              <w:t>(1)</w:t>
            </w:r>
          </w:p>
        </w:tc>
        <w:tc>
          <w:tcPr>
            <w:tcW w:w="2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Announced Program</w:t>
            </w:r>
          </w:p>
        </w:tc>
        <w:tc>
          <w:tcPr>
            <w:tcW w:w="214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1"/>
              </w:rPr>
              <w:t xml:space="preserve">Purchased under the Program </w:t>
            </w:r>
            <w:r>
              <w:rPr>
                <w:rFonts w:ascii="Arial" w:cs="Arial" w:eastAsia="Arial" w:hAnsi="Arial"/>
                <w:sz w:val="18"/>
                <w:szCs w:val="18"/>
                <w:b w:val="1"/>
                <w:bCs w:val="1"/>
                <w:color w:val="auto"/>
                <w:w w:val="91"/>
                <w:vertAlign w:val="superscript"/>
              </w:rPr>
              <w:t>(2)</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1, 2022 - March 31, 2022</w:t>
            </w:r>
          </w:p>
        </w:tc>
        <w:tc>
          <w:tcPr>
            <w:tcW w:w="14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2,375,299</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2,375,299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246,864,022</w:t>
            </w:r>
          </w:p>
        </w:tc>
        <w:tc>
          <w:tcPr>
            <w:tcW w:w="0" w:type="dxa"/>
            <w:vAlign w:val="bottom"/>
          </w:tcPr>
          <w:p>
            <w:pPr>
              <w:spacing w:after="0"/>
              <w:rPr>
                <w:sz w:val="1"/>
                <w:szCs w:val="1"/>
                <w:color w:val="auto"/>
              </w:rPr>
            </w:pPr>
          </w:p>
        </w:tc>
      </w:tr>
      <w:tr>
        <w:trPr>
          <w:trHeight w:val="175"/>
        </w:trPr>
        <w:tc>
          <w:tcPr>
            <w:tcW w:w="3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Average price paid per common unit includes costs associated with the repurchases.</w:t>
      </w:r>
    </w:p>
    <w:p>
      <w:pPr>
        <w:spacing w:after="0" w:line="117" w:lineRule="exact"/>
        <w:rPr>
          <w:sz w:val="20"/>
          <w:szCs w:val="20"/>
          <w:color w:val="auto"/>
        </w:rPr>
      </w:pPr>
    </w:p>
    <w:p>
      <w:pPr>
        <w:ind w:left="20" w:right="40" w:hanging="11"/>
        <w:spacing w:after="0" w:line="254" w:lineRule="auto"/>
        <w:rPr>
          <w:sz w:val="20"/>
          <w:szCs w:val="20"/>
          <w:color w:val="auto"/>
        </w:rPr>
      </w:pPr>
      <w:r>
        <w:rPr>
          <w:rFonts w:ascii="Arial" w:cs="Arial" w:eastAsia="Arial" w:hAnsi="Arial"/>
          <w:sz w:val="18"/>
          <w:szCs w:val="18"/>
          <w:color w:val="auto"/>
        </w:rPr>
        <w:t>In November 2020, the board of directors of PAA GP Holdings LLC approved a $500 million common equity repurchase program (the “Program”), which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Class A shares that are repurchased will be canceled. No PAGP Class A shares were repurchased during the periods presented. The common units repurchased under the Program during the periods presented were cancelled immediately upon acquisition.</w:t>
      </w:r>
    </w:p>
    <w:p>
      <w:pPr>
        <w:spacing w:after="0" w:line="191"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062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0" w:lineRule="exact"/>
        <w:rPr>
          <w:sz w:val="20"/>
          <w:szCs w:val="20"/>
          <w:color w:val="auto"/>
        </w:rPr>
      </w:pPr>
    </w:p>
    <w:p>
      <w:pPr>
        <w:ind w:left="48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hyperlink r:id="rId90">
        <w:r>
          <w:rPr>
            <w:rFonts w:ascii="Arial" w:cs="Arial" w:eastAsia="Arial" w:hAnsi="Arial"/>
            <w:sz w:val="16"/>
            <w:szCs w:val="16"/>
            <w:u w:val="single" w:color="auto"/>
            <w:color w:val="0000FF"/>
          </w:rPr>
          <w:t>Seventh Amended and Restated Agreement of Limited Partnership of Plains All American Pipeline, L.P., dated as of October 10,</w:t>
        </w:r>
      </w:hyperlink>
    </w:p>
    <w:p>
      <w:pPr>
        <w:ind w:left="1760"/>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2017 (incorporated by reference to Exhibit 3.1 to our Current Report on Form 8-K filed October 12, 2017).</w:t>
        </w:r>
      </w:hyperlink>
    </w:p>
    <w:p>
      <w:pPr>
        <w:spacing w:after="0" w:line="115" w:lineRule="exact"/>
        <w:rPr>
          <w:sz w:val="20"/>
          <w:szCs w:val="20"/>
          <w:color w:val="auto"/>
        </w:rPr>
      </w:pPr>
    </w:p>
    <w:p>
      <w:pPr>
        <w:ind w:left="1380" w:right="60" w:hanging="1263"/>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Third Amended and Restated Agreement of Limited Partnership of Plains Marketing, L.P. dated as of April 1, 2004 (incorporated</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by reference to Exhibit 3.2 to our Quarterly Report on Form 10-Q for the quarter ended March 31, 2004).</w:t>
        </w:r>
      </w:hyperlink>
    </w:p>
    <w:p>
      <w:pPr>
        <w:spacing w:after="0" w:line="108" w:lineRule="exact"/>
        <w:rPr>
          <w:sz w:val="20"/>
          <w:szCs w:val="20"/>
          <w:color w:val="auto"/>
        </w:rPr>
      </w:pPr>
    </w:p>
    <w:p>
      <w:pPr>
        <w:ind w:left="1380" w:right="2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Amendment No. 1 dated December 31, 2010 to the Third Amended and Restated Agreement of Limited Partnership of Plains</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Marketing, L.P. (incorporated by reference to Exhibit 3.9 to our Annual Report on Form 10-K for the year ended December 31,</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2010).</w:t>
        </w:r>
      </w:hyperlink>
    </w:p>
    <w:p>
      <w:pPr>
        <w:spacing w:after="0" w:line="109" w:lineRule="exact"/>
        <w:rPr>
          <w:rFonts w:ascii="Arial" w:cs="Arial" w:eastAsia="Arial" w:hAnsi="Arial"/>
          <w:sz w:val="18"/>
          <w:szCs w:val="18"/>
          <w:color w:val="auto"/>
        </w:rPr>
      </w:pPr>
    </w:p>
    <w:p>
      <w:pPr>
        <w:ind w:left="1380" w:right="1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Amendment No. 2 dated January 1, 2011 to the Third Amended and Restated Agreement of Limited Partnership of Plains</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Marketing,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2010).</w:t>
        </w:r>
      </w:hyperlink>
    </w:p>
    <w:p>
      <w:pPr>
        <w:spacing w:after="0" w:line="109" w:lineRule="exact"/>
        <w:rPr>
          <w:rFonts w:ascii="Arial" w:cs="Arial" w:eastAsia="Arial" w:hAnsi="Arial"/>
          <w:sz w:val="18"/>
          <w:szCs w:val="18"/>
          <w:color w:val="auto"/>
        </w:rPr>
      </w:pPr>
    </w:p>
    <w:p>
      <w:pPr>
        <w:ind w:left="1380" w:right="2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FF"/>
          </w:rPr>
          <w:t>Amendment No. 3 dated June 30, 2011 to the Third Amended and Restated Agreement of Limited Partnership of Plains</w:t>
        </w:r>
      </w:hyperlink>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380" w:right="26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FF"/>
          </w:rPr>
          <w:t>Amendment No. 4 dated January 1, 2013 to the Third Amended and Restated Agreement of Limited Partnership of Plains</w:t>
        </w:r>
      </w:hyperlink>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FF"/>
          </w:rPr>
          <w:t>Marketing, L.P (incorporated by reference to Exhibit 3.8 to our Annual Report on Form 10-K for the year ended December 31,</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380" w:right="18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FF"/>
          </w:rPr>
          <w:t>Amendment No. 5 dated December 1, 2019 to the Third Amended and Restated Agreement of Limited Partnership of Plains</w:t>
        </w:r>
      </w:hyperlink>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2019).</w:t>
        </w:r>
      </w:hyperlink>
    </w:p>
    <w:p>
      <w:pPr>
        <w:spacing w:after="0" w:line="109" w:lineRule="exact"/>
        <w:rPr>
          <w:rFonts w:ascii="Arial" w:cs="Arial" w:eastAsia="Arial" w:hAnsi="Arial"/>
          <w:sz w:val="18"/>
          <w:szCs w:val="18"/>
          <w:color w:val="auto"/>
        </w:rPr>
      </w:pPr>
    </w:p>
    <w:p>
      <w:pPr>
        <w:ind w:left="1380" w:hanging="1263"/>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FF"/>
          </w:rPr>
          <w:t>Third Amended and Restated Agreement of Limited Partnership of Plains Pipeline, L.P. dated as of April 1, 2004 (incorporated by</w:t>
        </w:r>
      </w:hyperlink>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FF"/>
          </w:rPr>
          <w:t>reference to Exhibit 3.3 to our Quarterly Report on Form 10-Q for the quarter ended March 31, 2004).</w:t>
        </w:r>
      </w:hyperlink>
    </w:p>
    <w:p>
      <w:pPr>
        <w:spacing w:after="0" w:line="108" w:lineRule="exact"/>
        <w:rPr>
          <w:sz w:val="20"/>
          <w:szCs w:val="20"/>
          <w:color w:val="auto"/>
        </w:rPr>
      </w:pPr>
    </w:p>
    <w:p>
      <w:pPr>
        <w:ind w:left="1380" w:right="30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FF"/>
          </w:rPr>
          <w:t>Amendment No. 1 dated January 1, 2013 to the Third Amended and Restated Agreement of Limited Partnership of Plains</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FF"/>
          </w:rPr>
          <w:t>Pipeline,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2013).</w:t>
        </w:r>
      </w:hyperlink>
    </w:p>
    <w:p>
      <w:pPr>
        <w:spacing w:after="0" w:line="93" w:lineRule="exact"/>
        <w:rPr>
          <w:rFonts w:ascii="Arial" w:cs="Arial" w:eastAsia="Arial" w:hAnsi="Arial"/>
          <w:sz w:val="18"/>
          <w:szCs w:val="18"/>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w:t>
      </w:r>
      <w:r>
        <w:rPr>
          <w:sz w:val="20"/>
          <w:szCs w:val="20"/>
          <w:color w:val="auto"/>
        </w:rPr>
        <w:tab/>
      </w:r>
      <w:hyperlink r:id="rId99">
        <w:r>
          <w:rPr>
            <w:rFonts w:ascii="Arial" w:cs="Arial" w:eastAsia="Arial" w:hAnsi="Arial"/>
            <w:sz w:val="16"/>
            <w:szCs w:val="16"/>
            <w:u w:val="single" w:color="auto"/>
            <w:color w:val="0000FF"/>
          </w:rPr>
          <w:t>Seventh Amended and Restated Limited Liability Company Agreement of Plains All American GP LLC dated November 15,</w:t>
        </w:r>
      </w:hyperlink>
    </w:p>
    <w:p>
      <w:pPr>
        <w:ind w:left="1760"/>
        <w:spacing w:after="0"/>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2016 (incorporated by reference to Exhibit 3.3 to our Current Report on Form 8-K filed November 21, 2016).</w:t>
        </w:r>
      </w:hyperlink>
    </w:p>
    <w:p>
      <w:pPr>
        <w:spacing w:after="0" w:line="115" w:lineRule="exact"/>
        <w:rPr>
          <w:rFonts w:ascii="Arial" w:cs="Arial" w:eastAsia="Arial" w:hAnsi="Arial"/>
          <w:sz w:val="18"/>
          <w:szCs w:val="18"/>
          <w:color w:val="auto"/>
        </w:rPr>
      </w:pPr>
    </w:p>
    <w:p>
      <w:pPr>
        <w:ind w:left="1380" w:right="280" w:hanging="1305"/>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 </w:t>
      </w:r>
      <w:hyperlink r:id="rId100">
        <w:r>
          <w:rPr>
            <w:rFonts w:ascii="Arial" w:cs="Arial" w:eastAsia="Arial" w:hAnsi="Arial"/>
            <w:sz w:val="18"/>
            <w:szCs w:val="18"/>
            <w:u w:val="single" w:color="auto"/>
            <w:color w:val="0000FF"/>
          </w:rPr>
          <w:t>Eighth Amended and Restated Limited Partnership Agreement of Plains AAP, L.P. dated November 15, 2016 (incorporated by</w:t>
        </w:r>
      </w:hyperlink>
      <w:r>
        <w:rPr>
          <w:rFonts w:ascii="Arial" w:cs="Arial" w:eastAsia="Arial" w:hAnsi="Arial"/>
          <w:sz w:val="18"/>
          <w:szCs w:val="18"/>
          <w:color w:val="auto"/>
        </w:rPr>
        <w:t xml:space="preserve"> </w:t>
      </w:r>
      <w:hyperlink r:id="rId100">
        <w:r>
          <w:rPr>
            <w:rFonts w:ascii="Arial" w:cs="Arial" w:eastAsia="Arial" w:hAnsi="Arial"/>
            <w:sz w:val="18"/>
            <w:szCs w:val="18"/>
            <w:u w:val="single" w:color="auto"/>
            <w:color w:val="0000FF"/>
          </w:rPr>
          <w:t>reference to Exhibit 3.4 to our Current Report on Form 8-K filed November 21, 2016).</w:t>
        </w:r>
      </w:hyperlink>
    </w:p>
    <w:p>
      <w:pPr>
        <w:spacing w:after="0" w:line="108"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FF"/>
          </w:rPr>
          <w:t>Amendment No. 1 dated September 26, 2018 to the Eighth Amended and Restated Limited Partnership Agreement of Plains AAP,</w:t>
        </w:r>
      </w:hyperlink>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FF"/>
          </w:rPr>
          <w:t>L.P. (incorporated by reference to Exhibit 3.1 to our Current Report on Form 8-K filed October 2, 2018).</w:t>
        </w:r>
      </w:hyperlink>
    </w:p>
    <w:p>
      <w:pPr>
        <w:spacing w:after="0" w:line="92" w:lineRule="exact"/>
        <w:rPr>
          <w:sz w:val="20"/>
          <w:szCs w:val="20"/>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w:t>
      </w:r>
      <w:r>
        <w:rPr>
          <w:sz w:val="20"/>
          <w:szCs w:val="20"/>
          <w:color w:val="auto"/>
        </w:rPr>
        <w:tab/>
      </w:r>
      <w:hyperlink r:id="rId102">
        <w:r>
          <w:rPr>
            <w:rFonts w:ascii="Arial" w:cs="Arial" w:eastAsia="Arial" w:hAnsi="Arial"/>
            <w:sz w:val="16"/>
            <w:szCs w:val="16"/>
            <w:u w:val="single" w:color="auto"/>
            <w:color w:val="0000FF"/>
          </w:rPr>
          <w:t>Amendment No. 2 dated May 23, 2019 to the Eighth Amended and Restated Limited Partnership Agreement of Plains AAP, L.P.</w:t>
        </w:r>
      </w:hyperlink>
    </w:p>
    <w:p>
      <w:pPr>
        <w:ind w:left="1760"/>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(incorporated by reference to Exhibit 3.1 to our Current Report on Form 8-K filed May 30, 2019).</w:t>
        </w:r>
      </w:hyperlink>
    </w:p>
    <w:p>
      <w:pPr>
        <w:spacing w:after="0" w:line="115" w:lineRule="exact"/>
        <w:rPr>
          <w:sz w:val="20"/>
          <w:szCs w:val="20"/>
          <w:color w:val="auto"/>
        </w:rPr>
      </w:pPr>
    </w:p>
    <w:p>
      <w:pPr>
        <w:ind w:left="1380" w:right="18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FF"/>
          </w:rPr>
          <w:t>Certificate of Incorporation of PAA Finance Corp. (f/k/a Pacific Energy Finance Corporation, successor-by-merger to PAA</w:t>
        </w:r>
      </w:hyperlink>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FF"/>
          </w:rPr>
          <w:t>Finance Corp.)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2006).</w:t>
        </w:r>
      </w:hyperlink>
    </w:p>
    <w:p>
      <w:pPr>
        <w:spacing w:after="0" w:line="109" w:lineRule="exact"/>
        <w:rPr>
          <w:rFonts w:ascii="Arial" w:cs="Arial" w:eastAsia="Arial" w:hAnsi="Arial"/>
          <w:sz w:val="18"/>
          <w:szCs w:val="18"/>
          <w:color w:val="auto"/>
        </w:rPr>
      </w:pPr>
    </w:p>
    <w:p>
      <w:pPr>
        <w:jc w:val="right"/>
        <w:ind w:left="440" w:right="800"/>
        <w:spacing w:after="0" w:line="25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3.15       —  </w:t>
      </w:r>
      <w:hyperlink r:id="rId104">
        <w:r>
          <w:rPr>
            <w:rFonts w:ascii="Arial" w:cs="Arial" w:eastAsia="Arial" w:hAnsi="Arial"/>
            <w:sz w:val="17"/>
            <w:szCs w:val="17"/>
            <w:u w:val="single" w:color="auto"/>
            <w:color w:val="0000FF"/>
          </w:rPr>
          <w:t>Bylaws of PAA Finance Corp. (f/k/a Pacific Energy Finance Corporation, successor-by-merger to PAA Finance Corp.)</w:t>
        </w:r>
      </w:hyperlink>
      <w:r>
        <w:rPr>
          <w:rFonts w:ascii="Arial" w:cs="Arial" w:eastAsia="Arial" w:hAnsi="Arial"/>
          <w:sz w:val="17"/>
          <w:szCs w:val="17"/>
          <w:color w:val="auto"/>
        </w:rPr>
        <w:t xml:space="preserve"> </w:t>
      </w:r>
      <w:hyperlink r:id="rId104">
        <w:r>
          <w:rPr>
            <w:rFonts w:ascii="Arial" w:cs="Arial" w:eastAsia="Arial" w:hAnsi="Arial"/>
            <w:sz w:val="17"/>
            <w:szCs w:val="17"/>
            <w:u w:val="single" w:color="auto"/>
            <w:color w:val="0000FF"/>
          </w:rPr>
          <w:t>(incorporated by reference to Exhibit 3.11 to our Annual Report on Form 10-K for the year ended December 31, 2006).</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FF"/>
          </w:rPr>
          <w:t>Limited Liability Company Agreement of PAA GP LLC dated December 28, 2007 (incorporated by reference to Exhibit 3.3 to our</w:t>
        </w:r>
      </w:hyperlink>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FF"/>
          </w:rPr>
          <w:t>Current Report on Form 8-K filed January 4, 2008).</w:t>
        </w:r>
      </w:hyperlink>
    </w:p>
    <w:p>
      <w:pPr>
        <w:spacing w:after="0" w:line="108" w:lineRule="exact"/>
        <w:rPr>
          <w:sz w:val="20"/>
          <w:szCs w:val="20"/>
          <w:color w:val="auto"/>
        </w:rPr>
      </w:pPr>
    </w:p>
    <w:p>
      <w:pPr>
        <w:ind w:left="1380" w:right="22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FF"/>
          </w:rPr>
          <w:t>Certificate of Limited Partnership of Plains GP Holdings, L.P. (incorporated by reference to Exhibit 3.1 to PAGP’s Registration</w:t>
        </w:r>
      </w:hyperlink>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FF"/>
          </w:rPr>
          <w:t>Statement on Form S-1 (333-190227) filed July 29, 2013).</w:t>
        </w:r>
      </w:hyperlink>
    </w:p>
    <w:p>
      <w:pPr>
        <w:spacing w:after="0" w:line="108" w:lineRule="exact"/>
        <w:rPr>
          <w:sz w:val="20"/>
          <w:szCs w:val="20"/>
          <w:color w:val="auto"/>
        </w:rPr>
      </w:pPr>
    </w:p>
    <w:p>
      <w:pPr>
        <w:ind w:left="1380" w:right="6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3.18</w:t>
      </w:r>
      <w:r>
        <w:rPr>
          <w:sz w:val="20"/>
          <w:szCs w:val="20"/>
          <w:color w:val="auto"/>
        </w:rPr>
        <w:tab/>
      </w:r>
      <w:r>
        <w:rPr>
          <w:rFonts w:ascii="Arial" w:cs="Arial" w:eastAsia="Arial" w:hAnsi="Arial"/>
          <w:sz w:val="17"/>
          <w:szCs w:val="17"/>
          <w:color w:val="auto"/>
        </w:rPr>
        <w:t xml:space="preserve">— </w:t>
      </w:r>
      <w:hyperlink r:id="rId108">
        <w:r>
          <w:rPr>
            <w:rFonts w:ascii="Arial" w:cs="Arial" w:eastAsia="Arial" w:hAnsi="Arial"/>
            <w:sz w:val="17"/>
            <w:szCs w:val="17"/>
            <w:u w:val="single" w:color="auto"/>
            <w:color w:val="0000FF"/>
          </w:rPr>
          <w:t>Second Amended and Restated Agreement of Limited Partnership of Plains GP Holdings, L.P. dated November 15, 2016</w:t>
        </w:r>
      </w:hyperlink>
      <w:r>
        <w:rPr>
          <w:rFonts w:ascii="Arial" w:cs="Arial" w:eastAsia="Arial" w:hAnsi="Arial"/>
          <w:sz w:val="17"/>
          <w:szCs w:val="17"/>
          <w:color w:val="auto"/>
        </w:rPr>
        <w:t xml:space="preserve"> </w:t>
      </w:r>
      <w:hyperlink r:id="rId108">
        <w:r>
          <w:rPr>
            <w:rFonts w:ascii="Arial" w:cs="Arial" w:eastAsia="Arial" w:hAnsi="Arial"/>
            <w:sz w:val="17"/>
            <w:szCs w:val="17"/>
            <w:u w:val="single" w:color="auto"/>
            <w:color w:val="0000FF"/>
          </w:rPr>
          <w:t>(incorporated by reference to Exhibit 3.2 to PAGP’s Current Report on Form 8-K filed November 21, 2016).</w:t>
        </w:r>
      </w:hyperlink>
    </w:p>
    <w:p>
      <w:pPr>
        <w:spacing w:after="0" w:line="93" w:lineRule="exact"/>
        <w:rPr>
          <w:sz w:val="20"/>
          <w:szCs w:val="20"/>
          <w:color w:val="auto"/>
        </w:rPr>
      </w:pPr>
    </w:p>
    <w:p>
      <w:pPr>
        <w:ind w:left="1380" w:right="40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3.19</w:t>
      </w:r>
      <w:r>
        <w:rPr>
          <w:sz w:val="20"/>
          <w:szCs w:val="20"/>
          <w:color w:val="auto"/>
        </w:rPr>
        <w:tab/>
      </w:r>
      <w:r>
        <w:rPr>
          <w:rFonts w:ascii="Arial" w:cs="Arial" w:eastAsia="Arial" w:hAnsi="Arial"/>
          <w:sz w:val="17"/>
          <w:szCs w:val="17"/>
          <w:color w:val="auto"/>
        </w:rPr>
        <w:t xml:space="preserve">— </w:t>
      </w:r>
      <w:hyperlink r:id="rId109">
        <w:r>
          <w:rPr>
            <w:rFonts w:ascii="Arial" w:cs="Arial" w:eastAsia="Arial" w:hAnsi="Arial"/>
            <w:sz w:val="17"/>
            <w:szCs w:val="17"/>
            <w:u w:val="single" w:color="auto"/>
            <w:color w:val="0000FF"/>
          </w:rPr>
          <w:t>Amendment No. 1 dated April 6, 2020 to the Second Amended and Restated Agreement of Limited Partnership of Plains GP</w:t>
        </w:r>
      </w:hyperlink>
      <w:r>
        <w:rPr>
          <w:rFonts w:ascii="Arial" w:cs="Arial" w:eastAsia="Arial" w:hAnsi="Arial"/>
          <w:sz w:val="17"/>
          <w:szCs w:val="17"/>
          <w:color w:val="auto"/>
        </w:rPr>
        <w:t xml:space="preserve"> </w:t>
      </w:r>
      <w:hyperlink r:id="rId109">
        <w:r>
          <w:rPr>
            <w:rFonts w:ascii="Arial" w:cs="Arial" w:eastAsia="Arial" w:hAnsi="Arial"/>
            <w:sz w:val="17"/>
            <w:szCs w:val="17"/>
            <w:u w:val="single" w:color="auto"/>
            <w:color w:val="0000FF"/>
          </w:rPr>
          <w:t>Holdings, L.P. (incorporated by reference to Exhibit 3.1 to PAGP’s Current Report on Form 8-K filed April 9, 2020).</w:t>
        </w:r>
      </w:hyperlink>
    </w:p>
    <w:p>
      <w:pPr>
        <w:spacing w:after="0" w:line="93"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3.20</w:t>
      </w:r>
      <w:r>
        <w:rPr>
          <w:sz w:val="20"/>
          <w:szCs w:val="20"/>
          <w:color w:val="auto"/>
        </w:rPr>
        <w:tab/>
      </w:r>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Certificate of Formation of PAA GP Holdings LLC (incorporated by reference to Exhibit 3.3 to PAGP’s Registration Statement on</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Form S-1 (333-190227) filed July 29, 2013).</w:t>
        </w:r>
      </w:hyperlink>
    </w:p>
    <w:p>
      <w:pPr>
        <w:spacing w:after="0" w:line="92" w:lineRule="exact"/>
        <w:rPr>
          <w:sz w:val="20"/>
          <w:szCs w:val="20"/>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w:t>
      </w:r>
      <w:r>
        <w:rPr>
          <w:sz w:val="20"/>
          <w:szCs w:val="20"/>
          <w:color w:val="auto"/>
        </w:rPr>
        <w:tab/>
      </w:r>
      <w:hyperlink r:id="rId111">
        <w:r>
          <w:rPr>
            <w:rFonts w:ascii="Arial" w:cs="Arial" w:eastAsia="Arial" w:hAnsi="Arial"/>
            <w:sz w:val="16"/>
            <w:szCs w:val="16"/>
            <w:u w:val="single" w:color="auto"/>
            <w:color w:val="0000FF"/>
          </w:rPr>
          <w:t>Fourth Amended and Restated Limited Liability Company Agreement of PAA GP Holdings LLC dated effective as of August 19,</w:t>
        </w:r>
      </w:hyperlink>
    </w:p>
    <w:p>
      <w:pPr>
        <w:ind w:left="1760"/>
        <w:spacing w:after="0"/>
        <w:rPr>
          <w:rFonts w:ascii="Arial" w:cs="Arial" w:eastAsia="Arial" w:hAnsi="Arial"/>
          <w:sz w:val="17"/>
          <w:szCs w:val="17"/>
          <w:u w:val="single" w:color="auto"/>
          <w:color w:val="0000FF"/>
        </w:rPr>
      </w:pPr>
      <w:hyperlink r:id="rId111">
        <w:r>
          <w:rPr>
            <w:rFonts w:ascii="Arial" w:cs="Arial" w:eastAsia="Arial" w:hAnsi="Arial"/>
            <w:sz w:val="17"/>
            <w:szCs w:val="17"/>
            <w:u w:val="single" w:color="auto"/>
            <w:color w:val="0000FF"/>
          </w:rPr>
          <w:t>2020 (incorporated by reference to Exhibit 3.21 to our Annual Report on Form 10-K for the year ended December 31, 2021).</w:t>
        </w:r>
      </w:hyperlink>
    </w:p>
    <w:p>
      <w:pPr>
        <w:spacing w:after="0" w:line="126" w:lineRule="exact"/>
        <w:rPr>
          <w:sz w:val="20"/>
          <w:szCs w:val="20"/>
          <w:color w:val="auto"/>
        </w:rPr>
      </w:pPr>
    </w:p>
    <w:p>
      <w:pPr>
        <w:ind w:left="1380" w:right="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FF"/>
          </w:rPr>
          <w:t>Indenture dated September 25, 2002 among Plains All American Pipeline, L.P., PAA Finance Corp. and Wachovia Bank, National</w:t>
        </w:r>
      </w:hyperlink>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FF"/>
          </w:rPr>
          <w:t>Association, as trustee (incorporated by reference to Exhibit 4.1 to our Quarterly Report on Form 10-Q for the quarter ended</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September 30, 2002).</w:t>
        </w:r>
      </w:hyperlink>
    </w:p>
    <w:p>
      <w:pPr>
        <w:spacing w:after="0" w:line="109" w:lineRule="exact"/>
        <w:rPr>
          <w:rFonts w:ascii="Arial" w:cs="Arial" w:eastAsia="Arial" w:hAnsi="Arial"/>
          <w:sz w:val="18"/>
          <w:szCs w:val="18"/>
          <w:color w:val="auto"/>
        </w:rPr>
      </w:pPr>
    </w:p>
    <w:p>
      <w:pPr>
        <w:ind w:left="138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Sixth Supplemental Indenture (Series A and Series B 6.70% Senior Notes due 2036) dated May 12, 2006 among Plains All</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American Pipeline, L.P., PAA Finance Corp., the Subsidiary Guarantors named therein and Wachovia Bank, National Association,</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as trustee (incorporated by reference to Exhibit 4.1 to our Current Report on Form 8-K filed May 12, 2006).</w:t>
        </w:r>
      </w:hyperlink>
    </w:p>
    <w:p>
      <w:pPr>
        <w:spacing w:after="0" w:line="109" w:lineRule="exact"/>
        <w:rPr>
          <w:rFonts w:ascii="Arial" w:cs="Arial" w:eastAsia="Arial" w:hAnsi="Arial"/>
          <w:sz w:val="18"/>
          <w:szCs w:val="18"/>
          <w:color w:val="auto"/>
        </w:rPr>
      </w:pPr>
    </w:p>
    <w:p>
      <w:pPr>
        <w:jc w:val="both"/>
        <w:ind w:left="1380" w:right="160" w:hanging="1263"/>
        <w:spacing w:after="0" w:line="237"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 </w:t>
      </w:r>
      <w:hyperlink r:id="rId114">
        <w:r>
          <w:rPr>
            <w:rFonts w:ascii="Arial" w:cs="Arial" w:eastAsia="Arial" w:hAnsi="Arial"/>
            <w:sz w:val="17"/>
            <w:szCs w:val="17"/>
            <w:u w:val="single" w:color="auto"/>
            <w:color w:val="0000FF"/>
          </w:rPr>
          <w:t>Tenth Supplemental Indenture (Series A and Series B 6.650% Senior Notes due 2037) dated October 30, 2006 among Plains All</w:t>
        </w:r>
      </w:hyperlink>
      <w:r>
        <w:rPr>
          <w:rFonts w:ascii="Arial" w:cs="Arial" w:eastAsia="Arial" w:hAnsi="Arial"/>
          <w:sz w:val="17"/>
          <w:szCs w:val="17"/>
          <w:color w:val="auto"/>
        </w:rPr>
        <w:t xml:space="preserve"> </w:t>
      </w:r>
      <w:hyperlink r:id="rId114">
        <w:r>
          <w:rPr>
            <w:rFonts w:ascii="Arial" w:cs="Arial" w:eastAsia="Arial" w:hAnsi="Arial"/>
            <w:sz w:val="17"/>
            <w:szCs w:val="17"/>
            <w:u w:val="single" w:color="auto"/>
            <w:color w:val="0000FF"/>
          </w:rPr>
          <w:t>American Pipeline, L.P., PAA Finance Corp., the Subsidiary Guarantors named therein and U.S. Bank National Association, as</w:t>
        </w:r>
      </w:hyperlink>
      <w:r>
        <w:rPr>
          <w:rFonts w:ascii="Arial" w:cs="Arial" w:eastAsia="Arial" w:hAnsi="Arial"/>
          <w:sz w:val="17"/>
          <w:szCs w:val="17"/>
          <w:u w:val="single" w:color="auto"/>
          <w:color w:val="0000FF"/>
        </w:rPr>
        <w:t xml:space="preserve"> </w:t>
      </w:r>
      <w:hyperlink r:id="rId114">
        <w:r>
          <w:rPr>
            <w:rFonts w:ascii="Arial" w:cs="Arial" w:eastAsia="Arial" w:hAnsi="Arial"/>
            <w:sz w:val="17"/>
            <w:szCs w:val="17"/>
            <w:u w:val="single" w:color="auto"/>
            <w:color w:val="0000FF"/>
          </w:rPr>
          <w:t>trustee (incorporated by reference to Exhibit 4.2 to our Current Report on Form 8-K filed October 30, 2006).</w:t>
        </w:r>
      </w:hyperlink>
    </w:p>
    <w:p>
      <w:pPr>
        <w:spacing w:after="0" w:line="109" w:lineRule="exact"/>
        <w:rPr>
          <w:rFonts w:ascii="Arial" w:cs="Arial" w:eastAsia="Arial" w:hAnsi="Arial"/>
          <w:sz w:val="17"/>
          <w:szCs w:val="17"/>
          <w:color w:val="auto"/>
        </w:rPr>
      </w:pPr>
    </w:p>
    <w:p>
      <w:pPr>
        <w:ind w:left="1380" w:right="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FF"/>
          </w:rPr>
          <w:t>Twenty-First Supplemental Indenture (5.15% Senior Notes due 2042) dated March 22, 2012 among Plains All American Pipeline,</w:t>
        </w:r>
      </w:hyperlink>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FF"/>
          </w:rPr>
          <w:t>L.P., PAA Finance Corp. and U.S. Bank National Association, as trustee (incorporated by reference to Exhibit 4.3 to our Current</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ind w:left="1380" w:right="40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w:t>
      </w:r>
      <w:hyperlink r:id="rId116">
        <w:r>
          <w:rPr>
            <w:rFonts w:ascii="Arial" w:cs="Arial" w:eastAsia="Arial" w:hAnsi="Arial"/>
            <w:sz w:val="18"/>
            <w:szCs w:val="18"/>
            <w:u w:val="single" w:color="auto"/>
            <w:color w:val="0000FF"/>
          </w:rPr>
          <w:t>Twenty-Second Supplemental Indenture (2.85% Senior Notes due 2023) dated December 10, 2012, by and among Plains All</w:t>
        </w:r>
      </w:hyperlink>
      <w:r>
        <w:rPr>
          <w:rFonts w:ascii="Arial" w:cs="Arial" w:eastAsia="Arial" w:hAnsi="Arial"/>
          <w:sz w:val="18"/>
          <w:szCs w:val="18"/>
          <w:color w:val="auto"/>
        </w:rPr>
        <w:t xml:space="preserve"> </w:t>
      </w:r>
      <w:hyperlink r:id="rId116">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Exhibit 4.1 to our Current Report on Form 8-K filed December 12, 2012).</w:t>
        </w:r>
      </w:hyperlink>
    </w:p>
    <w:p>
      <w:pPr>
        <w:spacing w:after="0" w:line="109" w:lineRule="exact"/>
        <w:rPr>
          <w:rFonts w:ascii="Arial" w:cs="Arial" w:eastAsia="Arial" w:hAnsi="Arial"/>
          <w:sz w:val="18"/>
          <w:szCs w:val="18"/>
          <w:color w:val="auto"/>
        </w:rPr>
      </w:pPr>
    </w:p>
    <w:p>
      <w:pPr>
        <w:jc w:val="both"/>
        <w:ind w:left="1380" w:right="5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FF"/>
          </w:rPr>
          <w:t>Twenty-Third Supplemental Indenture (4.30% Senior Notes due 2043) dated December 10, 2012, by and among Plains All</w:t>
        </w:r>
      </w:hyperlink>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Exhibit 4.3 to our Current Report on Form 8-K filed December 12, 2012).</w:t>
        </w:r>
      </w:hyperlink>
    </w:p>
    <w:p>
      <w:pPr>
        <w:spacing w:after="0" w:line="109" w:lineRule="exact"/>
        <w:rPr>
          <w:rFonts w:ascii="Arial" w:cs="Arial" w:eastAsia="Arial" w:hAnsi="Arial"/>
          <w:sz w:val="18"/>
          <w:szCs w:val="18"/>
          <w:color w:val="auto"/>
        </w:rPr>
      </w:pPr>
    </w:p>
    <w:p>
      <w:pPr>
        <w:jc w:val="both"/>
        <w:ind w:left="1380" w:right="6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xml:space="preserve">— </w:t>
      </w:r>
      <w:hyperlink r:id="rId118">
        <w:r>
          <w:rPr>
            <w:rFonts w:ascii="Arial" w:cs="Arial" w:eastAsia="Arial" w:hAnsi="Arial"/>
            <w:sz w:val="18"/>
            <w:szCs w:val="18"/>
            <w:u w:val="single" w:color="auto"/>
            <w:color w:val="0000FF"/>
          </w:rPr>
          <w:t>Twenty-Fourth Supplemental Indenture (3.85% Senior Notes due 2023) dated August 15, 2013, by and among Plains All</w:t>
        </w:r>
      </w:hyperlink>
      <w:r>
        <w:rPr>
          <w:rFonts w:ascii="Arial" w:cs="Arial" w:eastAsia="Arial" w:hAnsi="Arial"/>
          <w:sz w:val="18"/>
          <w:szCs w:val="18"/>
          <w:color w:val="auto"/>
        </w:rPr>
        <w:t xml:space="preserve"> </w:t>
      </w:r>
      <w:hyperlink r:id="rId118">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Exhibit 4.1 to our Current Report on Form 8-K filed August 15, 2013).</w:t>
        </w:r>
      </w:hyperlink>
    </w:p>
    <w:p>
      <w:pPr>
        <w:spacing w:after="0" w:line="109" w:lineRule="exact"/>
        <w:rPr>
          <w:rFonts w:ascii="Arial" w:cs="Arial" w:eastAsia="Arial" w:hAnsi="Arial"/>
          <w:sz w:val="18"/>
          <w:szCs w:val="18"/>
          <w:color w:val="auto"/>
        </w:rPr>
      </w:pPr>
    </w:p>
    <w:p>
      <w:pPr>
        <w:ind w:left="1380" w:right="60" w:hanging="1263"/>
        <w:spacing w:after="0" w:line="224" w:lineRule="auto"/>
        <w:tabs>
          <w:tab w:leader="none" w:pos="1360" w:val="left"/>
        </w:tabs>
        <w:rPr>
          <w:rFonts w:ascii="Arial" w:cs="Arial" w:eastAsia="Arial" w:hAnsi="Arial"/>
          <w:sz w:val="18"/>
          <w:szCs w:val="18"/>
          <w:color w:val="0000FF"/>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FF"/>
          </w:rPr>
          <w:t>Twenty-Fifth Supplemental Indenture (4.70% Senior Notes due 2044) dated April 23, 2014, by and among Plains All American</w:t>
        </w:r>
      </w:hyperlink>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Current Report on Form 8-K filed April 29, 2014)</w:t>
        </w:r>
        <w:r>
          <w:rPr>
            <w:rFonts w:ascii="Arial" w:cs="Arial" w:eastAsia="Arial" w:hAnsi="Arial"/>
            <w:sz w:val="18"/>
            <w:szCs w:val="18"/>
            <w:color w:val="000000"/>
          </w:rPr>
          <w:t>.</w:t>
        </w:r>
      </w:hyperlink>
    </w:p>
    <w:p>
      <w:pPr>
        <w:spacing w:after="0" w:line="109" w:lineRule="exact"/>
        <w:rPr>
          <w:rFonts w:ascii="Arial" w:cs="Arial" w:eastAsia="Arial" w:hAnsi="Arial"/>
          <w:sz w:val="18"/>
          <w:szCs w:val="18"/>
          <w:color w:val="auto"/>
        </w:rPr>
      </w:pPr>
    </w:p>
    <w:p>
      <w:pPr>
        <w:jc w:val="both"/>
        <w:ind w:left="1380" w:right="6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FF"/>
          </w:rPr>
          <w:t>Twenty-Sixth Supplemental Indenture (3.60% Senior Notes due 2024) dated September 9, 2014, by and among Plains All</w:t>
        </w:r>
      </w:hyperlink>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Exhibit 4.1 to our Current Report on Form 8-K filed September 11, 2014).</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4"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0060" w:type="dxa"/>
            <w:vAlign w:val="bottom"/>
            <w:gridSpan w:val="23"/>
          </w:tcPr>
          <w:p>
            <w:pPr>
              <w:ind w:left="20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22">
              <w:r>
                <w:rPr>
                  <w:rFonts w:ascii="Arial" w:cs="Arial" w:eastAsia="Arial" w:hAnsi="Arial"/>
                  <w:sz w:val="18"/>
                  <w:szCs w:val="18"/>
                  <w:color w:val="0000FF"/>
                  <w:w w:val="98"/>
                </w:rPr>
                <w:t>Twenty-Eighth Supplemental Indenture (4.90% Senior Notes due 2045) dated December 9, 2014, by and among Plains All</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4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American Pipeline, L.P., PAA Finance Corp. and U.S. Bank National Association, as trustee (incorporated by reference to</w:t>
              </w:r>
            </w:hyperlink>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7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Exhibit 4.3 to our Current Report on Form 8-K filed December 11, 2014).</w:t>
              </w:r>
            </w:hyperlink>
          </w:p>
        </w:tc>
        <w:tc>
          <w:tcPr>
            <w:tcW w:w="18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0060" w:type="dxa"/>
            <w:vAlign w:val="bottom"/>
            <w:gridSpan w:val="23"/>
          </w:tcPr>
          <w:p>
            <w:pPr>
              <w:ind w:left="20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3">
              <w:r>
                <w:rPr>
                  <w:rFonts w:ascii="Arial" w:cs="Arial" w:eastAsia="Arial" w:hAnsi="Arial"/>
                  <w:sz w:val="18"/>
                  <w:szCs w:val="18"/>
                  <w:color w:val="0000FF"/>
                  <w:w w:val="93"/>
                </w:rPr>
                <w:t>Twenty-Ninth Supplemental Indenture (4.65% Senior Notes due 2025) dated August 24, 2015, by and among Plains All American</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8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Current Report on Form 8-K filed August 26, 2015).</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060" w:type="dxa"/>
            <w:vAlign w:val="bottom"/>
            <w:gridSpan w:val="23"/>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24">
              <w:r>
                <w:rPr>
                  <w:rFonts w:ascii="Arial" w:cs="Arial" w:eastAsia="Arial" w:hAnsi="Arial"/>
                  <w:sz w:val="18"/>
                  <w:szCs w:val="18"/>
                  <w:color w:val="0000FF"/>
                  <w:w w:val="94"/>
                </w:rPr>
                <w:t>Thirtieth Supplemental Indenture (4.50% Senior Notes due 2026) dated November 22, 2016, by and among Plains All American</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80" w:type="dxa"/>
            <w:vAlign w:val="bottom"/>
            <w:gridSpan w:val="22"/>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Current Report on Form 8-K filed November 29, 2016)</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0060" w:type="dxa"/>
            <w:vAlign w:val="bottom"/>
            <w:gridSpan w:val="23"/>
          </w:tcPr>
          <w:p>
            <w:pPr>
              <w:ind w:left="20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25">
              <w:r>
                <w:rPr>
                  <w:rFonts w:ascii="Arial" w:cs="Arial" w:eastAsia="Arial" w:hAnsi="Arial"/>
                  <w:sz w:val="18"/>
                  <w:szCs w:val="18"/>
                  <w:color w:val="0000FF"/>
                  <w:w w:val="99"/>
                </w:rPr>
                <w:t>Thirty-First Supplemental Indenture (3.55% Senior Notes due 2029) dated September 16, 2019, by and among Plains All</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80" w:type="dxa"/>
            <w:vAlign w:val="bottom"/>
            <w:gridSpan w:val="22"/>
          </w:tcPr>
          <w:p>
            <w:pPr>
              <w:spacing w:after="0" w:line="156"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American Pipeline, L.P., PAA Finance Corp. and U.S. Bank National Association, as trustee (incorporated by reference to Exhibit</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our Current Report on Form 8-K filed September 17, 2019).</w:t>
              </w:r>
            </w:hyperlink>
          </w:p>
        </w:tc>
        <w:tc>
          <w:tcPr>
            <w:tcW w:w="4560" w:type="dxa"/>
            <w:vAlign w:val="bottom"/>
            <w:tcBorders>
              <w:top w:val="single" w:sz="8" w:color="0000FF"/>
            </w:tcBorders>
            <w:gridSpan w:val="14"/>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0060" w:type="dxa"/>
            <w:vAlign w:val="bottom"/>
            <w:gridSpan w:val="23"/>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26">
              <w:r>
                <w:rPr>
                  <w:rFonts w:ascii="Arial" w:cs="Arial" w:eastAsia="Arial" w:hAnsi="Arial"/>
                  <w:sz w:val="18"/>
                  <w:szCs w:val="18"/>
                  <w:color w:val="0000FF"/>
                  <w:w w:val="94"/>
                </w:rPr>
                <w:t>Thirty-Second Supplemental Indenture (3.80% Senior Notes due 2030) dated June 11, 2020, by and among Plains All American</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80" w:type="dxa"/>
            <w:vAlign w:val="bottom"/>
            <w:gridSpan w:val="22"/>
          </w:tcPr>
          <w:p>
            <w:pPr>
              <w:spacing w:after="0" w:line="15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Current Report on Form 8-K filed June 11, 2020).</w:t>
              </w:r>
            </w:hyperlink>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0060" w:type="dxa"/>
            <w:vAlign w:val="bottom"/>
            <w:gridSpan w:val="23"/>
          </w:tcPr>
          <w:p>
            <w:pPr>
              <w:ind w:left="20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27">
              <w:r>
                <w:rPr>
                  <w:rFonts w:ascii="Arial" w:cs="Arial" w:eastAsia="Arial" w:hAnsi="Arial"/>
                  <w:sz w:val="18"/>
                  <w:szCs w:val="18"/>
                  <w:color w:val="0000FF"/>
                  <w:w w:val="96"/>
                </w:rPr>
                <w:t>Registration Rights Agreement dated September 3, 2009 by and between Plains All American Pipeline, L.P. and Vulcan Gas</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94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127">
              <w:r>
                <w:rPr>
                  <w:rFonts w:ascii="Arial" w:cs="Arial" w:eastAsia="Arial" w:hAnsi="Arial"/>
                  <w:sz w:val="18"/>
                  <w:szCs w:val="18"/>
                  <w:color w:val="0000FF"/>
                  <w:w w:val="93"/>
                </w:rPr>
                <w:t>Storage LLC (incorporated by reference to Exhibit 4.1 to our Registration Statement on Form S-3, File No. 333-162477).</w:t>
              </w:r>
            </w:hyperlink>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10060" w:type="dxa"/>
            <w:vAlign w:val="bottom"/>
            <w:gridSpan w:val="23"/>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28">
              <w:r>
                <w:rPr>
                  <w:rFonts w:ascii="Arial" w:cs="Arial" w:eastAsia="Arial" w:hAnsi="Arial"/>
                  <w:sz w:val="18"/>
                  <w:szCs w:val="18"/>
                  <w:color w:val="0000FF"/>
                  <w:w w:val="92"/>
                </w:rPr>
                <w:t>Registration Rights Agreement dated as of January 28, 2016 among Plains All American Pipeline, L.P. and the Purchasers named</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therein (incorporated by reference to Exhibit 4.1 to our Current Report on Form 8-K filed February 2, 2016).</w:t>
              </w:r>
            </w:hyperlink>
          </w:p>
        </w:tc>
        <w:tc>
          <w:tcPr>
            <w:tcW w:w="1480" w:type="dxa"/>
            <w:vAlign w:val="bottom"/>
            <w:tcBorders>
              <w:top w:val="single" w:sz="8" w:color="0000FF"/>
            </w:tcBorders>
            <w:gridSpan w:val="7"/>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0060" w:type="dxa"/>
            <w:vAlign w:val="bottom"/>
            <w:gridSpan w:val="23"/>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29">
              <w:r>
                <w:rPr>
                  <w:rFonts w:ascii="Arial" w:cs="Arial" w:eastAsia="Arial" w:hAnsi="Arial"/>
                  <w:sz w:val="18"/>
                  <w:szCs w:val="18"/>
                  <w:color w:val="0000FF"/>
                  <w:w w:val="92"/>
                </w:rPr>
                <w:t>Registration Rights Agreement by and among Plains All American Pipeline, L.P. and the Holders defined therein, dated November</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15, 2016 (incorporated by reference to Exhibit 10.4 to our Current Report on Form 8-K filed November 21, 2016).</w:t>
              </w:r>
            </w:hyperlink>
          </w:p>
        </w:tc>
        <w:tc>
          <w:tcPr>
            <w:tcW w:w="118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10060" w:type="dxa"/>
            <w:vAlign w:val="bottom"/>
            <w:gridSpan w:val="23"/>
          </w:tcPr>
          <w:p>
            <w:pPr>
              <w:ind w:left="2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30">
              <w:r>
                <w:rPr>
                  <w:rFonts w:ascii="Arial" w:cs="Arial" w:eastAsia="Arial" w:hAnsi="Arial"/>
                  <w:sz w:val="18"/>
                  <w:szCs w:val="18"/>
                  <w:color w:val="0000FF"/>
                  <w:w w:val="95"/>
                </w:rPr>
                <w:t>Description of Our Securities (incorporated by reference to Exhibit 4.19 to our Annual Report on Form 10-K for the year ended</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30">
              <w:r>
                <w:rPr>
                  <w:rFonts w:ascii="Arial" w:cs="Arial" w:eastAsia="Arial" w:hAnsi="Arial"/>
                  <w:sz w:val="18"/>
                  <w:szCs w:val="18"/>
                  <w:color w:val="0000FF"/>
                  <w:w w:val="88"/>
                </w:rPr>
                <w:t>December 31, 2021).</w:t>
              </w:r>
            </w:hyperlink>
          </w:p>
        </w:tc>
        <w:tc>
          <w:tcPr>
            <w:tcW w:w="7700" w:type="dxa"/>
            <w:vAlign w:val="bottom"/>
            <w:tcBorders>
              <w:top w:val="single" w:sz="8" w:color="0000FF"/>
            </w:tcBorders>
            <w:gridSpan w:val="15"/>
          </w:tcPr>
          <w:p>
            <w:pPr>
              <w:spacing w:after="0"/>
              <w:rPr>
                <w:sz w:val="13"/>
                <w:szCs w:val="13"/>
                <w:color w:val="auto"/>
              </w:rPr>
            </w:pPr>
          </w:p>
        </w:tc>
        <w:tc>
          <w:tcPr>
            <w:tcW w:w="260" w:type="dxa"/>
            <w:vAlign w:val="bottom"/>
            <w:gridSpan w:val="6"/>
          </w:tcPr>
          <w:p>
            <w:pPr>
              <w:spacing w:after="0"/>
              <w:rPr>
                <w:sz w:val="13"/>
                <w:szCs w:val="13"/>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94"/>
              </w:rPr>
              <w:t>10.1* †</w:t>
            </w:r>
          </w:p>
        </w:tc>
        <w:tc>
          <w:tcPr>
            <w:tcW w:w="10060" w:type="dxa"/>
            <w:vAlign w:val="bottom"/>
            <w:gridSpan w:val="2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8">
              <w:r>
                <w:rPr>
                  <w:rFonts w:ascii="Arial" w:cs="Arial" w:eastAsia="Arial" w:hAnsi="Arial"/>
                  <w:sz w:val="18"/>
                  <w:szCs w:val="18"/>
                  <w:color w:val="0000FF"/>
                </w:rPr>
                <w:t>Form of Amended and Restated Special Retention LTIP Grant Letter Dated February 24, 2022.</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gridSpan w:val="13"/>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87"/>
              </w:rPr>
              <w:t>31.1 †</w:t>
            </w:r>
          </w:p>
        </w:tc>
        <w:tc>
          <w:tcPr>
            <w:tcW w:w="10060" w:type="dxa"/>
            <w:vAlign w:val="bottom"/>
            <w:gridSpan w:val="2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5">
              <w:r>
                <w:rPr>
                  <w:rFonts w:ascii="Arial" w:cs="Arial" w:eastAsia="Arial" w:hAnsi="Arial"/>
                  <w:sz w:val="18"/>
                  <w:szCs w:val="18"/>
                  <w:color w:val="0000FF"/>
                </w:rPr>
                <w:t>Certification of Principal Executive Officer pursuant to Exchange Act Rules 13a-14(a) and 15d-14(a).</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gridSpan w:val="3"/>
            <w:shd w:val="clear" w:color="auto" w:fill="0000FF"/>
          </w:tcPr>
          <w:p>
            <w:pPr>
              <w:spacing w:after="0" w:line="20" w:lineRule="exact"/>
              <w:rPr>
                <w:sz w:val="1"/>
                <w:szCs w:val="1"/>
                <w:color w:val="auto"/>
              </w:rPr>
            </w:pPr>
          </w:p>
        </w:tc>
        <w:tc>
          <w:tcPr>
            <w:tcW w:w="2200" w:type="dxa"/>
            <w:vAlign w:val="bottom"/>
            <w:tcBorders>
              <w:left w:val="single" w:sz="8" w:color="0000FF"/>
            </w:tcBorders>
            <w:gridSpan w:val="13"/>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87"/>
              </w:rPr>
              <w:t>31.2 †</w:t>
            </w:r>
          </w:p>
        </w:tc>
        <w:tc>
          <w:tcPr>
            <w:tcW w:w="10060" w:type="dxa"/>
            <w:vAlign w:val="bottom"/>
            <w:gridSpan w:val="2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6">
              <w:r>
                <w:rPr>
                  <w:rFonts w:ascii="Arial" w:cs="Arial" w:eastAsia="Arial" w:hAnsi="Arial"/>
                  <w:sz w:val="18"/>
                  <w:szCs w:val="18"/>
                  <w:color w:val="0000FF"/>
                </w:rPr>
                <w:t>Certification of Principal Financial Officer pursuant to Exchange Act Rules 13a-14(a) and 15d-14(a).</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gridSpan w:val="3"/>
            <w:shd w:val="clear" w:color="auto" w:fill="0000FF"/>
          </w:tcPr>
          <w:p>
            <w:pPr>
              <w:spacing w:after="0" w:line="20" w:lineRule="exact"/>
              <w:rPr>
                <w:sz w:val="1"/>
                <w:szCs w:val="1"/>
                <w:color w:val="auto"/>
              </w:rPr>
            </w:pPr>
          </w:p>
        </w:tc>
        <w:tc>
          <w:tcPr>
            <w:tcW w:w="2200" w:type="dxa"/>
            <w:vAlign w:val="bottom"/>
            <w:gridSpan w:val="13"/>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32.1 ††</w:t>
            </w:r>
          </w:p>
        </w:tc>
        <w:tc>
          <w:tcPr>
            <w:tcW w:w="10060" w:type="dxa"/>
            <w:vAlign w:val="bottom"/>
            <w:gridSpan w:val="2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7">
              <w:r>
                <w:rPr>
                  <w:rFonts w:ascii="Arial" w:cs="Arial" w:eastAsia="Arial" w:hAnsi="Arial"/>
                  <w:sz w:val="18"/>
                  <w:szCs w:val="18"/>
                  <w:color w:val="0000FF"/>
                </w:rPr>
                <w:t>Certification of Principal Executive Officer pursuant to 18 U.S.C. 1350.</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360" w:type="dxa"/>
            <w:vAlign w:val="bottom"/>
            <w:tcBorders>
              <w:left w:val="single" w:sz="8" w:color="0000FF"/>
            </w:tcBorders>
            <w:gridSpan w:val="16"/>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32.2 ††</w:t>
            </w:r>
          </w:p>
        </w:tc>
        <w:tc>
          <w:tcPr>
            <w:tcW w:w="10060" w:type="dxa"/>
            <w:vAlign w:val="bottom"/>
            <w:gridSpan w:val="23"/>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8">
              <w:r>
                <w:rPr>
                  <w:rFonts w:ascii="Arial" w:cs="Arial" w:eastAsia="Arial" w:hAnsi="Arial"/>
                  <w:sz w:val="18"/>
                  <w:szCs w:val="18"/>
                  <w:color w:val="0000FF"/>
                </w:rPr>
                <w:t>Certification of Principal Financial Officer pursuant to 18 U.S.C. 1350.</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360" w:type="dxa"/>
            <w:vAlign w:val="bottom"/>
            <w:gridSpan w:val="16"/>
          </w:tcPr>
          <w:p>
            <w:pPr>
              <w:spacing w:after="0" w:line="20" w:lineRule="exact"/>
              <w:rPr>
                <w:sz w:val="1"/>
                <w:szCs w:val="1"/>
                <w:color w:val="auto"/>
              </w:rPr>
            </w:pPr>
          </w:p>
        </w:tc>
      </w:tr>
      <w:tr>
        <w:trPr>
          <w:trHeight w:val="304"/>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101.INS†</w:t>
            </w:r>
          </w:p>
        </w:tc>
        <w:tc>
          <w:tcPr>
            <w:tcW w:w="10060" w:type="dxa"/>
            <w:vAlign w:val="bottom"/>
            <w:gridSpan w:val="23"/>
          </w:tcPr>
          <w:p>
            <w:pPr>
              <w:ind w:left="200"/>
              <w:spacing w:after="0"/>
              <w:rPr>
                <w:sz w:val="20"/>
                <w:szCs w:val="20"/>
                <w:color w:val="auto"/>
              </w:rPr>
            </w:pPr>
            <w:r>
              <w:rPr>
                <w:rFonts w:ascii="Arial" w:cs="Arial" w:eastAsia="Arial" w:hAnsi="Arial"/>
                <w:sz w:val="18"/>
                <w:szCs w:val="18"/>
                <w:color w:val="auto"/>
                <w:w w:val="98"/>
              </w:rPr>
              <w:t>—  XBRL Instance Document - the instance document does not appear in the Interactive Data File because its XBRL tags are</w:t>
            </w:r>
          </w:p>
        </w:tc>
      </w:tr>
      <w:tr>
        <w:trPr>
          <w:trHeight w:val="230"/>
        </w:trPr>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80" w:type="dxa"/>
            <w:vAlign w:val="bottom"/>
            <w:gridSpan w:val="2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101.SCH†</w:t>
            </w:r>
          </w:p>
        </w:tc>
        <w:tc>
          <w:tcPr>
            <w:tcW w:w="10060" w:type="dxa"/>
            <w:vAlign w:val="bottom"/>
            <w:gridSpan w:val="23"/>
          </w:tcPr>
          <w:p>
            <w:pPr>
              <w:ind w:left="200"/>
              <w:spacing w:after="0"/>
              <w:rPr>
                <w:sz w:val="20"/>
                <w:szCs w:val="20"/>
                <w:color w:val="auto"/>
              </w:rPr>
            </w:pPr>
            <w:r>
              <w:rPr>
                <w:rFonts w:ascii="Arial" w:cs="Arial" w:eastAsia="Arial" w:hAnsi="Arial"/>
                <w:sz w:val="18"/>
                <w:szCs w:val="18"/>
                <w:color w:val="auto"/>
              </w:rPr>
              <w:t>—  Inline XBRL Taxonomy Extension Schema Document</w:t>
            </w:r>
          </w:p>
        </w:tc>
      </w:tr>
      <w:tr>
        <w:trPr>
          <w:trHeight w:val="338"/>
        </w:trPr>
        <w:tc>
          <w:tcPr>
            <w:tcW w:w="118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0060" w:type="dxa"/>
            <w:vAlign w:val="bottom"/>
            <w:gridSpan w:val="23"/>
          </w:tcPr>
          <w:p>
            <w:pPr>
              <w:ind w:left="20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338"/>
        </w:trPr>
        <w:tc>
          <w:tcPr>
            <w:tcW w:w="1180" w:type="dxa"/>
            <w:vAlign w:val="bottom"/>
          </w:tcPr>
          <w:p>
            <w:pPr>
              <w:jc w:val="center"/>
              <w:spacing w:after="0"/>
              <w:rPr>
                <w:sz w:val="20"/>
                <w:szCs w:val="20"/>
                <w:color w:val="auto"/>
              </w:rPr>
            </w:pPr>
            <w:r>
              <w:rPr>
                <w:rFonts w:ascii="Arial" w:cs="Arial" w:eastAsia="Arial" w:hAnsi="Arial"/>
                <w:sz w:val="18"/>
                <w:szCs w:val="18"/>
                <w:color w:val="auto"/>
                <w:w w:val="93"/>
              </w:rPr>
              <w:t>101.DEF†</w:t>
            </w:r>
          </w:p>
        </w:tc>
        <w:tc>
          <w:tcPr>
            <w:tcW w:w="10060" w:type="dxa"/>
            <w:vAlign w:val="bottom"/>
            <w:gridSpan w:val="23"/>
          </w:tcPr>
          <w:p>
            <w:pPr>
              <w:ind w:left="20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283"/>
        </w:trPr>
        <w:tc>
          <w:tcPr>
            <w:tcW w:w="1180" w:type="dxa"/>
            <w:vAlign w:val="bottom"/>
          </w:tcPr>
          <w:p>
            <w:pPr>
              <w:jc w:val="center"/>
              <w:spacing w:after="0"/>
              <w:rPr>
                <w:sz w:val="20"/>
                <w:szCs w:val="20"/>
                <w:color w:val="auto"/>
              </w:rPr>
            </w:pPr>
            <w:r>
              <w:rPr>
                <w:rFonts w:ascii="Arial" w:cs="Arial" w:eastAsia="Arial" w:hAnsi="Arial"/>
                <w:sz w:val="18"/>
                <w:szCs w:val="18"/>
                <w:color w:val="auto"/>
                <w:w w:val="96"/>
              </w:rPr>
              <w:t>101.LAB†</w:t>
            </w:r>
          </w:p>
        </w:tc>
        <w:tc>
          <w:tcPr>
            <w:tcW w:w="10060" w:type="dxa"/>
            <w:vAlign w:val="bottom"/>
            <w:gridSpan w:val="23"/>
          </w:tcPr>
          <w:p>
            <w:pPr>
              <w:ind w:left="20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338"/>
        </w:trPr>
        <w:tc>
          <w:tcPr>
            <w:tcW w:w="1180" w:type="dxa"/>
            <w:vAlign w:val="bottom"/>
          </w:tcPr>
          <w:p>
            <w:pPr>
              <w:jc w:val="center"/>
              <w:spacing w:after="0"/>
              <w:rPr>
                <w:sz w:val="20"/>
                <w:szCs w:val="20"/>
                <w:color w:val="auto"/>
              </w:rPr>
            </w:pPr>
            <w:r>
              <w:rPr>
                <w:rFonts w:ascii="Arial" w:cs="Arial" w:eastAsia="Arial" w:hAnsi="Arial"/>
                <w:sz w:val="18"/>
                <w:szCs w:val="18"/>
                <w:color w:val="auto"/>
                <w:w w:val="87"/>
              </w:rPr>
              <w:t>101.PRE†</w:t>
            </w:r>
          </w:p>
        </w:tc>
        <w:tc>
          <w:tcPr>
            <w:tcW w:w="10060" w:type="dxa"/>
            <w:vAlign w:val="bottom"/>
            <w:gridSpan w:val="23"/>
          </w:tcPr>
          <w:p>
            <w:pPr>
              <w:ind w:left="20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33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104†</w:t>
            </w:r>
          </w:p>
        </w:tc>
        <w:tc>
          <w:tcPr>
            <w:tcW w:w="10060" w:type="dxa"/>
            <w:vAlign w:val="bottom"/>
            <w:gridSpan w:val="23"/>
          </w:tcPr>
          <w:p>
            <w:pPr>
              <w:ind w:left="20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r>
      <w:tr>
        <w:trPr>
          <w:trHeight w:val="905"/>
        </w:trPr>
        <w:tc>
          <w:tcPr>
            <w:tcW w:w="1180" w:type="dxa"/>
            <w:vAlign w:val="bottom"/>
          </w:tcPr>
          <w:p>
            <w:pPr>
              <w:spacing w:after="0"/>
              <w:rPr>
                <w:sz w:val="24"/>
                <w:szCs w:val="24"/>
                <w:color w:val="auto"/>
              </w:rPr>
            </w:pPr>
          </w:p>
        </w:tc>
        <w:tc>
          <w:tcPr>
            <w:tcW w:w="4560" w:type="dxa"/>
            <w:vAlign w:val="bottom"/>
            <w:gridSpan w:val="5"/>
          </w:tcPr>
          <w:p>
            <w:pPr>
              <w:ind w:left="4360"/>
              <w:spacing w:after="0"/>
              <w:rPr>
                <w:sz w:val="20"/>
                <w:szCs w:val="20"/>
                <w:color w:val="auto"/>
              </w:rPr>
            </w:pPr>
            <w:r>
              <w:rPr>
                <w:rFonts w:ascii="Arial" w:cs="Arial" w:eastAsia="Arial" w:hAnsi="Arial"/>
                <w:sz w:val="18"/>
                <w:szCs w:val="18"/>
                <w:color w:val="auto"/>
                <w:w w:val="89"/>
              </w:rPr>
              <w:t>55</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24599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PLAINS ALL AMERICAN PIPELINE, L.P.</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PAA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8"/>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Plains AAP, L.P.,</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sole member</w:t>
            </w:r>
          </w:p>
        </w:tc>
      </w:tr>
      <w:tr>
        <w:trPr>
          <w:trHeight w:val="458"/>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May 9, 2022</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200" w:type="dxa"/>
            <w:vAlign w:val="bottom"/>
          </w:tcPr>
          <w:p>
            <w:pPr>
              <w:spacing w:after="0"/>
              <w:rPr>
                <w:sz w:val="15"/>
                <w:szCs w:val="15"/>
                <w:color w:val="auto"/>
              </w:rPr>
            </w:pPr>
          </w:p>
        </w:tc>
        <w:tc>
          <w:tcPr>
            <w:tcW w:w="50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89"/>
              </w:rPr>
              <w:t>Executive Vice President and Chief Financial Officer of Plains All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Financial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May 9, 2022</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200" w:type="dxa"/>
            <w:vAlign w:val="bottom"/>
          </w:tcPr>
          <w:p>
            <w:pPr>
              <w:spacing w:after="0"/>
              <w:rPr>
                <w:sz w:val="15"/>
                <w:szCs w:val="15"/>
                <w:color w:val="auto"/>
              </w:rPr>
            </w:pPr>
          </w:p>
        </w:tc>
        <w:tc>
          <w:tcPr>
            <w:tcW w:w="50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1"/>
              </w:rPr>
              <w:t>Senior Vice President, Finance and Chief Accounting Officer of</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Accounting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May 9, 2022</w:t>
            </w: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25" w:right="35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3175</wp:posOffset>
            </wp:positionV>
            <wp:extent cx="2486025" cy="737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24860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AMENDED AND RESTATED</w:t>
      </w:r>
    </w:p>
    <w:p>
      <w:pPr>
        <w:jc w:val="right"/>
        <w:spacing w:after="0" w:line="204" w:lineRule="auto"/>
        <w:rPr>
          <w:sz w:val="20"/>
          <w:szCs w:val="20"/>
          <w:color w:val="auto"/>
        </w:rPr>
      </w:pPr>
      <w:r>
        <w:rPr>
          <w:rFonts w:ascii="Arial" w:cs="Arial" w:eastAsia="Arial" w:hAnsi="Arial"/>
          <w:sz w:val="22"/>
          <w:szCs w:val="22"/>
          <w:b w:val="1"/>
          <w:bCs w:val="1"/>
          <w:u w:val="single" w:color="auto"/>
          <w:color w:val="auto"/>
        </w:rPr>
        <w:t>SPECIAL RETENTION LTIP GRANT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US Section 16 Officer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24, 2022</w:t>
      </w:r>
    </w:p>
    <w:p>
      <w:pPr>
        <w:jc w:val="center"/>
        <w:spacing w:after="0"/>
        <w:rPr>
          <w:sz w:val="20"/>
          <w:szCs w:val="20"/>
          <w:color w:val="auto"/>
        </w:rPr>
      </w:pPr>
      <w:r>
        <w:rPr>
          <w:rFonts w:ascii="Arial" w:cs="Arial" w:eastAsia="Arial" w:hAnsi="Arial"/>
          <w:sz w:val="22"/>
          <w:szCs w:val="22"/>
          <w:color w:val="auto"/>
        </w:rPr>
        <w:t>(Replaces and supersedes letter dated November 21, 2019)</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[Address]</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Amended and Restated Grant of Phantom Units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This letter replaces and supersedes the original grant letter dated November 21, 2019, pursuant to which you received an award of [•] Phantom Units under the Company’s 2013 Long-Term Incentive Plan (the “Plan”) and an equal number of distribution equivalent rights (“DERs”) representing the right to receive a cash payment equivalent to the amount, if any, paid in cash distributions on one Common Unit of Plains All American Pipeline, L.P. (“PAA” or the “Partnership”) to the holder of such Common Unit. The terms and conditions of this amended and restated grant are as set forth below.</w:t>
      </w:r>
    </w:p>
    <w:p>
      <w:pPr>
        <w:spacing w:after="0" w:line="176" w:lineRule="exact"/>
        <w:rPr>
          <w:sz w:val="20"/>
          <w:szCs w:val="20"/>
          <w:color w:val="auto"/>
        </w:rPr>
      </w:pPr>
    </w:p>
    <w:p>
      <w:pPr>
        <w:ind w:left="980" w:right="20" w:hanging="324"/>
        <w:spacing w:after="0" w:line="213" w:lineRule="auto"/>
        <w:tabs>
          <w:tab w:leader="none" w:pos="9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Units or applicable portion thereof shall vest (become payable in the form of one Common Unit of PAA for each Phantom Unit) as follows:</w:t>
      </w:r>
    </w:p>
    <w:p>
      <w:pPr>
        <w:ind w:left="1620" w:right="20" w:hanging="316"/>
        <w:spacing w:after="0" w:line="204" w:lineRule="auto"/>
        <w:tabs>
          <w:tab w:leader="none" w:pos="1608" w:val="left"/>
        </w:tabs>
        <w:numPr>
          <w:ilvl w:val="1"/>
          <w:numId w:val="38"/>
        </w:numPr>
        <w:rPr>
          <w:rFonts w:ascii="Arial" w:cs="Arial" w:eastAsia="Arial" w:hAnsi="Arial"/>
          <w:sz w:val="22"/>
          <w:szCs w:val="22"/>
          <w:color w:val="auto"/>
        </w:rPr>
      </w:pPr>
      <w:r>
        <w:rPr>
          <w:rFonts w:ascii="Arial" w:cs="Arial" w:eastAsia="Arial" w:hAnsi="Arial"/>
          <w:sz w:val="22"/>
          <w:szCs w:val="22"/>
          <w:color w:val="auto"/>
        </w:rPr>
        <w:t>Tranche A, which shall consist of 50% of the total number of Phantom Units covered by this grant letter, shall vest on the August 2026 Distribution Date; and</w:t>
      </w:r>
    </w:p>
    <w:p>
      <w:pPr>
        <w:spacing w:after="0" w:line="1" w:lineRule="exact"/>
        <w:rPr>
          <w:rFonts w:ascii="Arial" w:cs="Arial" w:eastAsia="Arial" w:hAnsi="Arial"/>
          <w:sz w:val="22"/>
          <w:szCs w:val="22"/>
          <w:color w:val="auto"/>
        </w:rPr>
      </w:pPr>
    </w:p>
    <w:p>
      <w:pPr>
        <w:jc w:val="both"/>
        <w:ind w:left="1620" w:hanging="316"/>
        <w:spacing w:after="0" w:line="214" w:lineRule="auto"/>
        <w:tabs>
          <w:tab w:leader="none" w:pos="162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Tranche B, which shall consist of up to 50% of the total number of Phantom Units covered by this grant letter, shall vest pursuant to the terms and conditions described in Exhibit A attached hereto. With respect to Tranche B, the actual number of Phantom Units that vest may be lower than the percentage of target Phantom Units associated with such Tranche.</w:t>
      </w:r>
    </w:p>
    <w:p>
      <w:pPr>
        <w:spacing w:after="0" w:line="186" w:lineRule="exact"/>
        <w:rPr>
          <w:rFonts w:ascii="Arial" w:cs="Arial" w:eastAsia="Arial" w:hAnsi="Arial"/>
          <w:sz w:val="22"/>
          <w:szCs w:val="22"/>
          <w:color w:val="auto"/>
        </w:rPr>
      </w:pPr>
    </w:p>
    <w:p>
      <w:pPr>
        <w:jc w:val="both"/>
        <w:ind w:left="1060" w:hanging="404"/>
        <w:spacing w:after="0" w:line="242" w:lineRule="auto"/>
        <w:tabs>
          <w:tab w:leader="none" w:pos="1050" w:val="left"/>
        </w:tabs>
        <w:numPr>
          <w:ilvl w:val="0"/>
          <w:numId w:val="38"/>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DERs have vested or will vest (become payable in cash) as follows: (i) one-fifth of your DERs vested upon and effective with the August 2020 Distribution Date; (ii) one-fifth of your DERs vested upon and effective with the August 2021 Distribution Date; (iii) one-fifth of your DERs shall vest upon and effective with the August 2022 Distribution Date; and (iv) two-fifths of your DERs will begin accruing with the first quarter 2022 distribution paid on the May 2022 Distribution Date and will continue to accrue until the associated Phantom Units vest or are forfeited pursuant to the terms hereof. Once the final payout percentages and the final number of Phantom Units vesting for Tranche B have been determined, such accrued amounts shall be adjusted so that they equal the total amount that would have been accrued in respect of the DERs associated with such vested Phantom Units had the accrual been based on such number of vested Phantom Units commencing on the May 2022 Distribution Date. All accrued and unpaid DERs associated with the number of vested Tranche B Phantom Units as finally determined, if any, shall be paid on the August 2026 Distribution Date or as soon thereafter as is administratively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240"/>
          </w:cols>
          <w:pgMar w:left="320" w:top="98"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t>[Name]</w:t>
      </w:r>
    </w:p>
    <w:p>
      <w:pPr>
        <w:spacing w:after="0" w:line="204" w:lineRule="auto"/>
        <w:rPr>
          <w:sz w:val="20"/>
          <w:szCs w:val="20"/>
          <w:color w:val="auto"/>
        </w:rPr>
      </w:pPr>
      <w:r>
        <w:rPr>
          <w:rFonts w:ascii="Arial" w:cs="Arial" w:eastAsia="Arial" w:hAnsi="Arial"/>
          <w:sz w:val="22"/>
          <w:szCs w:val="22"/>
          <w:color w:val="auto"/>
        </w:rPr>
        <w:t>February 24,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Except as set forth in paragraph 2(iv) above, your DERs shall not accrue payments prior to vesting.</w:t>
      </w:r>
    </w:p>
    <w:p>
      <w:pPr>
        <w:spacing w:after="0" w:line="206" w:lineRule="exact"/>
        <w:rPr>
          <w:rFonts w:ascii="Arial" w:cs="Arial" w:eastAsia="Arial" w:hAnsi="Arial"/>
          <w:sz w:val="22"/>
          <w:szCs w:val="22"/>
          <w:color w:val="auto"/>
        </w:rPr>
      </w:pPr>
    </w:p>
    <w:p>
      <w:pPr>
        <w:ind w:left="1080" w:right="20" w:hanging="424"/>
        <w:spacing w:after="0" w:line="298" w:lineRule="auto"/>
        <w:tabs>
          <w:tab w:leader="none" w:pos="108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number of Phantom Units and DERs subject to this award shall be proportionately reduced or increased for any split or reverse split, respectively, of the Common Units, or any event or transaction having a similar effect.</w:t>
      </w:r>
    </w:p>
    <w:p>
      <w:pPr>
        <w:spacing w:after="0" w:line="132" w:lineRule="exact"/>
        <w:rPr>
          <w:rFonts w:ascii="Arial" w:cs="Arial" w:eastAsia="Arial" w:hAnsi="Arial"/>
          <w:sz w:val="19"/>
          <w:szCs w:val="19"/>
          <w:color w:val="auto"/>
        </w:rPr>
      </w:pPr>
    </w:p>
    <w:p>
      <w:pPr>
        <w:jc w:val="both"/>
        <w:ind w:left="1080" w:hanging="424"/>
        <w:spacing w:after="0" w:line="223" w:lineRule="auto"/>
        <w:tabs>
          <w:tab w:leader="none" w:pos="10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vested prior to, or that would vest as of, the Distribution Date on which the Phantom Units vest, shall be payable on such Distribution Date prior to their expiration.</w:t>
      </w:r>
    </w:p>
    <w:p>
      <w:pPr>
        <w:spacing w:after="0" w:line="185" w:lineRule="exact"/>
        <w:rPr>
          <w:rFonts w:ascii="Arial" w:cs="Arial" w:eastAsia="Arial" w:hAnsi="Arial"/>
          <w:sz w:val="22"/>
          <w:szCs w:val="22"/>
          <w:color w:val="auto"/>
        </w:rPr>
      </w:pPr>
    </w:p>
    <w:p>
      <w:pPr>
        <w:jc w:val="both"/>
        <w:ind w:left="1080" w:hanging="424"/>
        <w:spacing w:after="0"/>
        <w:tabs>
          <w:tab w:leader="none" w:pos="1080"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for any reason (other than in connection with a Change in Status or by reason of your death or “disability,” as defined in paragraph 7 below), all of your then outstanding DERs (regardless of vesting) and Phantom Units shall automatically be forfeited as of the date of termination; provided, however, that if the Company or its Affiliates terminate your employment other than as a result of a Termination for Cause, the following provisions shall apply: (i) if such termination occurs prior to the third anniversary of the date of the original grant letter, 40% of your unvested Phantom Units (assuming a TSR Payout Percentage (as defined in Exhibit A) of 100% with respect to Tranche B) shall be deemed nonforfeitable on the date of termination, and shall vest on the next following Distribution Date; (ii) if such termination occurs on or after the third anniversary of the date of the original grant letter but prior to the fourth anniversary of the date of the original grant letter, 60% of your unvested Phantom Units (assuming a TSR Payout Percentage of 100% with respect to Tranche B) shall be deemed nonforfeitable on the date of termination, and shall vest on the next following Distribution Date; (iii) if such termination occurs on or after the fourth anniversary of the date of the original grant letter but prior to the fifth anniversary of the date of the original grant letter, 80% of your unvested Phantom Units (assuming a TSR Payout Percentage of 100% with respect to Tranche B) shall be deemed nonforfeitable on the date of termination, and shall vest on the next following Distribution Date; (iv) if such termination occurs on or after the fifth anniversary of the date of the original grant letter, 100% of your unvested Phantom Units (assuming a TSR Payout Percentage of 100% with respect to Tranche B) shall be deemed nonforfeitable on the date of termination, and shall vest on the next following Distribution Date; and (v) any DERs associated with such unvested, nonforfeitable Phantom Units described in clauses (i)-(iv) immediately preceding shall not be forfeited on the date of termination, but shall vest in accordance with paragraph 2 above and if vested shall be payable and shall expire in accordance with paragraph 1 or paragraph 5 above.</w:t>
      </w:r>
    </w:p>
    <w:p>
      <w:pPr>
        <w:sectPr>
          <w:pgSz w:w="11900" w:h="16838" w:orient="portrait"/>
          <w:cols w:equalWidth="0" w:num="1">
            <w:col w:w="11240"/>
          </w:cols>
          <w:pgMar w:left="320" w:top="86"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[Name]</w:t>
      </w:r>
    </w:p>
    <w:p>
      <w:pPr>
        <w:spacing w:after="0" w:line="204" w:lineRule="auto"/>
        <w:rPr>
          <w:sz w:val="20"/>
          <w:szCs w:val="20"/>
          <w:color w:val="auto"/>
        </w:rPr>
      </w:pPr>
      <w:r>
        <w:rPr>
          <w:rFonts w:ascii="Arial" w:cs="Arial" w:eastAsia="Arial" w:hAnsi="Arial"/>
          <w:sz w:val="22"/>
          <w:szCs w:val="22"/>
          <w:color w:val="auto"/>
        </w:rPr>
        <w:t>February 24,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080" w:hanging="424"/>
        <w:spacing w:after="0" w:line="244" w:lineRule="auto"/>
        <w:tabs>
          <w:tab w:leader="none" w:pos="1080"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100% of the unvested Phantom Units covered by paragraphs 1(a) and 1(b) above (assuming a TSR Payout Percentage of 100% with respect to Tranche B) shall be deemed nonforfeitable on the date of termination and shall vest on the next following Distribution Date (and any DERs associated with such unvested, nonforfeitable Phantom Units shall not be forfeited on the date of termination, but shall vest in accordance with paragraph 2 above and if vested shall be payable and shall expire in accordance with paragraph 1 or paragraph 5 above). As soon as administratively practicable after the vesting of any Phantom Units pursuant to this paragraph 7, payment will be made in cash in an amount equal to the Market Value of the number of Phantom Units vesting.</w:t>
      </w:r>
    </w:p>
    <w:p>
      <w:pPr>
        <w:spacing w:after="0" w:line="181" w:lineRule="exact"/>
        <w:rPr>
          <w:rFonts w:ascii="Arial" w:cs="Arial" w:eastAsia="Arial" w:hAnsi="Arial"/>
          <w:sz w:val="19"/>
          <w:szCs w:val="19"/>
          <w:color w:val="auto"/>
        </w:rPr>
      </w:pPr>
    </w:p>
    <w:p>
      <w:pPr>
        <w:jc w:val="both"/>
        <w:ind w:left="1080" w:hanging="424"/>
        <w:spacing w:after="0" w:line="223" w:lineRule="auto"/>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 the event of a Change in Status, all of your then outstanding Phantom Units (assuming a TSR Payout Percentage of 100% with respect to Tranche B) and tandem DERs shall be deemed 100% nonforfeitable on such date, and such Phantom Units shall vest in full upon the next Distribution Date.</w:t>
      </w:r>
    </w:p>
    <w:p>
      <w:pPr>
        <w:spacing w:after="0" w:line="185" w:lineRule="exact"/>
        <w:rPr>
          <w:rFonts w:ascii="Arial" w:cs="Arial" w:eastAsia="Arial" w:hAnsi="Arial"/>
          <w:sz w:val="22"/>
          <w:szCs w:val="22"/>
          <w:color w:val="auto"/>
        </w:rPr>
      </w:pPr>
    </w:p>
    <w:p>
      <w:pPr>
        <w:jc w:val="both"/>
        <w:ind w:left="1080" w:hanging="424"/>
        <w:spacing w:after="0" w:line="218" w:lineRule="auto"/>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1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(iii) “Market Value” means the average of the closing sales prices for a Common Unit on Nasdaq for the five trading days preceding the then most recent “ex dividend” date for payment of a distribution by the Partnership; and (iv) “Board” means the board of directors of PAGP GP (defined below).</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Chief Executive Officer of the Company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8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phrase “Change of Control” means, and shall be deemed to have occurred upon the occurrence of, one or more of the following events:</w:t>
      </w:r>
    </w:p>
    <w:p>
      <w:pPr>
        <w:sectPr>
          <w:pgSz w:w="11900" w:h="16838" w:orient="portrait"/>
          <w:cols w:equalWidth="0" w:num="1">
            <w:col w:w="11240"/>
          </w:cols>
          <w:pgMar w:left="320" w:top="86"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[Name]</w:t>
      </w:r>
    </w:p>
    <w:p>
      <w:pPr>
        <w:spacing w:after="0" w:line="204" w:lineRule="auto"/>
        <w:rPr>
          <w:sz w:val="20"/>
          <w:szCs w:val="20"/>
          <w:color w:val="auto"/>
        </w:rPr>
      </w:pPr>
      <w:r>
        <w:rPr>
          <w:rFonts w:ascii="Arial" w:cs="Arial" w:eastAsia="Arial" w:hAnsi="Arial"/>
          <w:sz w:val="22"/>
          <w:szCs w:val="22"/>
          <w:color w:val="auto"/>
        </w:rPr>
        <w:t>February 24,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580" w:hanging="924"/>
        <w:spacing w:after="0" w:line="209" w:lineRule="auto"/>
        <w:tabs>
          <w:tab w:leader="none" w:pos="157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p>
    <w:p>
      <w:pPr>
        <w:jc w:val="both"/>
        <w:ind w:left="1580" w:hanging="924"/>
        <w:spacing w:after="0" w:line="204" w:lineRule="auto"/>
        <w:tabs>
          <w:tab w:leader="none" w:pos="1577"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2" w:lineRule="exact"/>
        <w:rPr>
          <w:rFonts w:ascii="Arial" w:cs="Arial" w:eastAsia="Arial" w:hAnsi="Arial"/>
          <w:sz w:val="22"/>
          <w:szCs w:val="22"/>
          <w:color w:val="auto"/>
        </w:rPr>
      </w:pPr>
    </w:p>
    <w:p>
      <w:pPr>
        <w:ind w:left="1580" w:hanging="924"/>
        <w:spacing w:after="0" w:line="204" w:lineRule="auto"/>
        <w:tabs>
          <w:tab w:leader="none" w:pos="1569" w:val="left"/>
        </w:tabs>
        <w:numPr>
          <w:ilvl w:val="0"/>
          <w:numId w:val="41"/>
        </w:numPr>
        <w:rPr>
          <w:rFonts w:ascii="Arial" w:cs="Arial" w:eastAsia="Arial" w:hAnsi="Arial"/>
          <w:sz w:val="22"/>
          <w:szCs w:val="22"/>
          <w:color w:val="auto"/>
        </w:rPr>
      </w:pPr>
      <w:r>
        <w:rPr>
          <w:rFonts w:ascii="Arial" w:cs="Arial" w:eastAsia="Arial" w:hAnsi="Arial"/>
          <w:sz w:val="22"/>
          <w:szCs w:val="22"/>
          <w:color w:val="auto"/>
        </w:rPr>
        <w:t>PAGP ceases to retain direct or indirect control (in one transaction or a series of related transactions and whether by merger or otherwise) of the general partner of the Partnership; or</w:t>
      </w:r>
    </w:p>
    <w:p>
      <w:pPr>
        <w:spacing w:after="0" w:line="1" w:lineRule="exact"/>
        <w:rPr>
          <w:rFonts w:ascii="Arial" w:cs="Arial" w:eastAsia="Arial" w:hAnsi="Arial"/>
          <w:sz w:val="22"/>
          <w:szCs w:val="22"/>
          <w:color w:val="auto"/>
        </w:rPr>
      </w:pPr>
    </w:p>
    <w:p>
      <w:pPr>
        <w:jc w:val="both"/>
        <w:ind w:left="1580" w:hanging="924"/>
        <w:spacing w:after="0" w:line="214" w:lineRule="auto"/>
        <w:tabs>
          <w:tab w:leader="none" w:pos="157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18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18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8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18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 You also acknowledge and agree that (i) Tranche B of this award constitutes performance-based compensation as defined in the Clawback Policy adopted by PAGP GP on November 12, 2020 and (ii) Tranche B of this award, as well as any other performance-based compensation previously paid or awarded to you, is subject to recovery or cancellation pursuant to such Policy. Copies of the Plan, the Partnership Agreement and the Clawback Policy are available upon request.</w:t>
      </w:r>
    </w:p>
    <w:p>
      <w:pPr>
        <w:sectPr>
          <w:pgSz w:w="11900" w:h="16838" w:orient="portrait"/>
          <w:cols w:equalWidth="0" w:num="1">
            <w:col w:w="11240"/>
          </w:cols>
          <w:pgMar w:left="320" w:top="86"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[Name]</w:t>
      </w:r>
    </w:p>
    <w:p>
      <w:pPr>
        <w:spacing w:after="0" w:line="204" w:lineRule="auto"/>
        <w:rPr>
          <w:sz w:val="20"/>
          <w:szCs w:val="20"/>
          <w:color w:val="auto"/>
        </w:rPr>
      </w:pPr>
      <w:r>
        <w:rPr>
          <w:rFonts w:ascii="Arial" w:cs="Arial" w:eastAsia="Arial" w:hAnsi="Arial"/>
          <w:sz w:val="22"/>
          <w:szCs w:val="22"/>
          <w:color w:val="auto"/>
        </w:rPr>
        <w:t>February 24, 2022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Please execute and return a copy of this grant letter to Richard McGee and retain a copy for your records.</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18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ind w:left="3900"/>
        <w:spacing w:after="0" w:line="237" w:lineRule="auto"/>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ind w:left="3900"/>
        <w:spacing w:after="0" w:line="214" w:lineRule="auto"/>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PLAINS ALL AMERICAN GP LLC,</w:t>
      </w:r>
    </w:p>
    <w:tbl>
      <w:tblPr>
        <w:tblLayout w:type="fixed"/>
        <w:tblInd w:w="10" w:type="dxa"/>
        <w:tblCellMar>
          <w:top w:w="0" w:type="dxa"/>
          <w:left w:w="0" w:type="dxa"/>
          <w:bottom w:w="0" w:type="dxa"/>
          <w:right w:w="0" w:type="dxa"/>
        </w:tblCellMar>
      </w:tblPr>
      <w:tr>
        <w:trPr>
          <w:trHeight w:val="274"/>
        </w:trPr>
        <w:tc>
          <w:tcPr>
            <w:tcW w:w="10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280" w:type="dxa"/>
            <w:vAlign w:val="bottom"/>
            <w:gridSpan w:val="3"/>
          </w:tcPr>
          <w:p>
            <w:pPr>
              <w:jc w:val="right"/>
              <w:ind w:right="1580"/>
              <w:spacing w:after="0"/>
              <w:rPr>
                <w:sz w:val="20"/>
                <w:szCs w:val="20"/>
                <w:color w:val="auto"/>
              </w:rPr>
            </w:pPr>
            <w:r>
              <w:rPr>
                <w:rFonts w:ascii="Arial" w:cs="Arial" w:eastAsia="Arial" w:hAnsi="Arial"/>
                <w:sz w:val="22"/>
                <w:szCs w:val="22"/>
                <w:color w:val="auto"/>
                <w:w w:val="94"/>
              </w:rPr>
              <w:t>its general partner</w:t>
            </w:r>
          </w:p>
        </w:tc>
        <w:tc>
          <w:tcPr>
            <w:tcW w:w="3580" w:type="dxa"/>
            <w:vAlign w:val="bottom"/>
          </w:tcPr>
          <w:p>
            <w:pPr>
              <w:spacing w:after="0"/>
              <w:rPr>
                <w:sz w:val="23"/>
                <w:szCs w:val="23"/>
                <w:color w:val="auto"/>
              </w:rPr>
            </w:pPr>
          </w:p>
        </w:tc>
      </w:tr>
      <w:tr>
        <w:trPr>
          <w:trHeight w:val="626"/>
        </w:trPr>
        <w:tc>
          <w:tcPr>
            <w:tcW w:w="1040" w:type="dxa"/>
            <w:vAlign w:val="bottom"/>
          </w:tcPr>
          <w:p>
            <w:pPr>
              <w:spacing w:after="0"/>
              <w:rPr>
                <w:sz w:val="24"/>
                <w:szCs w:val="24"/>
                <w:color w:val="auto"/>
              </w:rPr>
            </w:pPr>
          </w:p>
        </w:tc>
        <w:tc>
          <w:tcPr>
            <w:tcW w:w="3360" w:type="dxa"/>
            <w:vAlign w:val="bottom"/>
          </w:tcPr>
          <w:p>
            <w:pPr>
              <w:ind w:left="2860"/>
              <w:spacing w:after="0"/>
              <w:rPr>
                <w:sz w:val="20"/>
                <w:szCs w:val="20"/>
                <w:color w:val="auto"/>
              </w:rPr>
            </w:pPr>
            <w:r>
              <w:rPr>
                <w:rFonts w:ascii="Arial" w:cs="Arial" w:eastAsia="Arial" w:hAnsi="Arial"/>
                <w:sz w:val="22"/>
                <w:szCs w:val="22"/>
                <w:color w:val="auto"/>
              </w:rPr>
              <w:t>By:</w:t>
            </w:r>
          </w:p>
        </w:tc>
        <w:tc>
          <w:tcPr>
            <w:tcW w:w="3280" w:type="dxa"/>
            <w:vAlign w:val="bottom"/>
            <w:gridSpan w:val="3"/>
          </w:tcPr>
          <w:p>
            <w:pPr>
              <w:jc w:val="right"/>
              <w:ind w:right="20"/>
              <w:spacing w:after="0"/>
              <w:rPr>
                <w:sz w:val="20"/>
                <w:szCs w:val="20"/>
                <w:color w:val="auto"/>
              </w:rPr>
            </w:pPr>
            <w:r>
              <w:rPr>
                <w:rFonts w:ascii="Arial" w:cs="Arial" w:eastAsia="Arial" w:hAnsi="Arial"/>
                <w:sz w:val="22"/>
                <w:szCs w:val="22"/>
                <w:color w:val="auto"/>
                <w:w w:val="88"/>
              </w:rPr>
              <w:t>______________________________</w:t>
            </w:r>
          </w:p>
        </w:tc>
        <w:tc>
          <w:tcPr>
            <w:tcW w:w="358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6640" w:type="dxa"/>
            <w:vAlign w:val="bottom"/>
            <w:gridSpan w:val="4"/>
          </w:tcPr>
          <w:p>
            <w:pPr>
              <w:ind w:left="2860"/>
              <w:spacing w:after="0" w:line="216" w:lineRule="exact"/>
              <w:rPr>
                <w:sz w:val="20"/>
                <w:szCs w:val="20"/>
                <w:color w:val="auto"/>
              </w:rPr>
            </w:pPr>
            <w:r>
              <w:rPr>
                <w:rFonts w:ascii="Arial" w:cs="Arial" w:eastAsia="Arial" w:hAnsi="Arial"/>
                <w:sz w:val="22"/>
                <w:szCs w:val="22"/>
                <w:color w:val="auto"/>
              </w:rPr>
              <w:t>Name:  Willie Chiang</w:t>
            </w:r>
          </w:p>
        </w:tc>
        <w:tc>
          <w:tcPr>
            <w:tcW w:w="3580" w:type="dxa"/>
            <w:vAlign w:val="bottom"/>
          </w:tcPr>
          <w:p>
            <w:pPr>
              <w:spacing w:after="0"/>
              <w:rPr>
                <w:sz w:val="18"/>
                <w:szCs w:val="18"/>
                <w:color w:val="auto"/>
              </w:rPr>
            </w:pPr>
          </w:p>
        </w:tc>
      </w:tr>
      <w:tr>
        <w:trPr>
          <w:trHeight w:val="274"/>
        </w:trPr>
        <w:tc>
          <w:tcPr>
            <w:tcW w:w="1040" w:type="dxa"/>
            <w:vAlign w:val="bottom"/>
          </w:tcPr>
          <w:p>
            <w:pPr>
              <w:spacing w:after="0"/>
              <w:rPr>
                <w:sz w:val="23"/>
                <w:szCs w:val="23"/>
                <w:color w:val="auto"/>
              </w:rPr>
            </w:pPr>
          </w:p>
        </w:tc>
        <w:tc>
          <w:tcPr>
            <w:tcW w:w="3360" w:type="dxa"/>
            <w:vAlign w:val="bottom"/>
          </w:tcPr>
          <w:p>
            <w:pPr>
              <w:ind w:left="2860"/>
              <w:spacing w:after="0"/>
              <w:rPr>
                <w:sz w:val="20"/>
                <w:szCs w:val="20"/>
                <w:color w:val="auto"/>
              </w:rPr>
            </w:pPr>
            <w:r>
              <w:rPr>
                <w:rFonts w:ascii="Arial" w:cs="Arial" w:eastAsia="Arial" w:hAnsi="Arial"/>
                <w:sz w:val="22"/>
                <w:szCs w:val="22"/>
                <w:color w:val="auto"/>
              </w:rPr>
              <w:t>Title:</w:t>
            </w:r>
          </w:p>
        </w:tc>
        <w:tc>
          <w:tcPr>
            <w:tcW w:w="3280" w:type="dxa"/>
            <w:vAlign w:val="bottom"/>
            <w:gridSpan w:val="3"/>
          </w:tcPr>
          <w:p>
            <w:pPr>
              <w:jc w:val="right"/>
              <w:ind w:right="1040"/>
              <w:spacing w:after="0"/>
              <w:rPr>
                <w:sz w:val="20"/>
                <w:szCs w:val="20"/>
                <w:color w:val="auto"/>
              </w:rPr>
            </w:pPr>
            <w:r>
              <w:rPr>
                <w:rFonts w:ascii="Arial" w:cs="Arial" w:eastAsia="Arial" w:hAnsi="Arial"/>
                <w:sz w:val="22"/>
                <w:szCs w:val="22"/>
                <w:color w:val="auto"/>
                <w:w w:val="99"/>
              </w:rPr>
              <w:t>Chief Executive Officer</w:t>
            </w:r>
          </w:p>
        </w:tc>
        <w:tc>
          <w:tcPr>
            <w:tcW w:w="3580" w:type="dxa"/>
            <w:vAlign w:val="bottom"/>
          </w:tcPr>
          <w:p>
            <w:pPr>
              <w:spacing w:after="0"/>
              <w:rPr>
                <w:sz w:val="23"/>
                <w:szCs w:val="23"/>
                <w:color w:val="auto"/>
              </w:rPr>
            </w:pPr>
          </w:p>
        </w:tc>
      </w:tr>
      <w:tr>
        <w:trPr>
          <w:trHeight w:val="733"/>
        </w:trPr>
        <w:tc>
          <w:tcPr>
            <w:tcW w:w="10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00"/>
        </w:trPr>
        <w:tc>
          <w:tcPr>
            <w:tcW w:w="1040" w:type="dxa"/>
            <w:vAlign w:val="bottom"/>
          </w:tcPr>
          <w:p>
            <w:pPr>
              <w:ind w:left="20"/>
              <w:spacing w:after="0"/>
              <w:rPr>
                <w:sz w:val="20"/>
                <w:szCs w:val="20"/>
                <w:color w:val="auto"/>
              </w:rPr>
            </w:pPr>
            <w:r>
              <w:rPr>
                <w:rFonts w:ascii="Arial" w:cs="Arial" w:eastAsia="Arial" w:hAnsi="Arial"/>
                <w:sz w:val="22"/>
                <w:szCs w:val="22"/>
                <w:color w:val="auto"/>
              </w:rPr>
              <w:t>[Name]</w:t>
            </w:r>
          </w:p>
        </w:tc>
        <w:tc>
          <w:tcPr>
            <w:tcW w:w="3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743"/>
        </w:trPr>
        <w:tc>
          <w:tcPr>
            <w:tcW w:w="1040" w:type="dxa"/>
            <w:vAlign w:val="bottom"/>
          </w:tcPr>
          <w:p>
            <w:pPr>
              <w:ind w:left="20"/>
              <w:spacing w:after="0"/>
              <w:rPr>
                <w:sz w:val="20"/>
                <w:szCs w:val="20"/>
                <w:color w:val="auto"/>
              </w:rPr>
            </w:pPr>
            <w:r>
              <w:rPr>
                <w:rFonts w:ascii="Arial" w:cs="Arial" w:eastAsia="Arial" w:hAnsi="Arial"/>
                <w:sz w:val="22"/>
                <w:szCs w:val="22"/>
                <w:color w:val="auto"/>
              </w:rPr>
              <w:t>Units:</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0"/>
        </w:trPr>
        <w:tc>
          <w:tcPr>
            <w:tcW w:w="1040" w:type="dxa"/>
            <w:vAlign w:val="bottom"/>
          </w:tcPr>
          <w:p>
            <w:pPr>
              <w:ind w:left="20"/>
              <w:spacing w:after="0"/>
              <w:rPr>
                <w:sz w:val="20"/>
                <w:szCs w:val="20"/>
                <w:color w:val="auto"/>
              </w:rPr>
            </w:pPr>
            <w:r>
              <w:rPr>
                <w:rFonts w:ascii="Arial" w:cs="Arial" w:eastAsia="Arial" w:hAnsi="Arial"/>
                <w:sz w:val="22"/>
                <w:szCs w:val="22"/>
                <w:color w:val="auto"/>
              </w:rPr>
              <w:t>Dated:</w:t>
            </w:r>
          </w:p>
        </w:tc>
        <w:tc>
          <w:tcPr>
            <w:tcW w:w="3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0"/>
        </w:trPr>
        <w:tc>
          <w:tcPr>
            <w:tcW w:w="104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802"/>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Beneficiary Designation</w:t>
            </w:r>
          </w:p>
        </w:tc>
        <w:tc>
          <w:tcPr>
            <w:tcW w:w="9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338"/>
        </w:trPr>
        <w:tc>
          <w:tcPr>
            <w:tcW w:w="4400" w:type="dxa"/>
            <w:vAlign w:val="bottom"/>
            <w:tcBorders>
              <w:left w:val="single" w:sz="8" w:color="auto"/>
              <w:bottom w:val="single" w:sz="8" w:color="C0C0C0"/>
            </w:tcBorders>
            <w:gridSpan w:val="2"/>
            <w:shd w:val="clear" w:color="auto" w:fill="C0C0C0"/>
          </w:tcPr>
          <w:p>
            <w:pPr>
              <w:ind w:left="80"/>
              <w:spacing w:after="0"/>
              <w:rPr>
                <w:sz w:val="20"/>
                <w:szCs w:val="20"/>
                <w:color w:val="auto"/>
              </w:rPr>
            </w:pPr>
            <w:r>
              <w:rPr>
                <w:rFonts w:ascii="Arial" w:cs="Arial" w:eastAsia="Arial" w:hAnsi="Arial"/>
                <w:sz w:val="22"/>
                <w:szCs w:val="22"/>
                <w:color w:val="auto"/>
              </w:rPr>
              <w:t>Primary Beneficiary Name</w:t>
            </w:r>
          </w:p>
        </w:tc>
        <w:tc>
          <w:tcPr>
            <w:tcW w:w="960" w:type="dxa"/>
            <w:vAlign w:val="bottom"/>
            <w:tcBorders>
              <w:bottom w:val="single" w:sz="8" w:color="C0C0C0"/>
              <w:right w:val="single" w:sz="8" w:color="auto"/>
            </w:tcBorders>
            <w:shd w:val="clear" w:color="auto" w:fill="C0C0C0"/>
          </w:tcPr>
          <w:p>
            <w:pPr>
              <w:spacing w:after="0"/>
              <w:rPr>
                <w:sz w:val="24"/>
                <w:szCs w:val="24"/>
                <w:color w:val="auto"/>
              </w:rPr>
            </w:pPr>
          </w:p>
        </w:tc>
        <w:tc>
          <w:tcPr>
            <w:tcW w:w="2280" w:type="dxa"/>
            <w:vAlign w:val="bottom"/>
            <w:tcBorders>
              <w:bottom w:val="single" w:sz="8" w:color="C0C0C0"/>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40" w:type="dxa"/>
            <w:vAlign w:val="bottom"/>
            <w:tcBorders>
              <w:bottom w:val="single" w:sz="8" w:color="C0C0C0"/>
            </w:tcBorders>
            <w:shd w:val="clear" w:color="auto" w:fill="C0C0C0"/>
          </w:tcPr>
          <w:p>
            <w:pPr>
              <w:spacing w:after="0"/>
              <w:rPr>
                <w:sz w:val="24"/>
                <w:szCs w:val="24"/>
                <w:color w:val="auto"/>
              </w:rPr>
            </w:pPr>
          </w:p>
        </w:tc>
        <w:tc>
          <w:tcPr>
            <w:tcW w:w="358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37"/>
        </w:trPr>
        <w:tc>
          <w:tcPr>
            <w:tcW w:w="1040" w:type="dxa"/>
            <w:vAlign w:val="bottom"/>
            <w:tcBorders>
              <w:top w:val="single" w:sz="8" w:color="auto"/>
              <w:left w:val="single" w:sz="8" w:color="auto"/>
              <w:bottom w:val="single" w:sz="8" w:color="auto"/>
            </w:tcBorders>
          </w:tcPr>
          <w:p>
            <w:pPr>
              <w:spacing w:after="0"/>
              <w:rPr>
                <w:sz w:val="20"/>
                <w:szCs w:val="20"/>
                <w:color w:val="auto"/>
              </w:rPr>
            </w:pPr>
          </w:p>
        </w:tc>
        <w:tc>
          <w:tcPr>
            <w:tcW w:w="33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right w:val="single" w:sz="8" w:color="auto"/>
            </w:tcBorders>
          </w:tcPr>
          <w:p>
            <w:pPr>
              <w:spacing w:after="0"/>
              <w:rPr>
                <w:sz w:val="20"/>
                <w:szCs w:val="20"/>
                <w:color w:val="auto"/>
              </w:rPr>
            </w:pPr>
          </w:p>
        </w:tc>
        <w:tc>
          <w:tcPr>
            <w:tcW w:w="228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580" w:type="dxa"/>
            <w:vAlign w:val="bottom"/>
            <w:tcBorders>
              <w:top w:val="single" w:sz="8" w:color="auto"/>
              <w:bottom w:val="single" w:sz="8" w:color="auto"/>
              <w:right w:val="single" w:sz="8" w:color="auto"/>
            </w:tcBorders>
          </w:tcPr>
          <w:p>
            <w:pPr>
              <w:spacing w:after="0"/>
              <w:rPr>
                <w:sz w:val="20"/>
                <w:szCs w:val="20"/>
                <w:color w:val="auto"/>
              </w:rPr>
            </w:pPr>
          </w:p>
        </w:tc>
      </w:tr>
      <w:tr>
        <w:trPr>
          <w:trHeight w:val="236"/>
        </w:trPr>
        <w:tc>
          <w:tcPr>
            <w:tcW w:w="1040" w:type="dxa"/>
            <w:vAlign w:val="bottom"/>
            <w:tcBorders>
              <w:left w:val="single" w:sz="8" w:color="auto"/>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r>
        <w:trPr>
          <w:trHeight w:val="237"/>
        </w:trPr>
        <w:tc>
          <w:tcPr>
            <w:tcW w:w="1040" w:type="dxa"/>
            <w:vAlign w:val="bottom"/>
            <w:tcBorders>
              <w:left w:val="single" w:sz="8" w:color="auto"/>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r>
        <w:trPr>
          <w:trHeight w:val="336"/>
        </w:trPr>
        <w:tc>
          <w:tcPr>
            <w:tcW w:w="4400" w:type="dxa"/>
            <w:vAlign w:val="bottom"/>
            <w:tcBorders>
              <w:left w:val="single" w:sz="8" w:color="auto"/>
              <w:bottom w:val="single" w:sz="8" w:color="C0C0C0"/>
            </w:tcBorders>
            <w:gridSpan w:val="2"/>
            <w:shd w:val="clear" w:color="auto" w:fill="C0C0C0"/>
          </w:tcPr>
          <w:p>
            <w:pPr>
              <w:ind w:left="80"/>
              <w:spacing w:after="0"/>
              <w:rPr>
                <w:sz w:val="20"/>
                <w:szCs w:val="20"/>
                <w:color w:val="auto"/>
              </w:rPr>
            </w:pPr>
            <w:r>
              <w:rPr>
                <w:rFonts w:ascii="Arial" w:cs="Arial" w:eastAsia="Arial" w:hAnsi="Arial"/>
                <w:sz w:val="22"/>
                <w:szCs w:val="22"/>
                <w:color w:val="auto"/>
              </w:rPr>
              <w:t>Secondary Beneficiary Name</w:t>
            </w:r>
          </w:p>
        </w:tc>
        <w:tc>
          <w:tcPr>
            <w:tcW w:w="960" w:type="dxa"/>
            <w:vAlign w:val="bottom"/>
            <w:tcBorders>
              <w:bottom w:val="single" w:sz="8" w:color="C0C0C0"/>
              <w:right w:val="single" w:sz="8" w:color="auto"/>
            </w:tcBorders>
            <w:shd w:val="clear" w:color="auto" w:fill="C0C0C0"/>
          </w:tcPr>
          <w:p>
            <w:pPr>
              <w:spacing w:after="0"/>
              <w:rPr>
                <w:sz w:val="24"/>
                <w:szCs w:val="24"/>
                <w:color w:val="auto"/>
              </w:rPr>
            </w:pPr>
          </w:p>
        </w:tc>
        <w:tc>
          <w:tcPr>
            <w:tcW w:w="2280" w:type="dxa"/>
            <w:vAlign w:val="bottom"/>
            <w:tcBorders>
              <w:bottom w:val="single" w:sz="8" w:color="C0C0C0"/>
              <w:right w:val="single" w:sz="8" w:color="auto"/>
            </w:tcBorders>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40" w:type="dxa"/>
            <w:vAlign w:val="bottom"/>
            <w:tcBorders>
              <w:bottom w:val="single" w:sz="8" w:color="C0C0C0"/>
            </w:tcBorders>
            <w:shd w:val="clear" w:color="auto" w:fill="C0C0C0"/>
          </w:tcPr>
          <w:p>
            <w:pPr>
              <w:spacing w:after="0"/>
              <w:rPr>
                <w:sz w:val="24"/>
                <w:szCs w:val="24"/>
                <w:color w:val="auto"/>
              </w:rPr>
            </w:pPr>
          </w:p>
        </w:tc>
        <w:tc>
          <w:tcPr>
            <w:tcW w:w="358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10"/>
        </w:trPr>
        <w:tc>
          <w:tcPr>
            <w:tcW w:w="1040" w:type="dxa"/>
            <w:vAlign w:val="bottom"/>
            <w:tcBorders>
              <w:top w:val="single" w:sz="8" w:color="auto"/>
              <w:left w:val="single" w:sz="8" w:color="auto"/>
              <w:bottom w:val="single" w:sz="8" w:color="auto"/>
            </w:tcBorders>
          </w:tcPr>
          <w:p>
            <w:pPr>
              <w:spacing w:after="0"/>
              <w:rPr>
                <w:sz w:val="18"/>
                <w:szCs w:val="18"/>
                <w:color w:val="auto"/>
              </w:rPr>
            </w:pPr>
          </w:p>
        </w:tc>
        <w:tc>
          <w:tcPr>
            <w:tcW w:w="3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right w:val="single" w:sz="8" w:color="auto"/>
            </w:tcBorders>
          </w:tcPr>
          <w:p>
            <w:pPr>
              <w:spacing w:after="0"/>
              <w:rPr>
                <w:sz w:val="18"/>
                <w:szCs w:val="18"/>
                <w:color w:val="auto"/>
              </w:rPr>
            </w:pPr>
          </w:p>
        </w:tc>
        <w:tc>
          <w:tcPr>
            <w:tcW w:w="2280" w:type="dxa"/>
            <w:vAlign w:val="bottom"/>
            <w:tcBorders>
              <w:top w:val="single" w:sz="8" w:color="auto"/>
              <w:bottom w:val="single" w:sz="8" w:color="auto"/>
              <w:right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580" w:type="dxa"/>
            <w:vAlign w:val="bottom"/>
            <w:tcBorders>
              <w:top w:val="single" w:sz="8" w:color="auto"/>
              <w:bottom w:val="single" w:sz="8" w:color="auto"/>
              <w:right w:val="single" w:sz="8" w:color="auto"/>
            </w:tcBorders>
          </w:tcPr>
          <w:p>
            <w:pPr>
              <w:spacing w:after="0"/>
              <w:rPr>
                <w:sz w:val="18"/>
                <w:szCs w:val="18"/>
                <w:color w:val="auto"/>
              </w:rPr>
            </w:pPr>
          </w:p>
        </w:tc>
      </w:tr>
      <w:tr>
        <w:trPr>
          <w:trHeight w:val="210"/>
        </w:trPr>
        <w:tc>
          <w:tcPr>
            <w:tcW w:w="1040" w:type="dxa"/>
            <w:vAlign w:val="bottom"/>
            <w:tcBorders>
              <w:left w:val="single" w:sz="8" w:color="auto"/>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10"/>
        </w:trPr>
        <w:tc>
          <w:tcPr>
            <w:tcW w:w="1040" w:type="dxa"/>
            <w:vAlign w:val="bottom"/>
            <w:tcBorders>
              <w:left w:val="single" w:sz="8" w:color="auto"/>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bl>
    <w:p>
      <w:pPr>
        <w:spacing w:after="0" w:line="303" w:lineRule="exact"/>
        <w:rPr>
          <w:sz w:val="20"/>
          <w:szCs w:val="20"/>
          <w:color w:val="auto"/>
        </w:rPr>
      </w:pPr>
    </w:p>
    <w:p>
      <w:pPr>
        <w:ind w:left="260" w:hanging="252"/>
        <w:spacing w:after="0"/>
        <w:tabs>
          <w:tab w:leader="none" w:pos="260" w:val="left"/>
        </w:tabs>
        <w:numPr>
          <w:ilvl w:val="0"/>
          <w:numId w:val="42"/>
        </w:numPr>
        <w:rPr>
          <w:rFonts w:ascii="MS PGothic" w:cs="MS PGothic" w:eastAsia="MS PGothic" w:hAnsi="MS PGothic"/>
          <w:sz w:val="22"/>
          <w:szCs w:val="22"/>
          <w:color w:val="auto"/>
        </w:rPr>
      </w:pPr>
      <w:r>
        <w:rPr>
          <w:rFonts w:ascii="Arial" w:cs="Arial" w:eastAsia="Arial" w:hAnsi="Arial"/>
          <w:sz w:val="22"/>
          <w:szCs w:val="22"/>
          <w:color w:val="auto"/>
        </w:rPr>
        <w:t>Check this box only if designation does not apply to prior grants</w:t>
      </w:r>
    </w:p>
    <w:p>
      <w:pPr>
        <w:sectPr>
          <w:pgSz w:w="11900" w:h="16838" w:orient="portrait"/>
          <w:cols w:equalWidth="0" w:num="1">
            <w:col w:w="11260"/>
          </w:cols>
          <w:pgMar w:left="320" w:top="86" w:right="319" w:bottom="1440" w:gutter="0" w:footer="0" w:header="0"/>
        </w:sectPr>
      </w:pPr>
    </w:p>
    <w:bookmarkStart w:id="62" w:name="page63"/>
    <w:bookmarkEnd w:id="62"/>
    <w:p>
      <w:pPr>
        <w:ind w:left="5180"/>
        <w:spacing w:after="0"/>
        <w:rPr>
          <w:sz w:val="20"/>
          <w:szCs w:val="20"/>
          <w:color w:val="auto"/>
        </w:rPr>
      </w:pPr>
      <w:r>
        <w:rPr>
          <w:rFonts w:ascii="Arial" w:cs="Arial" w:eastAsia="Arial" w:hAnsi="Arial"/>
          <w:sz w:val="22"/>
          <w:szCs w:val="22"/>
          <w:b w:val="1"/>
          <w:bCs w:val="1"/>
          <w:color w:val="auto"/>
        </w:rPr>
        <w:t>Exhibit A</w:t>
      </w:r>
    </w:p>
    <w:p>
      <w:pPr>
        <w:spacing w:after="0" w:line="58"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Tranche B Vesting Terms</w:t>
      </w:r>
    </w:p>
    <w:p>
      <w:pPr>
        <w:jc w:val="center"/>
        <w:ind w:right="20"/>
        <w:spacing w:after="0"/>
        <w:rPr>
          <w:sz w:val="20"/>
          <w:szCs w:val="20"/>
          <w:color w:val="auto"/>
        </w:rPr>
      </w:pPr>
      <w:r>
        <w:rPr>
          <w:rFonts w:ascii="Arial" w:cs="Arial" w:eastAsia="Arial" w:hAnsi="Arial"/>
          <w:sz w:val="22"/>
          <w:szCs w:val="22"/>
          <w:b w:val="1"/>
          <w:bCs w:val="1"/>
          <w:color w:val="auto"/>
        </w:rPr>
        <w:t>(Total Shareholder Return)</w:t>
      </w:r>
    </w:p>
    <w:p>
      <w:pPr>
        <w:spacing w:after="0" w:line="195" w:lineRule="exact"/>
        <w:rPr>
          <w:sz w:val="20"/>
          <w:szCs w:val="20"/>
          <w:color w:val="auto"/>
        </w:rPr>
      </w:pPr>
    </w:p>
    <w:p>
      <w:pPr>
        <w:jc w:val="both"/>
        <w:ind w:left="660" w:right="20" w:hanging="328"/>
        <w:spacing w:after="0" w:line="259"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i w:val="1"/>
          <w:iCs w:val="1"/>
          <w:u w:val="single" w:color="auto"/>
          <w:color w:val="auto"/>
        </w:rPr>
        <w:t>General</w:t>
      </w:r>
      <w:r>
        <w:rPr>
          <w:rFonts w:ascii="Arial" w:cs="Arial" w:eastAsia="Arial" w:hAnsi="Arial"/>
          <w:sz w:val="16"/>
          <w:szCs w:val="16"/>
          <w:color w:val="auto"/>
        </w:rPr>
        <w:t>. Consistent with the Company’s pay for performance philosophy and in order to more closely align the interests of management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investors, a portion of your Phantom Units will vest based on PAA’s total shareholder return (“TSR”) compared to the TSR of a peer group as described below. TSR, which will be calculated using data from Bloomberg, is a primary long-term measure of PAA’s performance.</w:t>
      </w:r>
    </w:p>
    <w:p>
      <w:pPr>
        <w:spacing w:after="0" w:line="38" w:lineRule="exact"/>
        <w:rPr>
          <w:rFonts w:ascii="Arial" w:cs="Arial" w:eastAsia="Arial" w:hAnsi="Arial"/>
          <w:sz w:val="16"/>
          <w:szCs w:val="16"/>
          <w:color w:val="auto"/>
        </w:rPr>
      </w:pPr>
    </w:p>
    <w:p>
      <w:pPr>
        <w:jc w:val="both"/>
        <w:ind w:left="660" w:right="20" w:hanging="328"/>
        <w:spacing w:after="0" w:line="222"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i w:val="1"/>
          <w:iCs w:val="1"/>
          <w:u w:val="single" w:color="auto"/>
          <w:color w:val="auto"/>
        </w:rPr>
        <w:t>Vesting and Payout</w:t>
      </w:r>
      <w:r>
        <w:rPr>
          <w:rFonts w:ascii="Arial" w:cs="Arial" w:eastAsia="Arial" w:hAnsi="Arial"/>
          <w:sz w:val="17"/>
          <w:szCs w:val="17"/>
          <w:color w:val="auto"/>
        </w:rPr>
        <w:t>. As soon as administratively feasible following the close of the period beginning on January 1, 2022 and ending on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2026 (the “Performance Period”), the Compensation Committee shall determine and certify the TSR Payout Percentage (as defined below). The Compensation Committee shall make such determination based on a scaled payout range of between 0% and 100% as provided in the table below (the specific payout percentage is referred to as the “TSR Payout Percentage”) based on PAA’s TSR ranking at the end of the Performance Period compared to the TSR ranking of the various companies included in the PAA Peer Group described below. If PAA’s absolute TSR is within 50 basis points of the TSR of one or more peer group comparators (i.e., 50 basis points higher or lower), PAA and such comparator(s) shall be deemed to have the same rank and the TSR Payout Percentage shall be equal to the average of the TSR Payout Percentages associated with the relevant rankings as set forth in the table below. The number of Tranche B Phantom Units vesting will be determined by multiplying your target number of Tranche B Phantom Units by the TSR Payout Percentage as certified by the Compensation Committee. If the resulting amount includes a fraction, it will be rounded down to the nearest whole number.</w:t>
      </w:r>
    </w:p>
    <w:p>
      <w:pPr>
        <w:spacing w:after="0" w:line="333" w:lineRule="exact"/>
        <w:rPr>
          <w:sz w:val="20"/>
          <w:szCs w:val="20"/>
          <w:color w:val="auto"/>
        </w:rPr>
      </w:pPr>
    </w:p>
    <w:tbl>
      <w:tblPr>
        <w:tblLayout w:type="fixed"/>
        <w:tblInd w:w="1350" w:type="dxa"/>
        <w:tblCellMar>
          <w:top w:w="0" w:type="dxa"/>
          <w:left w:w="0" w:type="dxa"/>
          <w:bottom w:w="0" w:type="dxa"/>
          <w:right w:w="0" w:type="dxa"/>
        </w:tblCellMar>
      </w:tblPr>
      <w:tr>
        <w:trPr>
          <w:trHeight w:val="189"/>
        </w:trPr>
        <w:tc>
          <w:tcPr>
            <w:tcW w:w="338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w w:val="95"/>
              </w:rPr>
              <w:t>PAA TSR Ranking vs. PAA Peer Group</w:t>
            </w:r>
          </w:p>
        </w:tc>
        <w:tc>
          <w:tcPr>
            <w:tcW w:w="34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TSR Payout</w:t>
            </w:r>
          </w:p>
        </w:tc>
        <w:tc>
          <w:tcPr>
            <w:tcW w:w="0" w:type="dxa"/>
            <w:vAlign w:val="bottom"/>
          </w:tcPr>
          <w:p>
            <w:pPr>
              <w:spacing w:after="0"/>
              <w:rPr>
                <w:sz w:val="1"/>
                <w:szCs w:val="1"/>
                <w:color w:val="auto"/>
              </w:rPr>
            </w:pPr>
          </w:p>
        </w:tc>
      </w:tr>
      <w:tr>
        <w:trPr>
          <w:trHeight w:val="230"/>
        </w:trPr>
        <w:tc>
          <w:tcPr>
            <w:tcW w:w="33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87.5%</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75.0%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62.5%</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37.5%</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Illustrative Examples (based on an assumed target number of Tranche B Phantom Units of 1,000):</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100" w:type="dxa"/>
            <w:vAlign w:val="bottom"/>
            <w:tcBorders>
              <w:top w:val="single" w:sz="8" w:color="auto"/>
              <w:left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PAA TSR Ranking vs. PAA Peer Group</w:t>
            </w:r>
          </w:p>
        </w:tc>
        <w:tc>
          <w:tcPr>
            <w:tcW w:w="616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8"/>
                <w:szCs w:val="18"/>
                <w:b w:val="1"/>
                <w:bCs w:val="1"/>
                <w:color w:val="auto"/>
              </w:rPr>
              <w:t>TSR Payout Percentage / Number of Units Vesting</w:t>
            </w:r>
          </w:p>
        </w:tc>
      </w:tr>
      <w:tr>
        <w:trPr>
          <w:trHeight w:val="27"/>
        </w:trPr>
        <w:tc>
          <w:tcPr>
            <w:tcW w:w="510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r>
      <w:tr>
        <w:trPr>
          <w:trHeight w:val="250"/>
        </w:trPr>
        <w:tc>
          <w:tcPr>
            <w:tcW w:w="5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 through #9</w:t>
            </w:r>
          </w:p>
        </w:tc>
        <w:tc>
          <w:tcPr>
            <w:tcW w:w="6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 1,000 units</w:t>
            </w:r>
          </w:p>
        </w:tc>
      </w:tr>
      <w:tr>
        <w:trPr>
          <w:trHeight w:val="27"/>
        </w:trPr>
        <w:tc>
          <w:tcPr>
            <w:tcW w:w="510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r>
      <w:tr>
        <w:trPr>
          <w:trHeight w:val="250"/>
        </w:trPr>
        <w:tc>
          <w:tcPr>
            <w:tcW w:w="5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6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50% / 500 units</w:t>
            </w:r>
          </w:p>
        </w:tc>
      </w:tr>
      <w:tr>
        <w:trPr>
          <w:trHeight w:val="27"/>
        </w:trPr>
        <w:tc>
          <w:tcPr>
            <w:tcW w:w="510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r>
      <w:tr>
        <w:trPr>
          <w:trHeight w:val="250"/>
        </w:trPr>
        <w:tc>
          <w:tcPr>
            <w:tcW w:w="5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#17</w:t>
            </w:r>
          </w:p>
        </w:tc>
        <w:tc>
          <w:tcPr>
            <w:tcW w:w="6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 / 0 units</w:t>
            </w:r>
          </w:p>
        </w:tc>
      </w:tr>
      <w:tr>
        <w:trPr>
          <w:trHeight w:val="27"/>
        </w:trPr>
        <w:tc>
          <w:tcPr>
            <w:tcW w:w="510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39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260"/>
          </w:cols>
          <w:pgMar w:left="320" w:top="1395" w:right="319" w:bottom="1440" w:gutter="0" w:footer="0" w:header="0"/>
          <w:type w:val="continuous"/>
        </w:sectPr>
      </w:pPr>
    </w:p>
    <w:bookmarkStart w:id="63" w:name="page64"/>
    <w:bookmarkEnd w:id="63"/>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u w:val="single" w:color="auto"/>
          <w:color w:val="auto"/>
        </w:rPr>
        <w:t>PAA Peer Group (2022-2026 Performance Period)</w:t>
      </w:r>
      <w:r>
        <w:rPr>
          <w:rFonts w:ascii="Arial" w:cs="Arial" w:eastAsia="Arial" w:hAnsi="Arial"/>
          <w:sz w:val="18"/>
          <w:szCs w:val="18"/>
          <w:color w:val="auto"/>
        </w:rPr>
        <w:t>:</w:t>
      </w:r>
    </w:p>
    <w:p>
      <w:pPr>
        <w:spacing w:after="0" w:line="354"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right w:val="single" w:sz="8" w:color="auto"/>
            </w:tcBorders>
          </w:tcPr>
          <w:p>
            <w:pPr>
              <w:ind w:left="1260"/>
              <w:spacing w:after="0"/>
              <w:rPr>
                <w:sz w:val="20"/>
                <w:szCs w:val="20"/>
                <w:color w:val="auto"/>
              </w:rPr>
            </w:pPr>
            <w:r>
              <w:rPr>
                <w:rFonts w:ascii="Arial" w:cs="Arial" w:eastAsia="Arial" w:hAnsi="Arial"/>
                <w:sz w:val="18"/>
                <w:szCs w:val="18"/>
                <w:b w:val="1"/>
                <w:bCs w:val="1"/>
                <w:color w:val="auto"/>
              </w:rPr>
              <w:t>Company Name</w:t>
            </w:r>
          </w:p>
        </w:tc>
        <w:tc>
          <w:tcPr>
            <w:tcW w:w="4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Ticker</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Enterprise Products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EPD</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Kinder Morgan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KMI</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Williams Companies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WMB</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MPLX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MPLX</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Energy Transfer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ET</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ONEOK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OKE</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Magellan Midstream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MMP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Phillips 66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PSXP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Targa Resources Corp.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TRGP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DCP Midstream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DCP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Western Midstream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WES</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Holly Energy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HEP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NuStar Energy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NS</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EnLink Midstream LLC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ENLC</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Alerian Midstream Energy Index</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AMNA</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S&amp;P 500 Index</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SPX</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In the event any member of the PAA Peer Group files for bankruptcy, liquidates or reorganizes under the United States Bankruptcy Code or other applicable bankruptcy law, such entity shall remain in the PAA Peer Group but shall be deemed to have a TSR of -100% for purposes of calculating the TSR Payout Percentage. If any member of the PAA Peer Group is acquired by an unrelated entity before the end of the Performance Period, such member shall be removed from the PAA Peer Group for purposes of calculating the TSR Payout Percentage. The Compensation Committee shall have discretionary authority to replace such member for purposes of calculating the TSR Payout Percentage. In all other cases involving merger, reorganization or other material change in ownership, legal structure or business operations of any member of the PAA Peer Group, including acquisition by a related entity before the end of the Performance Period, the Compensation Committee shall have authority to retain, remove or replace such member for purposes of calculating the TSR Payout Percentage. In connection with any change to the PAA Peer Group, the Compensation Committee shall also have authority to make related adjustments to the rankings and TSR Payout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08"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ind w:right="9880"/>
        <w:spacing w:after="0"/>
        <w:rPr>
          <w:sz w:val="20"/>
          <w:szCs w:val="20"/>
          <w:color w:val="auto"/>
        </w:rPr>
      </w:pPr>
      <w:r>
        <w:rPr>
          <w:rFonts w:ascii="Arial" w:cs="Arial" w:eastAsia="Arial" w:hAnsi="Arial"/>
          <w:sz w:val="16"/>
          <w:szCs w:val="16"/>
          <w:color w:val="auto"/>
        </w:rPr>
        <w:t>Date: May 9, 2022</w:t>
      </w:r>
    </w:p>
    <w:p>
      <w:pPr>
        <w:spacing w:after="0" w:line="28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All American Pipeline, L.P. (the “Company”), hereby certify that:</w:t>
      </w:r>
    </w:p>
    <w:p>
      <w:pPr>
        <w:spacing w:after="0" w:line="225" w:lineRule="exact"/>
        <w:rPr>
          <w:sz w:val="20"/>
          <w:szCs w:val="20"/>
          <w:color w:val="auto"/>
        </w:rPr>
      </w:pPr>
    </w:p>
    <w:p>
      <w:pPr>
        <w:ind w:right="20" w:firstLine="656"/>
        <w:spacing w:after="0" w:line="263" w:lineRule="auto"/>
        <w:tabs>
          <w:tab w:leader="none" w:pos="13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2022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May 9, 2022</w:t>
      </w:r>
    </w:p>
    <w:p>
      <w:pPr>
        <w:sectPr>
          <w:pgSz w:w="11900" w:h="16838" w:orient="portrait"/>
          <w:cols w:equalWidth="0" w:num="1">
            <w:col w:w="11240"/>
          </w:cols>
          <w:pgMar w:left="320" w:top="89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20" w:firstLine="656"/>
        <w:spacing w:after="0" w:line="263" w:lineRule="auto"/>
        <w:tabs>
          <w:tab w:leader="none" w:pos="13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2022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May 9,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emdash "/>
      <w:numFmt w:val="bullet"/>
      <w:start w:val="1"/>
    </w:lvl>
  </w:abstractNum>
  <w:abstractNum w:abstractNumId="10">
    <w:nsid w:val="22221A70"/>
    <w:multiLevelType w:val="hybridMultilevel"/>
    <w:lvl w:ilvl="0">
      <w:lvlJc w:val="left"/>
      <w:lvlText w:val="%1"/>
      <w:numFmt w:val="decimal"/>
      <w:start w:val="55"/>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lowerRoman"/>
      <w:start w:val="2"/>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4"/>
    </w:lvl>
  </w:abstractNum>
  <w:abstractNum w:abstractNumId="24">
    <w:nsid w:val="51EAD36B"/>
    <w:multiLevelType w:val="hybridMultilevel"/>
    <w:lvl w:ilvl="0">
      <w:lvlJc w:val="left"/>
      <w:lvlText w:val="(%1)"/>
      <w:numFmt w:val="decimal"/>
      <w:start w:val="9"/>
    </w:lvl>
  </w:abstractNum>
  <w:abstractNum w:abstractNumId="25">
    <w:nsid w:val="2D517796"/>
    <w:multiLevelType w:val="hybridMultilevel"/>
    <w:lvl w:ilvl="0">
      <w:lvlJc w:val="left"/>
      <w:lvlText w:val="(%1)"/>
      <w:numFmt w:val="decimal"/>
      <w:start w:val="3"/>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decimal"/>
      <w:start w:val="3"/>
    </w:lvl>
  </w:abstractNum>
  <w:abstractNum w:abstractNumId="29">
    <w:nsid w:val="70A64E2A"/>
    <w:multiLevelType w:val="hybridMultilevel"/>
    <w:lvl w:ilvl="0">
      <w:lvlJc w:val="left"/>
      <w:lvlText w:val="(%1)"/>
      <w:numFmt w:val="lowerRoman"/>
      <w:start w:val="5"/>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decimal"/>
      <w:start w:val="1"/>
    </w:lvl>
    <w:lvl w:ilvl="1">
      <w:lvlJc w:val="left"/>
      <w:lvlText w:val="%2."/>
      <w:numFmt w:val="lowerLetter"/>
      <w:start w:val="1"/>
    </w:lvl>
  </w:abstractNum>
  <w:abstractNum w:abstractNumId="38">
    <w:nsid w:val="542289EC"/>
    <w:multiLevelType w:val="hybridMultilevel"/>
    <w:lvl w:ilvl="0">
      <w:lvlJc w:val="left"/>
      <w:lvlText w:val="%1."/>
      <w:numFmt w:val="decimal"/>
      <w:start w:val="3"/>
    </w:lvl>
  </w:abstractNum>
  <w:abstractNum w:abstractNumId="39">
    <w:nsid w:val="6DE91B18"/>
    <w:multiLevelType w:val="hybridMultilevel"/>
    <w:lvl w:ilvl="0">
      <w:lvlJc w:val="left"/>
      <w:lvlText w:val="%1."/>
      <w:numFmt w:val="decimal"/>
      <w:start w:val="7"/>
    </w:lvl>
  </w:abstractNum>
  <w:abstractNum w:abstractNumId="40">
    <w:nsid w:val="38437FDB"/>
    <w:multiLevelType w:val="hybridMultilevel"/>
    <w:lvl w:ilvl="0">
      <w:lvlJc w:val="left"/>
      <w:lvlText w:val="(%1)"/>
      <w:numFmt w:val="lowerRoman"/>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3"/>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decimal"/>
      <w:start w:val="5"/>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5"/>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lowerRoman"/>
      <w:start w:val="1"/>
    </w:lvl>
  </w:abstractNum>
  <w:abstractNum w:abstractNumId="53">
    <w:nsid w:val="374A3FE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5" Type="http://schemas.openxmlformats.org/officeDocument/2006/relationships/image" Target="media/image83.png"/><Relationship Id="rId121"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jpe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90" Type="http://schemas.openxmlformats.org/officeDocument/2006/relationships/hyperlink" Target="http://www.sec.gov/Archives/edgar/data/1070423/000110465917061889/a17-22685_5ex3d1.htm#Exhibit3_1_122228" TargetMode="External"/><Relationship Id="rId91" Type="http://schemas.openxmlformats.org/officeDocument/2006/relationships/hyperlink" Target="http://www.sec.gov/Archives/edgar/data/1070423/000104746904016502/a2135501zex-3_2.htm" TargetMode="External"/><Relationship Id="rId92" Type="http://schemas.openxmlformats.org/officeDocument/2006/relationships/hyperlink" Target="http://www.sec.gov/Archives/edgar/data/1070423/000110465911010359/a11-2319_1ex3d9.htm" TargetMode="External"/><Relationship Id="rId93" Type="http://schemas.openxmlformats.org/officeDocument/2006/relationships/hyperlink" Target="http://www.sec.gov/Archives/edgar/data/1070423/000110465911010359/a11-2319_1ex3d10.htm" TargetMode="External"/><Relationship Id="rId94" Type="http://schemas.openxmlformats.org/officeDocument/2006/relationships/hyperlink" Target="http://www.sec.gov/Archives/edgar/data/1070423/000110465914014322/a13-25941_1ex3d7.htm" TargetMode="External"/><Relationship Id="rId95" Type="http://schemas.openxmlformats.org/officeDocument/2006/relationships/hyperlink" Target="http://www.sec.gov/Archives/edgar/data/1070423/000110465914014322/a13-25941_1ex3d8.htm" TargetMode="External"/><Relationship Id="rId96" Type="http://schemas.openxmlformats.org/officeDocument/2006/relationships/hyperlink" Target="http://www.sec.gov/Archives/edgar/data/1070423/000107042320000004/paa201910-kexhibit37.htm" TargetMode="External"/><Relationship Id="rId97" Type="http://schemas.openxmlformats.org/officeDocument/2006/relationships/hyperlink" Target="http://www.sec.gov/Archives/edgar/data/1070423/000104746904016502/a2135501zex-3_3.htm" TargetMode="External"/><Relationship Id="rId98" Type="http://schemas.openxmlformats.org/officeDocument/2006/relationships/hyperlink" Target="http://www.sec.gov/Archives/edgar/data/1070423/000110465914014322/a13-25941_1ex3d10.htm" TargetMode="External"/><Relationship Id="rId99" Type="http://schemas.openxmlformats.org/officeDocument/2006/relationships/hyperlink" Target="http://www.sec.gov/Archives/edgar/data/1070423/000110465916158355/a16-21841_1ex3d3.htm" TargetMode="External"/><Relationship Id="rId100" Type="http://schemas.openxmlformats.org/officeDocument/2006/relationships/hyperlink" Target="http://www.sec.gov/Archives/edgar/data/1070423/000110465916158355/a16-21841_1ex3d4.htm" TargetMode="External"/><Relationship Id="rId101" Type="http://schemas.openxmlformats.org/officeDocument/2006/relationships/hyperlink" Target="http://www.sec.gov/Archives/edgar/data/1070423/000110465918060011/a18-36196_1ex3d1.htm" TargetMode="External"/><Relationship Id="rId102" Type="http://schemas.openxmlformats.org/officeDocument/2006/relationships/hyperlink" Target="http://www.sec.gov/Archives/edgar/data/1070423/000110465919032810/a19-10856_1ex3d1.htm" TargetMode="External"/><Relationship Id="rId103" Type="http://schemas.openxmlformats.org/officeDocument/2006/relationships/hyperlink" Target="http://www.sec.gov/Archives/edgar/data/1070423/000095012907001096/h43224exv3w10.htm" TargetMode="External"/><Relationship Id="rId104" Type="http://schemas.openxmlformats.org/officeDocument/2006/relationships/hyperlink" Target="http://www.sec.gov/Archives/edgar/data/1070423/000095012907001096/h43224exv3w11.htm" TargetMode="External"/><Relationship Id="rId106" Type="http://schemas.openxmlformats.org/officeDocument/2006/relationships/hyperlink" Target="http://www.sec.gov/Archives/edgar/data/1070423/000095012908000071/h52770exv3w3.htm" TargetMode="External"/><Relationship Id="rId107" Type="http://schemas.openxmlformats.org/officeDocument/2006/relationships/hyperlink" Target="http://www.sec.gov/Archives/edgar/data/1581990/000104746913007875/a2216069zex-3_1.htm" TargetMode="External"/><Relationship Id="rId108" Type="http://schemas.openxmlformats.org/officeDocument/2006/relationships/hyperlink" Target="http://www.sec.gov/Archives/edgar/data/1581990/000110465916158356/a16-21845_1ex3d2.htm" TargetMode="External"/><Relationship Id="rId109" Type="http://schemas.openxmlformats.org/officeDocument/2006/relationships/hyperlink" Target="http://www.sec.gov/Archives/edgar/data/1581990/000158199020000012/exhibit31.htm" TargetMode="External"/><Relationship Id="rId110" Type="http://schemas.openxmlformats.org/officeDocument/2006/relationships/hyperlink" Target="http://www.sec.gov/Archives/edgar/data/1581990/000104746913007875/a2216069zex-3_3.htm" TargetMode="External"/><Relationship Id="rId111" Type="http://schemas.openxmlformats.org/officeDocument/2006/relationships/hyperlink" Target="http://www.sec.gov/Archives/edgar/data/1070423/000110465917010601/a17-6891_1ex3d1.htm" TargetMode="External"/><Relationship Id="rId112" Type="http://schemas.openxmlformats.org/officeDocument/2006/relationships/hyperlink" Target="http://www.sec.gov/Archives/edgar/data/1070423/000089924302002834/dex41.txt" TargetMode="External"/><Relationship Id="rId113" Type="http://schemas.openxmlformats.org/officeDocument/2006/relationships/hyperlink" Target="http://www.sec.gov/Archives/edgar/data/1070423/000110465906034368/a06-11663_1ex4d1.htm" TargetMode="External"/><Relationship Id="rId114" Type="http://schemas.openxmlformats.org/officeDocument/2006/relationships/hyperlink" Target="http://www.sec.gov/Archives/edgar/data/1070423/000095012906009235/h40667exv4w2.htm" TargetMode="External"/><Relationship Id="rId115" Type="http://schemas.openxmlformats.org/officeDocument/2006/relationships/hyperlink" Target="http://www.sec.gov/Archives/edgar/data/1070423/000119312512132295/d321017dex43.htm" TargetMode="External"/><Relationship Id="rId116" Type="http://schemas.openxmlformats.org/officeDocument/2006/relationships/hyperlink" Target="http://www.sec.gov/Archives/edgar/data/1070423/000119312512499932/d453762dex41.htm" TargetMode="External"/><Relationship Id="rId117" Type="http://schemas.openxmlformats.org/officeDocument/2006/relationships/hyperlink" Target="http://www.sec.gov/Archives/edgar/data/1070423/000119312512499932/d453762dex43.htm" TargetMode="External"/><Relationship Id="rId118" Type="http://schemas.openxmlformats.org/officeDocument/2006/relationships/hyperlink" Target="http://www.sec.gov/Archives/edgar/data/1070423/000119312513336066/d581734dex41.htm" TargetMode="External"/><Relationship Id="rId119" Type="http://schemas.openxmlformats.org/officeDocument/2006/relationships/hyperlink" Target="http://www.sec.gov/Archives/edgar/data/1070423/000119312514164183/d713938dex41.htm" TargetMode="External"/><Relationship Id="rId120" Type="http://schemas.openxmlformats.org/officeDocument/2006/relationships/hyperlink" Target="http://www.sec.gov/Archives/edgar/data/1070423/000119312514338289/d787160dex41.htm" TargetMode="External"/><Relationship Id="rId122" Type="http://schemas.openxmlformats.org/officeDocument/2006/relationships/hyperlink" Target="http://www.sec.gov/Archives/edgar/data/1070423/000119312514440007/d833885dex43.htm" TargetMode="External"/><Relationship Id="rId123" Type="http://schemas.openxmlformats.org/officeDocument/2006/relationships/hyperlink" Target="http://www.sec.gov/Archives/edgar/data/1070423/000119312515302829/d45393dex41.htm" TargetMode="External"/><Relationship Id="rId124" Type="http://schemas.openxmlformats.org/officeDocument/2006/relationships/hyperlink" Target="http://www.sec.gov/Archives/edgar/data/1070423/000110465916159593/a16-22232_1ex4d1.htm" TargetMode="External"/><Relationship Id="rId125" Type="http://schemas.openxmlformats.org/officeDocument/2006/relationships/hyperlink" Target="http://www.sec.gov/Archives/edgar/data/1070423/000141057819001281/tv529555_ex4-1.htm" TargetMode="External"/><Relationship Id="rId126" Type="http://schemas.openxmlformats.org/officeDocument/2006/relationships/hyperlink" Target="http://www.sec.gov/Archives/edgar/data/1070423/000110465920072270/tm2022235d1_ex4-1.htm" TargetMode="External"/><Relationship Id="rId127" Type="http://schemas.openxmlformats.org/officeDocument/2006/relationships/hyperlink" Target="http://www.sec.gov/Archives/edgar/data/1070423/000095012309050401/h68193exv4w1.htm" TargetMode="External"/><Relationship Id="rId128" Type="http://schemas.openxmlformats.org/officeDocument/2006/relationships/hyperlink" Target="http://www.sec.gov/Archives/edgar/data/1070423/000110465916093299/a16-3362_1ex4d1.htm" TargetMode="External"/><Relationship Id="rId129" Type="http://schemas.openxmlformats.org/officeDocument/2006/relationships/hyperlink" Target="http://www.sec.gov/Archives/edgar/data/1070423/000110465916158355/a16-21841_1ex10d4.htm" TargetMode="External"/><Relationship Id="rId130" Type="http://schemas.openxmlformats.org/officeDocument/2006/relationships/hyperlink" Target="https://www.sec.gov/Archives/edgar/data/1070423/000107042322000006/paa202110-kexhibit4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2022-05-10T05:30:47Z</dcterms:created>
  <dcterms:modified xsi:type="dcterms:W3CDTF">2022-05-10T05:30:47Z</dcterms:modified>
</cp:coreProperties>
</file>