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color w:val="000000"/>
          <w:sz w:val="10"/>
        </w:rPr>
      </w:pPr>
      <w:r>
        <w:rPr>
          <w:rFonts w:ascii="Times New Roman;sans-serif" w:hAnsi="Times New Roman;sans-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1-14569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PLAINS ALL AMERICAN PIPELINE, L.P.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76-0582150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333 Clay Street, Suite 1600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Houston, Texas 77002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(713) 646-4100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Units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31, 2023, there were 698,390,006 Common Units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20"/>
        <w:gridCol w:w="3080"/>
        <w:gridCol w:w="3093"/>
        <w:gridCol w:w="149"/>
        <w:gridCol w:w="149"/>
        <w:gridCol w:w="214"/>
      </w:tblGrid>
      <w:tr>
        <w:trPr/>
        <w:tc>
          <w:tcPr>
            <w:tcW w:w="352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834098071aa4b03b562f602b65fc33f_10">
              <w:r>
                <w:rPr>
                  <w:rStyle w:val="InternetLink"/>
                  <w:rFonts w:ascii="Times New Roman;sans-serif" w:hAnsi="Times New Roman;sans-serif"/>
                  <w:b/>
                  <w:color w:val="0000FF"/>
                  <w:sz w:val="20"/>
                  <w:u w:val="single"/>
                </w:rPr>
                <w:t>PART I. FINANCIAL INFORMATION</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3">
              <w:r>
                <w:rPr>
                  <w:rStyle w:val="InternetLink"/>
                  <w:rFonts w:ascii="Times New Roman;sans-serif" w:hAnsi="Times New Roman;sans-serif"/>
                  <w:b w:val="false"/>
                  <w:color w:val="0000FF"/>
                  <w:sz w:val="20"/>
                  <w:u w:val="single"/>
                </w:rPr>
                <w:t>Item 1.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6">
              <w:r>
                <w:rPr>
                  <w:rStyle w:val="InternetLink"/>
                  <w:rFonts w:ascii="Times New Roman;sans-serif" w:hAnsi="Times New Roman;sans-serif"/>
                  <w:b w:val="false"/>
                  <w:color w:val="000080"/>
                  <w:sz w:val="20"/>
                  <w:u w:val="single"/>
                </w:rPr>
                <w:t xml:space="preserve">Condensed Consolidated Balance Sheets: As of </w:t>
              </w:r>
            </w:hyperlink>
            <w:hyperlink w:anchor="i9834098071aa4b03b562f602b65fc33f_16">
              <w:r>
                <w:rPr>
                  <w:rStyle w:val="InternetLink"/>
                  <w:rFonts w:ascii="Times New Roman;sans-serif" w:hAnsi="Times New Roman;sans-serif"/>
                  <w:b w:val="false"/>
                  <w:color w:val="000080"/>
                  <w:sz w:val="20"/>
                  <w:u w:val="single"/>
                </w:rPr>
                <w:t>June 30</w:t>
              </w:r>
            </w:hyperlink>
            <w:hyperlink w:anchor="i9834098071aa4b03b562f602b65fc33f_16">
              <w:r>
                <w:rPr>
                  <w:rStyle w:val="InternetLink"/>
                  <w:rFonts w:ascii="Times New Roman;sans-serif" w:hAnsi="Times New Roman;sans-serif"/>
                  <w:b w:val="false"/>
                  <w:color w:val="000080"/>
                  <w:sz w:val="20"/>
                  <w:u w:val="single"/>
                </w:rPr>
                <w:t>, 2023 and December 31,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6">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834098071aa4b03b562f602b65fc33f_22">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9834098071aa4b03b562f602b65fc33f_22">
              <w:r>
                <w:rPr>
                  <w:rStyle w:val="InternetLink"/>
                  <w:rFonts w:ascii="Times New Roman;sans-serif" w:hAnsi="Times New Roman;sans-serif"/>
                  <w:b w:val="false"/>
                  <w:color w:val="000080"/>
                  <w:sz w:val="20"/>
                  <w:u w:val="single"/>
                </w:rPr>
                <w:t xml:space="preserve">and six </w:t>
              </w:r>
            </w:hyperlink>
            <w:hyperlink w:anchor="i9834098071aa4b03b562f602b65fc33f_22">
              <w:r>
                <w:rPr>
                  <w:rStyle w:val="InternetLink"/>
                  <w:rFonts w:ascii="Times New Roman;sans-serif" w:hAnsi="Times New Roman;sans-serif"/>
                  <w:b w:val="false"/>
                  <w:color w:val="000080"/>
                  <w:sz w:val="20"/>
                  <w:u w:val="single"/>
                </w:rPr>
                <w:t xml:space="preserve">months ended </w:t>
              </w:r>
            </w:hyperlink>
            <w:hyperlink w:anchor="i9834098071aa4b03b562f602b65fc33f_22">
              <w:r>
                <w:rPr>
                  <w:rStyle w:val="InternetLink"/>
                  <w:rFonts w:ascii="Times New Roman;sans-serif" w:hAnsi="Times New Roman;sans-serif"/>
                  <w:b w:val="false"/>
                  <w:color w:val="000080"/>
                  <w:sz w:val="20"/>
                  <w:u w:val="single"/>
                </w:rPr>
                <w:t>June 30</w:t>
              </w:r>
            </w:hyperlink>
            <w:hyperlink w:anchor="i9834098071aa4b03b562f602b65fc33f_22">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22">
              <w:r>
                <w:rPr>
                  <w:rStyle w:val="InternetLink"/>
                  <w:rFonts w:ascii="Times New Roman;sans-serif" w:hAnsi="Times New Roman;sans-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834098071aa4b03b562f602b65fc33f_25">
              <w:r>
                <w:rPr>
                  <w:rStyle w:val="InternetLink"/>
                  <w:rFonts w:ascii="Times New Roman;sans-serif" w:hAnsi="Times New Roman;sans-serif"/>
                  <w:b w:val="false"/>
                  <w:color w:val="000080"/>
                  <w:sz w:val="20"/>
                  <w:u w:val="single"/>
                </w:rPr>
                <w:t xml:space="preserve">Condensed Consolidated Statements of Comprehensive Income/(Loss): For the three </w:t>
              </w:r>
            </w:hyperlink>
            <w:hyperlink w:anchor="i9834098071aa4b03b562f602b65fc33f_25">
              <w:r>
                <w:rPr>
                  <w:rStyle w:val="InternetLink"/>
                  <w:rFonts w:ascii="Times New Roman;sans-serif" w:hAnsi="Times New Roman;sans-serif"/>
                  <w:b w:val="false"/>
                  <w:color w:val="000080"/>
                  <w:sz w:val="20"/>
                  <w:u w:val="single"/>
                </w:rPr>
                <w:t xml:space="preserve">and six </w:t>
              </w:r>
            </w:hyperlink>
            <w:hyperlink w:anchor="i9834098071aa4b03b562f602b65fc33f_25">
              <w:r>
                <w:rPr>
                  <w:rStyle w:val="InternetLink"/>
                  <w:rFonts w:ascii="Times New Roman;sans-serif" w:hAnsi="Times New Roman;sans-serif"/>
                  <w:b w:val="false"/>
                  <w:color w:val="000080"/>
                  <w:sz w:val="20"/>
                  <w:u w:val="single"/>
                </w:rPr>
                <w:t xml:space="preserve">months ended </w:t>
              </w:r>
            </w:hyperlink>
            <w:hyperlink w:anchor="i9834098071aa4b03b562f602b65fc33f_25">
              <w:r>
                <w:rPr>
                  <w:rStyle w:val="InternetLink"/>
                  <w:rFonts w:ascii="Times New Roman;sans-serif" w:hAnsi="Times New Roman;sans-serif"/>
                  <w:b w:val="false"/>
                  <w:color w:val="000080"/>
                  <w:sz w:val="20"/>
                  <w:u w:val="single"/>
                </w:rPr>
                <w:t>June 30</w:t>
              </w:r>
            </w:hyperlink>
            <w:hyperlink w:anchor="i9834098071aa4b03b562f602b65fc33f_25">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25">
              <w:r>
                <w:rPr>
                  <w:rStyle w:val="InternetLink"/>
                  <w:rFonts w:ascii="Times New Roman;sans-serif" w:hAnsi="Times New Roman;sans-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834098071aa4b03b562f602b65fc33f_28">
              <w:r>
                <w:rPr>
                  <w:rStyle w:val="InternetLink"/>
                  <w:rFonts w:ascii="Times New Roman;sans-serif" w:hAnsi="Times New Roman;sans-serif"/>
                  <w:b w:val="false"/>
                  <w:color w:val="000080"/>
                  <w:sz w:val="20"/>
                  <w:u w:val="single"/>
                </w:rPr>
                <w:t xml:space="preserve">Condensed Consolidated Statements of Changes in Accumulated Other Comprehensive Income/(Loss): For the three </w:t>
              </w:r>
            </w:hyperlink>
            <w:hyperlink w:anchor="i9834098071aa4b03b562f602b65fc33f_28">
              <w:r>
                <w:rPr>
                  <w:rStyle w:val="InternetLink"/>
                  <w:rFonts w:ascii="Times New Roman;sans-serif" w:hAnsi="Times New Roman;sans-serif"/>
                  <w:b w:val="false"/>
                  <w:color w:val="000080"/>
                  <w:sz w:val="20"/>
                  <w:u w:val="single"/>
                </w:rPr>
                <w:t xml:space="preserve">and six </w:t>
              </w:r>
            </w:hyperlink>
            <w:hyperlink w:anchor="i9834098071aa4b03b562f602b65fc33f_28">
              <w:r>
                <w:rPr>
                  <w:rStyle w:val="InternetLink"/>
                  <w:rFonts w:ascii="Times New Roman;sans-serif" w:hAnsi="Times New Roman;sans-serif"/>
                  <w:b w:val="false"/>
                  <w:color w:val="000080"/>
                  <w:sz w:val="20"/>
                  <w:u w:val="single"/>
                </w:rPr>
                <w:t xml:space="preserve">months ended </w:t>
              </w:r>
            </w:hyperlink>
            <w:hyperlink w:anchor="i9834098071aa4b03b562f602b65fc33f_28">
              <w:r>
                <w:rPr>
                  <w:rStyle w:val="InternetLink"/>
                  <w:rFonts w:ascii="Times New Roman;sans-serif" w:hAnsi="Times New Roman;sans-serif"/>
                  <w:b w:val="false"/>
                  <w:color w:val="000080"/>
                  <w:sz w:val="20"/>
                  <w:u w:val="single"/>
                </w:rPr>
                <w:t>June 30</w:t>
              </w:r>
            </w:hyperlink>
            <w:hyperlink w:anchor="i9834098071aa4b03b562f602b65fc33f_28">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28">
              <w:r>
                <w:rPr>
                  <w:rStyle w:val="InternetLink"/>
                  <w:rFonts w:ascii="Times New Roman;sans-serif" w:hAnsi="Times New Roman;sans-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31">
              <w:r>
                <w:rPr>
                  <w:rStyle w:val="InternetLink"/>
                  <w:rFonts w:ascii="Times New Roman;sans-serif" w:hAnsi="Times New Roman;sans-serif"/>
                  <w:b w:val="false"/>
                  <w:color w:val="000080"/>
                  <w:sz w:val="20"/>
                  <w:u w:val="single"/>
                </w:rPr>
                <w:t xml:space="preserve">Condensed Consolidated Statements of Cash Flows: For the </w:t>
              </w:r>
            </w:hyperlink>
            <w:hyperlink w:anchor="i9834098071aa4b03b562f602b65fc33f_31">
              <w:r>
                <w:rPr>
                  <w:rStyle w:val="InternetLink"/>
                  <w:rFonts w:ascii="Times New Roman;sans-serif" w:hAnsi="Times New Roman;sans-serif"/>
                  <w:b w:val="false"/>
                  <w:color w:val="000080"/>
                  <w:sz w:val="20"/>
                  <w:u w:val="single"/>
                </w:rPr>
                <w:t>six</w:t>
              </w:r>
            </w:hyperlink>
            <w:hyperlink w:anchor="i9834098071aa4b03b562f602b65fc33f_31">
              <w:r>
                <w:rPr>
                  <w:rStyle w:val="InternetLink"/>
                  <w:rFonts w:ascii="Times New Roman;sans-serif" w:hAnsi="Times New Roman;sans-serif"/>
                  <w:b w:val="false"/>
                  <w:color w:val="000080"/>
                  <w:sz w:val="20"/>
                  <w:u w:val="single"/>
                </w:rPr>
                <w:t xml:space="preserve"> months ended </w:t>
              </w:r>
            </w:hyperlink>
            <w:hyperlink w:anchor="i9834098071aa4b03b562f602b65fc33f_31">
              <w:r>
                <w:rPr>
                  <w:rStyle w:val="InternetLink"/>
                  <w:rFonts w:ascii="Times New Roman;sans-serif" w:hAnsi="Times New Roman;sans-serif"/>
                  <w:b w:val="false"/>
                  <w:color w:val="000080"/>
                  <w:sz w:val="20"/>
                  <w:u w:val="single"/>
                </w:rPr>
                <w:t>June</w:t>
              </w:r>
            </w:hyperlink>
            <w:hyperlink w:anchor="i9834098071aa4b03b562f602b65fc33f_31">
              <w:r>
                <w:rPr>
                  <w:rStyle w:val="InternetLink"/>
                  <w:rFonts w:ascii="Times New Roman;sans-serif" w:hAnsi="Times New Roman;sans-serif"/>
                  <w:b w:val="false"/>
                  <w:color w:val="000080"/>
                  <w:sz w:val="20"/>
                  <w:u w:val="single"/>
                </w:rPr>
                <w:t xml:space="preserve"> 3</w:t>
              </w:r>
            </w:hyperlink>
            <w:hyperlink w:anchor="i9834098071aa4b03b562f602b65fc33f_31">
              <w:r>
                <w:rPr>
                  <w:rStyle w:val="InternetLink"/>
                  <w:rFonts w:ascii="Times New Roman;sans-serif" w:hAnsi="Times New Roman;sans-serif"/>
                  <w:b w:val="false"/>
                  <w:color w:val="000080"/>
                  <w:sz w:val="20"/>
                  <w:u w:val="single"/>
                </w:rPr>
                <w:t>0</w:t>
              </w:r>
            </w:hyperlink>
            <w:hyperlink w:anchor="i9834098071aa4b03b562f602b65fc33f_31">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31">
              <w:r>
                <w:rPr>
                  <w:rStyle w:val="InternetLink"/>
                  <w:rFonts w:ascii="Times New Roman;sans-serif" w:hAnsi="Times New Roman;sans-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9834098071aa4b03b562f602b65fc33f_34">
              <w:r>
                <w:rPr>
                  <w:rStyle w:val="InternetLink"/>
                  <w:rFonts w:ascii="Times New Roman;sans-serif" w:hAnsi="Times New Roman;sans-serif"/>
                  <w:b w:val="false"/>
                  <w:color w:val="000080"/>
                  <w:sz w:val="20"/>
                  <w:u w:val="single"/>
                </w:rPr>
                <w:t xml:space="preserve">Condensed Consolidated Statements of Changes in Partners’ Capital: For the three </w:t>
              </w:r>
            </w:hyperlink>
            <w:hyperlink w:anchor="i9834098071aa4b03b562f602b65fc33f_34">
              <w:r>
                <w:rPr>
                  <w:rStyle w:val="InternetLink"/>
                  <w:rFonts w:ascii="Times New Roman;sans-serif" w:hAnsi="Times New Roman;sans-serif"/>
                  <w:b w:val="false"/>
                  <w:color w:val="000080"/>
                  <w:sz w:val="20"/>
                  <w:u w:val="single"/>
                </w:rPr>
                <w:t xml:space="preserve">and six </w:t>
              </w:r>
            </w:hyperlink>
            <w:hyperlink w:anchor="i9834098071aa4b03b562f602b65fc33f_34">
              <w:r>
                <w:rPr>
                  <w:rStyle w:val="InternetLink"/>
                  <w:rFonts w:ascii="Times New Roman;sans-serif" w:hAnsi="Times New Roman;sans-serif"/>
                  <w:b w:val="false"/>
                  <w:color w:val="000080"/>
                  <w:sz w:val="20"/>
                  <w:u w:val="single"/>
                </w:rPr>
                <w:t xml:space="preserve">months ended </w:t>
              </w:r>
            </w:hyperlink>
            <w:hyperlink w:anchor="i9834098071aa4b03b562f602b65fc33f_34">
              <w:r>
                <w:rPr>
                  <w:rStyle w:val="InternetLink"/>
                  <w:rFonts w:ascii="Times New Roman;sans-serif" w:hAnsi="Times New Roman;sans-serif"/>
                  <w:b w:val="false"/>
                  <w:color w:val="000080"/>
                  <w:sz w:val="20"/>
                  <w:u w:val="single"/>
                </w:rPr>
                <w:t>June 3</w:t>
              </w:r>
            </w:hyperlink>
            <w:hyperlink w:anchor="i9834098071aa4b03b562f602b65fc33f_34">
              <w:r>
                <w:rPr>
                  <w:rStyle w:val="InternetLink"/>
                  <w:rFonts w:ascii="Times New Roman;sans-serif" w:hAnsi="Times New Roman;sans-serif"/>
                  <w:b w:val="false"/>
                  <w:color w:val="000080"/>
                  <w:sz w:val="20"/>
                  <w:u w:val="single"/>
                </w:rPr>
                <w:t>0</w:t>
              </w:r>
            </w:hyperlink>
            <w:hyperlink w:anchor="i9834098071aa4b03b562f602b65fc33f_34">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34">
              <w:r>
                <w:rPr>
                  <w:rStyle w:val="InternetLink"/>
                  <w:rFonts w:ascii="Times New Roman;sans-serif" w:hAnsi="Times New Roman;sans-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37">
              <w:r>
                <w:rPr>
                  <w:rStyle w:val="InternetLink"/>
                  <w:rFonts w:ascii="Times New Roman;sans-serif" w:hAnsi="Times New Roman;sans-serif"/>
                  <w:b w:val="false"/>
                  <w:color w:val="0000FF"/>
                  <w:sz w:val="20"/>
                  <w:u w:val="single"/>
                </w:rPr>
                <w:t>Notes to the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40">
              <w:r>
                <w:rPr>
                  <w:rStyle w:val="InternetLink"/>
                  <w:rFonts w:ascii="Times New Roman;sans-serif" w:hAnsi="Times New Roman;sans-serif"/>
                  <w:b w:val="false"/>
                  <w:color w:val="0000FF"/>
                  <w:sz w:val="20"/>
                  <w:u w:val="single"/>
                </w:rPr>
                <w:t>1. Organization and Basis of Consolidation and Presentation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40">
              <w:r>
                <w:rPr>
                  <w:rStyle w:val="InternetLink"/>
                  <w:rFonts w:ascii="Times New Roman;sans-serif" w:hAnsi="Times New Roman;sans-serif"/>
                  <w:b w:val="false"/>
                  <w:color w:val="0000FF"/>
                  <w:sz w:val="20"/>
                  <w:u w:val="single"/>
                </w:rPr>
                <w:t>9</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46">
              <w:r>
                <w:rPr>
                  <w:rStyle w:val="InternetLink"/>
                  <w:rFonts w:ascii="Times New Roman;sans-serif" w:hAnsi="Times New Roman;sans-serif"/>
                  <w:b w:val="false"/>
                  <w:color w:val="0000FF"/>
                  <w:sz w:val="20"/>
                  <w:u w:val="single"/>
                </w:rPr>
                <w:t>2. Revenues and Accounts Receivable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46">
              <w:r>
                <w:rPr>
                  <w:rStyle w:val="InternetLink"/>
                  <w:rFonts w:ascii="Times New Roman;sans-serif" w:hAnsi="Times New Roman;sans-serif"/>
                  <w:b w:val="false"/>
                  <w:color w:val="0000FF"/>
                  <w:sz w:val="20"/>
                  <w:u w:val="single"/>
                </w:rPr>
                <w:t>11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52">
              <w:r>
                <w:rPr>
                  <w:rStyle w:val="InternetLink"/>
                  <w:rFonts w:ascii="Times New Roman;sans-serif" w:hAnsi="Times New Roman;sans-serif"/>
                  <w:b w:val="false"/>
                  <w:color w:val="0000FF"/>
                  <w:sz w:val="20"/>
                  <w:u w:val="single"/>
                </w:rPr>
                <w:t>3. Net Income Per Common Unit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52">
              <w:r>
                <w:rPr>
                  <w:rStyle w:val="InternetLink"/>
                  <w:rFonts w:ascii="Times New Roman;sans-serif" w:hAnsi="Times New Roman;sans-serif"/>
                  <w:b w:val="false"/>
                  <w:color w:val="0000FF"/>
                  <w:sz w:val="20"/>
                  <w:u w:val="single"/>
                </w:rPr>
                <w:t>15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55">
              <w:r>
                <w:rPr>
                  <w:rStyle w:val="InternetLink"/>
                  <w:rFonts w:ascii="Times New Roman;sans-serif" w:hAnsi="Times New Roman;sans-serif"/>
                  <w:b w:val="false"/>
                  <w:color w:val="0000FF"/>
                  <w:sz w:val="20"/>
                  <w:u w:val="single"/>
                </w:rPr>
                <w:t>4. Inventory, Linefill and Long-term Inventory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55">
              <w:r>
                <w:rPr>
                  <w:rStyle w:val="InternetLink"/>
                  <w:rFonts w:ascii="Times New Roman;sans-serif" w:hAnsi="Times New Roman;sans-serif"/>
                  <w:b w:val="false"/>
                  <w:color w:val="0000FF"/>
                  <w:sz w:val="20"/>
                  <w:u w:val="single"/>
                </w:rPr>
                <w:t>16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58">
              <w:r>
                <w:rPr>
                  <w:rStyle w:val="InternetLink"/>
                  <w:rFonts w:ascii="Times New Roman;sans-serif" w:hAnsi="Times New Roman;sans-serif"/>
                  <w:b w:val="false"/>
                  <w:color w:val="0000FF"/>
                  <w:sz w:val="20"/>
                  <w:u w:val="single"/>
                </w:rPr>
                <w:t>5. Debt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58">
              <w:r>
                <w:rPr>
                  <w:rStyle w:val="InternetLink"/>
                  <w:rFonts w:ascii="Times New Roman;sans-serif" w:hAnsi="Times New Roman;sans-serif"/>
                  <w:b w:val="false"/>
                  <w:color w:val="0000FF"/>
                  <w:sz w:val="20"/>
                  <w:u w:val="singl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61">
              <w:r>
                <w:rPr>
                  <w:rStyle w:val="InternetLink"/>
                  <w:rFonts w:ascii="Times New Roman;sans-serif" w:hAnsi="Times New Roman;sans-serif"/>
                  <w:b w:val="false"/>
                  <w:color w:val="0000FF"/>
                  <w:sz w:val="20"/>
                  <w:u w:val="single"/>
                </w:rPr>
                <w:t>6. Partners’ Capital and Distributions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61">
              <w:r>
                <w:rPr>
                  <w:rStyle w:val="InternetLink"/>
                  <w:rFonts w:ascii="Times New Roman;sans-serif" w:hAnsi="Times New Roman;sans-serif"/>
                  <w:b w:val="false"/>
                  <w:color w:val="0000FF"/>
                  <w:sz w:val="20"/>
                  <w:u w:val="single"/>
                </w:rPr>
                <w:t>18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64">
              <w:r>
                <w:rPr>
                  <w:rStyle w:val="InternetLink"/>
                  <w:rFonts w:ascii="Times New Roman;sans-serif" w:hAnsi="Times New Roman;sans-serif"/>
                  <w:b w:val="false"/>
                  <w:color w:val="0000FF"/>
                  <w:sz w:val="20"/>
                  <w:u w:val="single"/>
                </w:rPr>
                <w:t>7. Derivatives and Risk Management Activities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64">
              <w:r>
                <w:rPr>
                  <w:rStyle w:val="InternetLink"/>
                  <w:rFonts w:ascii="Times New Roman;sans-serif" w:hAnsi="Times New Roman;sans-serif"/>
                  <w:b w:val="false"/>
                  <w:color w:val="0000FF"/>
                  <w:sz w:val="20"/>
                  <w:u w:val="single"/>
                </w:rPr>
                <w:t>20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67">
              <w:r>
                <w:rPr>
                  <w:rStyle w:val="InternetLink"/>
                  <w:rFonts w:ascii="Times New Roman;sans-serif" w:hAnsi="Times New Roman;sans-serif"/>
                  <w:b w:val="false"/>
                  <w:color w:val="0000FF"/>
                  <w:sz w:val="20"/>
                  <w:u w:val="single"/>
                </w:rPr>
                <w:t>8. Related Party Transactions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67">
              <w:r>
                <w:rPr>
                  <w:rStyle w:val="InternetLink"/>
                  <w:rFonts w:ascii="Times New Roman;sans-serif" w:hAnsi="Times New Roman;sans-serif"/>
                  <w:b w:val="false"/>
                  <w:color w:val="0000FF"/>
                  <w:sz w:val="20"/>
                  <w:u w:val="single"/>
                </w:rPr>
                <w:t>24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70">
              <w:r>
                <w:rPr>
                  <w:rStyle w:val="InternetLink"/>
                  <w:rFonts w:ascii="Times New Roman;sans-serif" w:hAnsi="Times New Roman;sans-serif"/>
                  <w:b w:val="false"/>
                  <w:color w:val="0000FF"/>
                  <w:sz w:val="20"/>
                  <w:u w:val="single"/>
                </w:rPr>
                <w:t>9. Commitments and Contingencies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70">
              <w:r>
                <w:rPr>
                  <w:rStyle w:val="InternetLink"/>
                  <w:rFonts w:ascii="Times New Roman;sans-serif" w:hAnsi="Times New Roman;sans-serif"/>
                  <w:b w:val="false"/>
                  <w:color w:val="0000FF"/>
                  <w:sz w:val="20"/>
                  <w:u w:val="single"/>
                </w:rPr>
                <w:t>26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73">
              <w:r>
                <w:rPr>
                  <w:rStyle w:val="InternetLink"/>
                  <w:rFonts w:ascii="Times New Roman;sans-serif" w:hAnsi="Times New Roman;sans-serif"/>
                  <w:b w:val="false"/>
                  <w:color w:val="0000FF"/>
                  <w:sz w:val="20"/>
                  <w:u w:val="single"/>
                </w:rPr>
                <w:t>10. Segment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73">
              <w:r>
                <w:rPr>
                  <w:rStyle w:val="InternetLink"/>
                  <w:rFonts w:ascii="Times New Roman;sans-serif" w:hAnsi="Times New Roman;sans-serif"/>
                  <w:b w:val="false"/>
                  <w:color w:val="0000FF"/>
                  <w:sz w:val="20"/>
                  <w:u w:val="singl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76">
              <w:r>
                <w:rPr>
                  <w:rStyle w:val="InternetLink"/>
                  <w:rFonts w:ascii="Times New Roman;sans-serif" w:hAnsi="Times New Roman;sans-serif"/>
                  <w:b w:val="false"/>
                  <w:color w:val="000080"/>
                  <w:sz w:val="20"/>
                  <w:u w:val="single"/>
                </w:rPr>
                <w:t xml:space="preserve">11. </w:t>
              </w:r>
            </w:hyperlink>
            <w:hyperlink w:anchor="i9834098071aa4b03b562f602b65fc33f_76">
              <w:r>
                <w:rPr>
                  <w:rStyle w:val="InternetLink"/>
                  <w:rFonts w:ascii="Times New Roman;sans-serif" w:hAnsi="Times New Roman;sans-serif"/>
                  <w:b w:val="false"/>
                  <w:color w:val="000080"/>
                  <w:sz w:val="20"/>
                  <w:u w:val="single"/>
                </w:rPr>
                <w:t xml:space="preserve">Acquisitions and </w:t>
              </w:r>
            </w:hyperlink>
            <w:hyperlink w:anchor="i9834098071aa4b03b562f602b65fc33f_76">
              <w:r>
                <w:rPr>
                  <w:rStyle w:val="InternetLink"/>
                  <w:rFonts w:ascii="Times New Roman;sans-serif" w:hAnsi="Times New Roman;sans-serif"/>
                  <w:b w:val="false"/>
                  <w:color w:val="000080"/>
                  <w:sz w:val="20"/>
                  <w:u w:val="single"/>
                </w:rPr>
                <w:t>Divestitures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76">
              <w:r>
                <w:rPr>
                  <w:rStyle w:val="InternetLink"/>
                  <w:rFonts w:ascii="Times New Roman;sans-serif" w:hAnsi="Times New Roman;sans-serif"/>
                  <w:b w:val="false"/>
                  <w:color w:val="0000FF"/>
                  <w:sz w:val="20"/>
                  <w:u w:val="single"/>
                </w:rPr>
                <w:t>34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9834098071aa4b03b562f602b65fc33f_8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82">
              <w:r>
                <w:rPr>
                  <w:rStyle w:val="InternetLink"/>
                  <w:rFonts w:ascii="Times New Roman;sans-serif" w:hAnsi="Times New Roman;sans-serif"/>
                  <w:b w:val="false"/>
                  <w:color w:val="0000FF"/>
                  <w:sz w:val="20"/>
                  <w:u w:val="single"/>
                </w:rPr>
                <w:t>35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15">
              <w:r>
                <w:rPr>
                  <w:rStyle w:val="InternetLink"/>
                  <w:rFonts w:ascii="Times New Roman;sans-serif" w:hAnsi="Times New Roman;sans-serif"/>
                  <w:b w:val="false"/>
                  <w:color w:val="0000FF"/>
                  <w:sz w:val="20"/>
                  <w:u w:val="singl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15">
              <w:r>
                <w:rPr>
                  <w:rStyle w:val="InternetLink"/>
                  <w:rFonts w:ascii="Times New Roman;sans-serif" w:hAnsi="Times New Roman;sans-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18">
              <w:r>
                <w:rPr>
                  <w:rStyle w:val="InternetLink"/>
                  <w:rFonts w:ascii="Times New Roman;sans-serif" w:hAnsi="Times New Roman;sans-serif"/>
                  <w:b w:val="false"/>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18">
              <w:r>
                <w:rPr>
                  <w:rStyle w:val="InternetLink"/>
                  <w:rFonts w:ascii="Times New Roman;sans-serif" w:hAnsi="Times New Roman;sans-serif"/>
                  <w:b w:val="false"/>
                  <w:color w:val="0000FF"/>
                  <w:sz w:val="20"/>
                  <w:u w:val="single"/>
                </w:rPr>
                <w:t>55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21">
              <w:r>
                <w:rPr>
                  <w:rStyle w:val="InternetLink"/>
                  <w:rFonts w:ascii="Times New Roman;sans-serif" w:hAnsi="Times New Roman;sans-serif"/>
                  <w:b/>
                  <w:color w:val="0000FF"/>
                  <w:sz w:val="20"/>
                  <w:u w:val="singl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24">
              <w:r>
                <w:rPr>
                  <w:rStyle w:val="InternetLink"/>
                  <w:rFonts w:ascii="Times New Roman;sans-serif" w:hAnsi="Times New Roman;sans-serif"/>
                  <w:b w:val="false"/>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24">
              <w:r>
                <w:rPr>
                  <w:rStyle w:val="InternetLink"/>
                  <w:rFonts w:ascii="Times New Roman;sans-serif" w:hAnsi="Times New Roman;sans-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27">
              <w:r>
                <w:rPr>
                  <w:rStyle w:val="InternetLink"/>
                  <w:rFonts w:ascii="Times New Roman;sans-serif" w:hAnsi="Times New Roman;sans-serif"/>
                  <w:b w:val="false"/>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27">
              <w:r>
                <w:rPr>
                  <w:rStyle w:val="InternetLink"/>
                  <w:rFonts w:ascii="Times New Roman;sans-serif" w:hAnsi="Times New Roman;sans-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30">
              <w:r>
                <w:rPr>
                  <w:rStyle w:val="InternetLink"/>
                  <w:rFonts w:ascii="Times New Roman;sans-serif" w:hAnsi="Times New Roman;sans-serif"/>
                  <w:b w:val="false"/>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30">
              <w:r>
                <w:rPr>
                  <w:rStyle w:val="InternetLink"/>
                  <w:rFonts w:ascii="Times New Roman;sans-serif" w:hAnsi="Times New Roman;sans-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33">
              <w:r>
                <w:rPr>
                  <w:rStyle w:val="InternetLink"/>
                  <w:rFonts w:ascii="Times New Roman;sans-serif" w:hAnsi="Times New Roman;sans-serif"/>
                  <w:b w:val="false"/>
                  <w:color w:val="0000FF"/>
                  <w:sz w:val="20"/>
                  <w:u w:val="single"/>
                </w:rPr>
                <w:t>Item 3. 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33">
              <w:r>
                <w:rPr>
                  <w:rStyle w:val="InternetLink"/>
                  <w:rFonts w:ascii="Times New Roman;sans-serif" w:hAnsi="Times New Roman;sans-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36">
              <w:r>
                <w:rPr>
                  <w:rStyle w:val="InternetLink"/>
                  <w:rFonts w:ascii="Times New Roman;sans-serif" w:hAnsi="Times New Roman;sans-serif"/>
                  <w:b w:val="false"/>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36">
              <w:r>
                <w:rPr>
                  <w:rStyle w:val="InternetLink"/>
                  <w:rFonts w:ascii="Times New Roman;sans-serif" w:hAnsi="Times New Roman;sans-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39">
              <w:r>
                <w:rPr>
                  <w:rStyle w:val="InternetLink"/>
                  <w:rFonts w:ascii="Times New Roman;sans-serif" w:hAnsi="Times New Roman;sans-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39">
              <w:r>
                <w:rPr>
                  <w:rStyle w:val="InternetLink"/>
                  <w:rFonts w:ascii="Times New Roman;sans-serif" w:hAnsi="Times New Roman;sans-serif"/>
                  <w:b w:val="false"/>
                  <w:color w:val="0000FF"/>
                  <w:sz w:val="20"/>
                  <w:u w:val="single"/>
                </w:rPr>
                <w:t>56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42">
              <w:r>
                <w:rPr>
                  <w:rStyle w:val="InternetLink"/>
                  <w:rFonts w:ascii="Times New Roman;sans-serif" w:hAnsi="Times New Roman;sans-serif"/>
                  <w:b w:val="false"/>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42">
              <w:r>
                <w:rPr>
                  <w:rStyle w:val="InternetLink"/>
                  <w:rFonts w:ascii="Times New Roman;sans-serif" w:hAnsi="Times New Roman;sans-serif"/>
                  <w:b w:val="false"/>
                  <w:color w:val="0000FF"/>
                  <w:sz w:val="20"/>
                  <w:u w:val="single"/>
                </w:rPr>
                <w:t>57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34098071aa4b03b562f602b65fc33f_148">
              <w:r>
                <w:rPr>
                  <w:rStyle w:val="InternetLink"/>
                  <w:rFonts w:ascii="Times New Roman;sans-serif" w:hAnsi="Times New Roman;sans-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4098071aa4b03b562f602b65fc33f_148">
              <w:r>
                <w:rPr>
                  <w:rStyle w:val="InternetLink"/>
                  <w:rFonts w:ascii="Times New Roman;sans-serif" w:hAnsi="Times New Roman;sans-serif"/>
                  <w:b w:val="false"/>
                  <w:color w:val="0000FF"/>
                  <w:sz w:val="20"/>
                  <w:u w:val="single"/>
                </w:rPr>
                <w:t>60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jc w:val="center"/>
        <w:rPr/>
      </w:pPr>
      <w:r>
        <w:rPr>
          <w:rFonts w:ascii="Times New Roman;sans-serif" w:hAnsi="Times New Roman;sans-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unit data)</w:t>
      </w:r>
    </w:p>
    <w:tbl>
      <w:tblPr>
        <w:tblW w:w="9991" w:type="dxa"/>
        <w:jc w:val="center"/>
        <w:tblInd w:w="0" w:type="dxa"/>
        <w:tblLayout w:type="fixed"/>
        <w:tblCellMar>
          <w:top w:w="28" w:type="dxa"/>
          <w:left w:w="28" w:type="dxa"/>
          <w:bottom w:w="28" w:type="dxa"/>
          <w:right w:w="28" w:type="dxa"/>
        </w:tblCellMar>
      </w:tblPr>
      <w:tblGrid>
        <w:gridCol w:w="2705"/>
        <w:gridCol w:w="2379"/>
        <w:gridCol w:w="2400"/>
        <w:gridCol w:w="211"/>
        <w:gridCol w:w="721"/>
        <w:gridCol w:w="109"/>
        <w:gridCol w:w="109"/>
        <w:gridCol w:w="109"/>
        <w:gridCol w:w="109"/>
        <w:gridCol w:w="221"/>
        <w:gridCol w:w="757"/>
        <w:gridCol w:w="161"/>
      </w:tblGrid>
      <w:tr>
        <w:trPr/>
        <w:tc>
          <w:tcPr>
            <w:tcW w:w="270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Linefill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PARTNERS’ CAPITAL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LONG-TERM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Senior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 and deferred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long-term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9)</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A preferred unitholders (71,090,468 and 71,090,468 units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B preferred unitholders (800,000 and 800,000 units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unitholders (698,390,006 and 698,354,498 units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 excluding noncontrolling interests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10,057 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unit data)</w:t>
      </w:r>
    </w:p>
    <w:tbl>
      <w:tblPr>
        <w:tblW w:w="10205" w:type="dxa"/>
        <w:jc w:val="center"/>
        <w:tblInd w:w="0" w:type="dxa"/>
        <w:tblLayout w:type="fixed"/>
        <w:tblCellMar>
          <w:top w:w="28" w:type="dxa"/>
          <w:left w:w="28" w:type="dxa"/>
          <w:bottom w:w="28" w:type="dxa"/>
          <w:right w:w="28" w:type="dxa"/>
        </w:tblCellMar>
      </w:tblPr>
      <w:tblGrid>
        <w:gridCol w:w="1913"/>
        <w:gridCol w:w="1547"/>
        <w:gridCol w:w="155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$3, $1, $5, and $2,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UNIT (NOTE 3):</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unitholders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color w:val="000000"/>
        </w:rPr>
      </w:pPr>
      <w:r>
        <w:rPr>
          <w:color w:val="000000"/>
        </w:rPr>
        <w:t> </w:t>
      </w:r>
    </w:p>
    <w:tbl>
      <w:tblPr>
        <w:tblW w:w="9404" w:type="dxa"/>
        <w:jc w:val="center"/>
        <w:tblInd w:w="0" w:type="dxa"/>
        <w:tblLayout w:type="fixed"/>
        <w:tblCellMar>
          <w:top w:w="28" w:type="dxa"/>
          <w:left w:w="28" w:type="dxa"/>
          <w:bottom w:w="28" w:type="dxa"/>
          <w:right w:w="28" w:type="dxa"/>
        </w:tblCellMar>
      </w:tblPr>
      <w:tblGrid>
        <w:gridCol w:w="1894"/>
        <w:gridCol w:w="1662"/>
        <w:gridCol w:w="167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7384"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09"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331"/>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090" w:type="dxa"/>
        <w:jc w:val="center"/>
        <w:tblInd w:w="0" w:type="dxa"/>
        <w:tblLayout w:type="fixed"/>
        <w:tblCellMar>
          <w:top w:w="28" w:type="dxa"/>
          <w:left w:w="28" w:type="dxa"/>
          <w:bottom w:w="28" w:type="dxa"/>
          <w:right w:w="28" w:type="dxa"/>
        </w:tblCellMar>
      </w:tblPr>
      <w:tblGrid>
        <w:gridCol w:w="2218"/>
        <w:gridCol w:w="1949"/>
        <w:gridCol w:w="1953"/>
        <w:gridCol w:w="215"/>
        <w:gridCol w:w="475"/>
        <w:gridCol w:w="109"/>
        <w:gridCol w:w="109"/>
        <w:gridCol w:w="109"/>
        <w:gridCol w:w="109"/>
        <w:gridCol w:w="215"/>
        <w:gridCol w:w="475"/>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Reconciliation of net income to net cash provided by operating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Gains on asset sales and asset impairments,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Gains on sales of linefill</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foreign currency revaluation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 of terminated interest rate hedging instruments (Note 7)</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Preferred Distribution Rate Reset Option (Note 7)</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earnings in unconsolidated entities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on earnings from unconsolidated entities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 net of acquisitions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property, equipment and 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purchases of linefill</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sales of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received from sales of linefill</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borrowings under commercial paper program (Note 5)</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senior notes (Note 5)</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units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Series A preferred unitholders (Note 6)</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Series B preferred unitholders (Note 6)</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common unitholders (Note 6)</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noncontrolling interests (Note 6)</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translation adjustment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increase/(decrease) in cash and cash equivalents and restricted cash</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and restricted cash, beginning of period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and restricted cash, end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net of amounts capitalized</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net of amounts refunded</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6"/>
        <w:gridCol w:w="439"/>
        <w:gridCol w:w="442"/>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53"/>
        <w:gridCol w:w="1209"/>
        <w:gridCol w:w="184"/>
        <w:gridCol w:w="109"/>
        <w:gridCol w:w="109"/>
        <w:gridCol w:w="109"/>
        <w:gridCol w:w="310"/>
        <w:gridCol w:w="907"/>
        <w:gridCol w:w="161"/>
        <w:gridCol w:w="109"/>
        <w:gridCol w:w="109"/>
        <w:gridCol w:w="109"/>
        <w:gridCol w:w="211"/>
        <w:gridCol w:w="721"/>
        <w:gridCol w:w="159"/>
      </w:tblGrid>
      <w:tr>
        <w:trPr/>
        <w:tc>
          <w:tcPr>
            <w:tcW w:w="8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6"/>
        <w:gridCol w:w="439"/>
        <w:gridCol w:w="442"/>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53"/>
        <w:gridCol w:w="1209"/>
        <w:gridCol w:w="184"/>
        <w:gridCol w:w="109"/>
        <w:gridCol w:w="109"/>
        <w:gridCol w:w="109"/>
        <w:gridCol w:w="310"/>
        <w:gridCol w:w="907"/>
        <w:gridCol w:w="161"/>
        <w:gridCol w:w="109"/>
        <w:gridCol w:w="109"/>
        <w:gridCol w:w="109"/>
        <w:gridCol w:w="211"/>
        <w:gridCol w:w="721"/>
        <w:gridCol w:w="159"/>
      </w:tblGrid>
      <w:tr>
        <w:trPr/>
        <w:tc>
          <w:tcPr>
            <w:tcW w:w="8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10 for further discussion of our operating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non-economic general partner interest is held by PAA GP LLC (“PAA GP”), a Delaware limited liability company, whose sole member is Plains AAP, L.P. (“AAP”), a Delaware limited partnership. In addition to its ownership of PAA GP, as of June 30, 2023, AAP also owned a limited partner interest in us through its ownership of approximately 240.8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June 30, 2023, owned an approximate 81% limited partner interest in AAP. PAA GP Holdings LLC (“PAGP GP”) is the general partner of PAGP.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our “general partner,” as the context requires, include any or all of PAGP GP, PAGP, GP LLC, AAP and PAA GP.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this Form 10-Q and shall have the meanings indicated below:</w:t>
      </w:r>
    </w:p>
    <w:p>
      <w:pPr>
        <w:pStyle w:val="TextBody"/>
        <w:bidi w:val="0"/>
        <w:spacing w:before="0" w:after="0"/>
        <w:ind w:left="0" w:right="0" w:firstLine="72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interim financial statements and related notes thereto should be read in conjunction with our 2022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2022 was derived from audited financial statements, but does not include all disclosures required by GAAP. The results of operations for the three and six months ended June 30, 2023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discussed in our 2022 Annual Report on Form 10-K, there have been no new accounting pronouncements that have become effective or have been issued during the six months ended June 30, 2023 that are of significance or potential significance to us.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revenues by segment and type of activity. See Note 3 to our Consolidated Financial Statements included in Part IV of our 2022 Annual Report on Form 10-K for additional information regarding our types of revenues and policies for revenue recognition.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 from Contracts with Customers.</w:t>
      </w:r>
      <w:r>
        <w:rPr>
          <w:color w:val="000000"/>
        </w:rPr>
        <w:t xml:space="preserve">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831"/>
        <w:gridCol w:w="1588"/>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254" w:type="dxa"/>
        <w:jc w:val="center"/>
        <w:tblInd w:w="0" w:type="dxa"/>
        <w:tblLayout w:type="fixed"/>
        <w:tblCellMar>
          <w:top w:w="28" w:type="dxa"/>
          <w:left w:w="28" w:type="dxa"/>
          <w:bottom w:w="28" w:type="dxa"/>
          <w:right w:w="28" w:type="dxa"/>
        </w:tblCellMar>
      </w:tblPr>
      <w:tblGrid>
        <w:gridCol w:w="1785"/>
        <w:gridCol w:w="1572"/>
        <w:gridCol w:w="157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Reconciliation to Total Revenues of Reportable Segments.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tbl>
      <w:tblPr>
        <w:tblW w:w="7418" w:type="dxa"/>
        <w:jc w:val="center"/>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in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in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429"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23"/>
        <w:gridCol w:w="382"/>
        <w:gridCol w:w="115"/>
        <w:gridCol w:w="109"/>
        <w:gridCol w:w="109"/>
        <w:gridCol w:w="109"/>
        <w:gridCol w:w="289"/>
        <w:gridCol w:w="639"/>
        <w:gridCol w:w="21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Unbilled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were related to deficiencies for which the counterparties had not met their contractual minimum commitments and are not reflected in our Condensed Consolidated Financial Statements as we had not yet billed or collected such amounts.</w:t>
      </w:r>
    </w:p>
    <w:p>
      <w:pPr>
        <w:pStyle w:val="TextBody"/>
        <w:bidi w:val="0"/>
        <w:spacing w:before="6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60" w:after="283"/>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6" w:type="dxa"/>
        <w:jc w:val="center"/>
        <w:tblInd w:w="0" w:type="dxa"/>
        <w:tblLayout w:type="fixed"/>
        <w:tblCellMar>
          <w:top w:w="28" w:type="dxa"/>
          <w:left w:w="28" w:type="dxa"/>
          <w:bottom w:w="28" w:type="dxa"/>
          <w:right w:w="28" w:type="dxa"/>
        </w:tblCellMar>
      </w:tblPr>
      <w:tblGrid>
        <w:gridCol w:w="977"/>
        <w:gridCol w:w="859"/>
        <w:gridCol w:w="864"/>
        <w:gridCol w:w="109"/>
        <w:gridCol w:w="109"/>
        <w:gridCol w:w="109"/>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2023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29"/>
        <w:gridCol w:w="962"/>
        <w:gridCol w:w="965"/>
        <w:gridCol w:w="289"/>
        <w:gridCol w:w="642"/>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54"/>
        <w:gridCol w:w="744"/>
        <w:gridCol w:w="190"/>
      </w:tblGrid>
      <w:tr>
        <w:trPr/>
        <w:tc>
          <w:tcPr>
            <w:tcW w:w="12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 and Thereafter</w:t>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Calculated as volumes committed under contracts multiplied by the current applicable tariff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June 30, 2023 and December 31,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trade accounts receivable from revenues from contracts with customers to total Trade accounts receivable and other receivables, net as presented on our Condensed Consolidated Balance Sheets (in millions):</w:t>
      </w:r>
    </w:p>
    <w:tbl>
      <w:tblPr>
        <w:tblW w:w="8882" w:type="dxa"/>
        <w:jc w:val="center"/>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3—Net Income Per Common Unit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and Note 18 to our Consolidated Financial Statements included in Part IV of our 2022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each of the three and six months ended June 30, 2023 and 2022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common unit (in millions, except per unit data):</w:t>
      </w:r>
    </w:p>
    <w:p>
      <w:pPr>
        <w:pStyle w:val="TextBody"/>
        <w:bidi w:val="0"/>
        <w:spacing w:before="0" w:after="0"/>
        <w:jc w:val="left"/>
        <w:rPr/>
      </w:pPr>
      <w:r>
        <w:rPr/>
      </w:r>
    </w:p>
    <w:tbl>
      <w:tblPr>
        <w:tblW w:w="9922" w:type="dxa"/>
        <w:jc w:val="center"/>
        <w:tblInd w:w="0" w:type="dxa"/>
        <w:tblLayout w:type="fixed"/>
        <w:tblCellMar>
          <w:top w:w="28" w:type="dxa"/>
          <w:left w:w="28" w:type="dxa"/>
          <w:bottom w:w="28" w:type="dxa"/>
          <w:right w:w="28" w:type="dxa"/>
        </w:tblCellMar>
      </w:tblPr>
      <w:tblGrid>
        <w:gridCol w:w="1895"/>
        <w:gridCol w:w="1667"/>
        <w:gridCol w:w="167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491"/>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Common Unit</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A preferred unitholders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B preferred unitholders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allocated to participating securities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Net income allocated to common unitholders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4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826"/>
        <w:gridCol w:w="2486"/>
        <w:gridCol w:w="2489"/>
        <w:gridCol w:w="211"/>
        <w:gridCol w:w="616"/>
        <w:gridCol w:w="109"/>
        <w:gridCol w:w="109"/>
        <w:gridCol w:w="109"/>
        <w:gridCol w:w="109"/>
        <w:gridCol w:w="244"/>
        <w:gridCol w:w="715"/>
        <w:gridCol w:w="182"/>
      </w:tblGrid>
      <w:tr>
        <w:trPr/>
        <w:tc>
          <w:tcPr>
            <w:tcW w:w="282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2.85% senior notes due January 2023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3.85% senior notes due October 2023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 of unamortized discounts and debt issuance costs of $44 and $46,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senior notes were redeemed on January 31, 2023.</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Our fixed-rate senior notes had a face value of approximately $8.0 billion and $8.4 billion as of June 30, 2023 and December 31, 2022, respectively. We estimated the aggregate fair value of these notes as of June 30, 2023 and December 31, 2022 to be approximately $7.3 billion and $7.6 billion, respectively. Our fixed-rate senior notes are traded among institutions, and these trades are routinely published by a reporting service. Our determination of fair value is based on reported trading activity near the end of the reporting period. The fair value estimate for our senior notes is based upon observable market data and is classified in Level 2 of the fair value hierarchy.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our credit facilities and commercial paper program for the six months ended June 30, 2023 and 2022 were approximately $1.5 billion and $16.4 billion, respectively. Total repayments under our credit facilities and commercial paper program were approximately $1.5 billion and $16.3 billion for the six months ended June 30, 2023 and 2022,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redeemed our 2.85%, $400 million senior notes due January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June 30, 2023 and December 31, 2022, we had outstanding letters of credit of $127 million and $102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activity for our preferred and common units: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5"/>
        <w:gridCol w:w="1390"/>
        <w:gridCol w:w="1397"/>
        <w:gridCol w:w="619"/>
        <w:gridCol w:w="571"/>
        <w:gridCol w:w="558"/>
        <w:gridCol w:w="109"/>
        <w:gridCol w:w="109"/>
        <w:gridCol w:w="109"/>
        <w:gridCol w:w="554"/>
        <w:gridCol w:w="552"/>
        <w:gridCol w:w="554"/>
        <w:gridCol w:w="109"/>
        <w:gridCol w:w="109"/>
        <w:gridCol w:w="109"/>
        <w:gridCol w:w="593"/>
        <w:gridCol w:w="593"/>
        <w:gridCol w:w="515"/>
      </w:tblGrid>
      <w:tr>
        <w:trPr/>
        <w:tc>
          <w:tcPr>
            <w:tcW w:w="165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698,354,498 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 and June 30, 2023</w:t>
            </w:r>
          </w:p>
        </w:tc>
        <w:tc>
          <w:tcPr>
            <w:tcW w:w="11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698,390,006 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52"/>
        <w:gridCol w:w="1434"/>
        <w:gridCol w:w="1442"/>
        <w:gridCol w:w="619"/>
        <w:gridCol w:w="541"/>
        <w:gridCol w:w="517"/>
        <w:gridCol w:w="109"/>
        <w:gridCol w:w="109"/>
        <w:gridCol w:w="109"/>
        <w:gridCol w:w="516"/>
        <w:gridCol w:w="513"/>
        <w:gridCol w:w="515"/>
        <w:gridCol w:w="109"/>
        <w:gridCol w:w="109"/>
        <w:gridCol w:w="109"/>
        <w:gridCol w:w="593"/>
        <w:gridCol w:w="593"/>
        <w:gridCol w:w="516"/>
      </w:tblGrid>
      <w:tr>
        <w:trPr/>
        <w:tc>
          <w:tcPr>
            <w:tcW w:w="175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4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704,991,540 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under the Common Equity Repurchase Program</w:t>
            </w:r>
          </w:p>
        </w:tc>
        <w:tc>
          <w:tcPr>
            <w:tcW w:w="11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(2,375,299)</w:t>
            </w:r>
          </w:p>
        </w:tc>
        <w:tc>
          <w:tcPr>
            <w:tcW w:w="5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2022</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702,668,178 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under the Common Equity Repurchase Program</w:t>
            </w:r>
          </w:p>
        </w:tc>
        <w:tc>
          <w:tcPr>
            <w:tcW w:w="11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(4,876,062)</w:t>
            </w:r>
          </w:p>
        </w:tc>
        <w:tc>
          <w:tcPr>
            <w:tcW w:w="5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147,830 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2022</w:t>
            </w:r>
          </w:p>
        </w:tc>
        <w:tc>
          <w:tcPr>
            <w:tcW w:w="11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697,939,946 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A Preferred Unit Distributions</w:t>
      </w:r>
      <w:r>
        <w:rPr>
          <w:rFonts w:ascii="Times New Roman;sans-serif" w:hAnsi="Times New Roman;sans-serif"/>
          <w:b w:val="false"/>
          <w:color w:val="000000"/>
          <w:sz w:val="20"/>
        </w:rPr>
        <w:t>. After the fifth anniversary of the January 28, 2016 issuance date of our Series A preferred units, the holders of our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which resulted in an increase in the quarterly distribution rate to approximately $0.615 per unit. This new distribution rate was effective on January 31, 2023. The quarterly distribution paid in May 2023 reflected a pro-rated amount of approximately $0.585 per unit. The following table details distributions to our Series A preferred unitholders paid during or pertaining to the first six months of 2023 (in millions, except per unit data):</w:t>
      </w:r>
    </w:p>
    <w:p>
      <w:pPr>
        <w:pStyle w:val="TextBody"/>
        <w:bidi w:val="0"/>
        <w:spacing w:before="0" w:after="0"/>
        <w:ind w:left="0" w:right="0" w:firstLine="720"/>
        <w:jc w:val="left"/>
        <w:rPr/>
      </w:pPr>
      <w:r>
        <w:rPr/>
      </w:r>
    </w:p>
    <w:tbl>
      <w:tblPr>
        <w:tblW w:w="610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27"/>
        <w:gridCol w:w="731"/>
        <w:gridCol w:w="222"/>
        <w:gridCol w:w="111"/>
        <w:gridCol w:w="111"/>
        <w:gridCol w:w="111"/>
        <w:gridCol w:w="111"/>
        <w:gridCol w:w="111"/>
        <w:gridCol w:w="111"/>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14,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Payable to unitholders of record at the close of business on July 31, 2023 for the period from April 1, 2023 through June 30, 2023. At June 30, 2023, such amount was accrued as distributions payable in “Other current liabilities” on our Condensed Consolidated Balance Sheet.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 Distributions</w:t>
      </w:r>
      <w:r>
        <w:rPr>
          <w:rFonts w:ascii="Times New Roman;sans-serif" w:hAnsi="Times New Roman;sans-serif"/>
          <w:b w:val="false"/>
          <w:color w:val="000000"/>
          <w:sz w:val="20"/>
        </w:rPr>
        <w:t>. Distributions on the Series B preferred units accumulate and are payable quarterly in arrears on the 15th day of February, May, August and November. See Note 12 to our Consolidated Financial Statements included in Part IV of our 2022 Annual Report on Form 10-K for additional information regarding our Series B preferred unit distributions. The following table details distributions paid or to be paid to our Series B preferred unitholders (in millions, except per unit data):</w:t>
      </w:r>
    </w:p>
    <w:p>
      <w:pPr>
        <w:pStyle w:val="TextBody"/>
        <w:bidi w:val="0"/>
        <w:spacing w:before="0" w:after="0"/>
        <w:jc w:val="left"/>
        <w:rPr/>
      </w:pPr>
      <w:r>
        <w:rPr/>
      </w:r>
    </w:p>
    <w:tbl>
      <w:tblPr>
        <w:tblW w:w="6146"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41"/>
        <w:gridCol w:w="755"/>
        <w:gridCol w:w="229"/>
        <w:gridCol w:w="110"/>
        <w:gridCol w:w="110"/>
        <w:gridCol w:w="110"/>
        <w:gridCol w:w="110"/>
        <w:gridCol w:w="110"/>
        <w:gridCol w:w="110"/>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Distribution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15,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August 1, 2023 for the period from May 15, 2023 through August 14, 2023. At June 30, 2023, approximately $10 million of accrued distributions payable to our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Common Unit Distributions</w:t>
      </w:r>
      <w:r>
        <w:rPr>
          <w:rFonts w:ascii="Times New Roman;sans-serif" w:hAnsi="Times New Roman;sans-serif"/>
          <w:b w:val="false"/>
          <w:color w:val="000000"/>
          <w:sz w:val="20"/>
        </w:rPr>
        <w:t>. The following table details distributions to our common unitholders paid during or pertaining to the first six months of 2023 (in millions, except per unit data):</w:t>
      </w:r>
    </w:p>
    <w:p>
      <w:pPr>
        <w:pStyle w:val="TextBody"/>
        <w:bidi w:val="0"/>
        <w:spacing w:before="0" w:after="0"/>
        <w:ind w:left="0" w:right="0" w:firstLine="720"/>
        <w:jc w:val="left"/>
        <w:rPr/>
      </w:pPr>
      <w:r>
        <w:rPr/>
      </w:r>
    </w:p>
    <w:tbl>
      <w:tblPr>
        <w:tblW w:w="9761"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211"/>
        <w:gridCol w:w="466"/>
        <w:gridCol w:w="109"/>
        <w:gridCol w:w="109"/>
        <w:gridCol w:w="109"/>
        <w:gridCol w:w="109"/>
        <w:gridCol w:w="211"/>
        <w:gridCol w:w="361"/>
        <w:gridCol w:w="109"/>
        <w:gridCol w:w="109"/>
        <w:gridCol w:w="109"/>
        <w:gridCol w:w="109"/>
        <w:gridCol w:w="487"/>
        <w:gridCol w:w="1075"/>
        <w:gridCol w:w="253"/>
        <w:gridCol w:w="109"/>
        <w:gridCol w:w="109"/>
        <w:gridCol w:w="109"/>
        <w:gridCol w:w="109"/>
        <w:gridCol w:w="109"/>
        <w:gridCol w:w="109"/>
        <w:gridCol w:w="539"/>
        <w:gridCol w:w="1842"/>
        <w:gridCol w:w="393"/>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 per Common Unit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14,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July 31, 2023 for the period from April 1, 2023 through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noncontrolling interests in our subsidiaries consisted of (i) a 35% interest in Plains Oryx Permian Basin LLC (the “Permian JV”), (ii) a 30% interest in Cactus II Pipeline LLC (“Cactus II”) and (iii) a 33% interest in Red River Pipeline Company LLC (“Red River”).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noncontrolling interests during the periods presented (in millions):</w:t>
      </w:r>
    </w:p>
    <w:p>
      <w:pPr>
        <w:pStyle w:val="TextBody"/>
        <w:bidi w:val="0"/>
        <w:spacing w:before="0" w:after="0"/>
        <w:jc w:val="left"/>
        <w:rPr/>
      </w:pPr>
      <w:r>
        <w:rPr/>
      </w:r>
    </w:p>
    <w:tbl>
      <w:tblPr>
        <w:tblW w:w="5228" w:type="dxa"/>
        <w:jc w:val="left"/>
        <w:tblInd w:w="0" w:type="dxa"/>
        <w:tblLayout w:type="fixed"/>
        <w:tblCellMar>
          <w:top w:w="28" w:type="dxa"/>
          <w:left w:w="28" w:type="dxa"/>
          <w:bottom w:w="28" w:type="dxa"/>
          <w:right w:w="28" w:type="dxa"/>
        </w:tblCellMar>
      </w:tblPr>
      <w:tblGrid>
        <w:gridCol w:w="381"/>
        <w:gridCol w:w="333"/>
        <w:gridCol w:w="336"/>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JV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Cactus II </w:t>
            </w:r>
            <w:r>
              <w:rPr>
                <w:rFonts w:ascii="Times New Roman;sans-serif" w:hAnsi="Times New Roman;sans-serif"/>
                <w:b w:val="false"/>
                <w:color w:val="000000"/>
                <w:sz w:val="13"/>
              </w:rPr>
              <w:t>(1)</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 November 2022, we acquired an additional interest in Cactus II which, combined with changes in the governance of this entity, resulted in our obtaining control of the entity. Subsequent to this transaction, we reflect Cactus II as a consolidated subsidiary. See Note 7 to our Consolidated Financial Statements included in Part IV of our 2022 Annual Report on Form 10-K for additional information on the Cactus II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7—Derivatives and Risk Management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June 30, 2023,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net long position of 5.0 million barrels associated with our crude oil purchases, which was unwound ratably during July 2023 to match monthly average pricing.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time spread position of 6.1 million barrels, which hedges a portion of our anticipated crude oil lease gathering purchases through October 2024.</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crude oil basis spread position of 1.9 million barrels at multiple locations through November 2024.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position of 10.5 million barrels through June 2024 related to anticipated net sales of crude oil and NGL inventory.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w:t>
      </w:r>
      <w:r>
        <w:rPr>
          <w:rFonts w:ascii="Times New Roman;sans-serif" w:hAnsi="Times New Roman;sans-serif"/>
          <w:b w:val="false"/>
          <w:color w:val="000000"/>
          <w:sz w:val="20"/>
          <w:shd w:fill="FFFFFF" w:val="clear"/>
        </w:rPr>
        <w:t>The following table summarizes our open derivative positions utilized to hedge the price risk associated with anticipated purchases and sales related to our natural gas processing and NGL fractionation activities as of June 30, 2023:</w:t>
      </w:r>
    </w:p>
    <w:p>
      <w:pPr>
        <w:pStyle w:val="TextBody"/>
        <w:bidi w:val="0"/>
        <w:spacing w:before="0" w:after="0"/>
        <w:ind w:left="0" w:right="0" w:firstLine="720"/>
        <w:jc w:val="left"/>
        <w:rPr/>
      </w:pPr>
      <w:r>
        <w:rPr/>
      </w:r>
    </w:p>
    <w:tbl>
      <w:tblPr>
        <w:tblW w:w="5931" w:type="dxa"/>
        <w:jc w:val="center"/>
        <w:tblInd w:w="0" w:type="dxa"/>
        <w:tblLayout w:type="fixed"/>
        <w:tblCellMar>
          <w:top w:w="28" w:type="dxa"/>
          <w:left w:w="28" w:type="dxa"/>
          <w:bottom w:w="28" w:type="dxa"/>
          <w:right w:w="28" w:type="dxa"/>
        </w:tblCellMar>
      </w:tblPr>
      <w:tblGrid>
        <w:gridCol w:w="913"/>
        <w:gridCol w:w="800"/>
        <w:gridCol w:w="806"/>
        <w:gridCol w:w="109"/>
        <w:gridCol w:w="109"/>
        <w:gridCol w:w="109"/>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38.9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(0.9)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ind w:left="0" w:right="0" w:firstLine="720"/>
        <w:jc w:val="left"/>
        <w:rPr/>
      </w:pPr>
      <w:r>
        <w:rPr/>
      </w:r>
    </w:p>
    <w:tbl>
      <w:tblPr>
        <w:tblW w:w="8609" w:type="dxa"/>
        <w:jc w:val="center"/>
        <w:tblInd w:w="0" w:type="dxa"/>
        <w:tblLayout w:type="fixed"/>
        <w:tblCellMar>
          <w:top w:w="28" w:type="dxa"/>
          <w:left w:w="28" w:type="dxa"/>
          <w:bottom w:w="28" w:type="dxa"/>
          <w:right w:w="28" w:type="dxa"/>
        </w:tblCellMar>
      </w:tblPr>
      <w:tblGrid>
        <w:gridCol w:w="1616"/>
        <w:gridCol w:w="1423"/>
        <w:gridCol w:w="1430"/>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541"/>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 (loss)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pStyle w:val="TextBody"/>
        <w:bidi w:val="0"/>
        <w:spacing w:before="0" w:after="0"/>
        <w:ind w:left="0" w:right="0" w:firstLine="720"/>
        <w:jc w:val="left"/>
        <w:rPr/>
      </w:pPr>
      <w:r>
        <w:rPr/>
      </w:r>
    </w:p>
    <w:tbl>
      <w:tblPr>
        <w:tblW w:w="4547" w:type="dxa"/>
        <w:jc w:val="center"/>
        <w:tblInd w:w="0" w:type="dxa"/>
        <w:tblLayout w:type="fixed"/>
        <w:tblCellMar>
          <w:top w:w="28" w:type="dxa"/>
          <w:left w:w="28" w:type="dxa"/>
          <w:bottom w:w="28" w:type="dxa"/>
          <w:right w:w="28" w:type="dxa"/>
        </w:tblCellMar>
      </w:tblPr>
      <w:tblGrid>
        <w:gridCol w:w="804"/>
        <w:gridCol w:w="706"/>
        <w:gridCol w:w="710"/>
        <w:gridCol w:w="211"/>
        <w:gridCol w:w="541"/>
        <w:gridCol w:w="109"/>
        <w:gridCol w:w="109"/>
        <w:gridCol w:w="109"/>
        <w:gridCol w:w="109"/>
        <w:gridCol w:w="265"/>
        <w:gridCol w:w="681"/>
        <w:gridCol w:w="193"/>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returned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broker 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ind w:left="0" w:right="0" w:firstLine="720"/>
        <w:jc w:val="left"/>
        <w:rPr/>
      </w:pPr>
      <w:r>
        <w:rPr/>
      </w:r>
    </w:p>
    <w:tbl>
      <w:tblPr>
        <w:tblW w:w="10507"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466"/>
        <w:gridCol w:w="109"/>
        <w:gridCol w:w="109"/>
        <w:gridCol w:w="109"/>
        <w:gridCol w:w="109"/>
        <w:gridCol w:w="245"/>
        <w:gridCol w:w="438"/>
        <w:gridCol w:w="128"/>
        <w:gridCol w:w="109"/>
        <w:gridCol w:w="109"/>
        <w:gridCol w:w="109"/>
        <w:gridCol w:w="211"/>
        <w:gridCol w:w="521"/>
        <w:gridCol w:w="109"/>
        <w:gridCol w:w="109"/>
        <w:gridCol w:w="109"/>
        <w:gridCol w:w="109"/>
        <w:gridCol w:w="251"/>
        <w:gridCol w:w="429"/>
        <w:gridCol w:w="131"/>
        <w:gridCol w:w="109"/>
        <w:gridCol w:w="109"/>
        <w:gridCol w:w="109"/>
        <w:gridCol w:w="109"/>
        <w:gridCol w:w="109"/>
        <w:gridCol w:w="109"/>
        <w:gridCol w:w="211"/>
        <w:gridCol w:w="466"/>
        <w:gridCol w:w="109"/>
        <w:gridCol w:w="109"/>
        <w:gridCol w:w="109"/>
        <w:gridCol w:w="109"/>
        <w:gridCol w:w="245"/>
        <w:gridCol w:w="438"/>
        <w:gridCol w:w="128"/>
        <w:gridCol w:w="109"/>
        <w:gridCol w:w="109"/>
        <w:gridCol w:w="109"/>
        <w:gridCol w:w="211"/>
        <w:gridCol w:w="521"/>
        <w:gridCol w:w="109"/>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terms of our outstanding interest rate derivatives as of June 30, 2023 (notional amounts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64"/>
        <w:gridCol w:w="672"/>
        <w:gridCol w:w="673"/>
        <w:gridCol w:w="109"/>
        <w:gridCol w:w="109"/>
        <w:gridCol w:w="109"/>
        <w:gridCol w:w="629"/>
        <w:gridCol w:w="629"/>
        <w:gridCol w:w="631"/>
        <w:gridCol w:w="109"/>
        <w:gridCol w:w="109"/>
        <w:gridCol w:w="109"/>
        <w:gridCol w:w="211"/>
        <w:gridCol w:w="466"/>
        <w:gridCol w:w="109"/>
        <w:gridCol w:w="109"/>
        <w:gridCol w:w="109"/>
        <w:gridCol w:w="109"/>
        <w:gridCol w:w="465"/>
        <w:gridCol w:w="465"/>
        <w:gridCol w:w="466"/>
        <w:gridCol w:w="109"/>
        <w:gridCol w:w="109"/>
        <w:gridCol w:w="109"/>
        <w:gridCol w:w="255"/>
        <w:gridCol w:w="256"/>
        <w:gridCol w:w="617"/>
        <w:gridCol w:w="109"/>
        <w:gridCol w:w="109"/>
        <w:gridCol w:w="109"/>
        <w:gridCol w:w="367"/>
        <w:gridCol w:w="367"/>
        <w:gridCol w:w="528"/>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and Types of</w:t>
              <w:b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w:t>
              <w:b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w:t>
              <w:br/>
              <w:t>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Accounting</w:t>
              <w:br/>
              <w:t>Treatment</w:t>
            </w:r>
          </w:p>
        </w:tc>
      </w:tr>
      <w:tr>
        <w:trPr/>
        <w:tc>
          <w:tcPr>
            <w:tcW w:w="2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we terminated $200 million of notional interest hedging instruments previously expected to terminate in June 2023 for proceeds of $80 million, of which $73 million was recorded in AOCI. As of June 30, 2023, there was a net loss of $100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June 30, 2023;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gain/(loss) recognized in AOCI for derivatives (in millions):</w:t>
      </w:r>
    </w:p>
    <w:p>
      <w:pPr>
        <w:pStyle w:val="TextBody"/>
        <w:bidi w:val="0"/>
        <w:spacing w:before="0" w:after="0"/>
        <w:ind w:left="0" w:right="0" w:firstLine="720"/>
        <w:jc w:val="left"/>
        <w:rPr/>
      </w:pPr>
      <w:r>
        <w:rPr/>
      </w:r>
    </w:p>
    <w:tbl>
      <w:tblPr>
        <w:tblW w:w="5912" w:type="dxa"/>
        <w:jc w:val="center"/>
        <w:tblInd w:w="0" w:type="dxa"/>
        <w:tblLayout w:type="fixed"/>
        <w:tblCellMar>
          <w:top w:w="28" w:type="dxa"/>
          <w:left w:w="28" w:type="dxa"/>
          <w:bottom w:w="28" w:type="dxa"/>
          <w:right w:w="28" w:type="dxa"/>
        </w:tblCellMar>
      </w:tblPr>
      <w:tblGrid>
        <w:gridCol w:w="853"/>
        <w:gridCol w:w="749"/>
        <w:gridCol w:w="753"/>
        <w:gridCol w:w="213"/>
        <w:gridCol w:w="259"/>
        <w:gridCol w:w="110"/>
        <w:gridCol w:w="110"/>
        <w:gridCol w:w="110"/>
        <w:gridCol w:w="110"/>
        <w:gridCol w:w="213"/>
        <w:gridCol w:w="366"/>
        <w:gridCol w:w="110"/>
        <w:gridCol w:w="109"/>
        <w:gridCol w:w="109"/>
        <w:gridCol w:w="109"/>
        <w:gridCol w:w="211"/>
        <w:gridCol w:w="256"/>
        <w:gridCol w:w="109"/>
        <w:gridCol w:w="109"/>
        <w:gridCol w:w="109"/>
        <w:gridCol w:w="109"/>
        <w:gridCol w:w="211"/>
        <w:gridCol w:w="36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net fair value of our interest rate hedges, which were included in “Other current assets” and “Other long-term liabilities and deferred credits” on our Condensed Consolidated Balance Sheet, totaled $47 million and $5 million, respectively. At December 31, 2022, the net fair value of these hedges totaled $75 million and $45 million, which were included in “Other current assets” and “Other long-term assets, net,”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Preferred Distribution Rate Reset Option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our partnership agreement, and recorded at fair value on our Condensed Consolidated Balance Sheet. The fair value of the Preferred Distribution Rate Reset Option, which was included in “Other long-term liabilities and deferred credits” on our Condensed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Condensed Consolidated Statements of Operations. For the three months ended June 30, 2022, we recognized a loss of $103 million. For the six months ended June 30, 2023 and 2022, we recognized a gain of $58 million and a net loss of $147 million, respectively. See Note 6 for additional information regarding the Preferred Distribution Rate Reset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ind w:left="0" w:right="0" w:firstLine="720"/>
        <w:jc w:val="left"/>
        <w:rPr/>
      </w:pPr>
      <w:r>
        <w:rPr/>
      </w:r>
    </w:p>
    <w:tbl>
      <w:tblPr>
        <w:tblW w:w="11487" w:type="dxa"/>
        <w:jc w:val="left"/>
        <w:tblInd w:w="0" w:type="dxa"/>
        <w:tblLayout w:type="fixed"/>
        <w:tblCellMar>
          <w:top w:w="28" w:type="dxa"/>
          <w:left w:w="28" w:type="dxa"/>
          <w:bottom w:w="28" w:type="dxa"/>
          <w:right w:w="28" w:type="dxa"/>
        </w:tblCellMar>
      </w:tblPr>
      <w:tblGrid>
        <w:gridCol w:w="930"/>
        <w:gridCol w:w="817"/>
        <w:gridCol w:w="819"/>
        <w:gridCol w:w="109"/>
        <w:gridCol w:w="109"/>
        <w:gridCol w:w="109"/>
        <w:gridCol w:w="231"/>
        <w:gridCol w:w="280"/>
        <w:gridCol w:w="120"/>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109"/>
        <w:gridCol w:w="109"/>
        <w:gridCol w:w="109"/>
        <w:gridCol w:w="211"/>
        <w:gridCol w:w="311"/>
        <w:gridCol w:w="109"/>
        <w:gridCol w:w="109"/>
        <w:gridCol w:w="109"/>
        <w:gridCol w:w="109"/>
        <w:gridCol w:w="211"/>
        <w:gridCol w:w="466"/>
        <w:gridCol w:w="109"/>
        <w:gridCol w:w="109"/>
        <w:gridCol w:w="109"/>
        <w:gridCol w:w="109"/>
        <w:gridCol w:w="211"/>
        <w:gridCol w:w="481"/>
        <w:gridCol w:w="109"/>
        <w:gridCol w:w="109"/>
        <w:gridCol w:w="109"/>
        <w:gridCol w:w="109"/>
        <w:gridCol w:w="211"/>
        <w:gridCol w:w="46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2022</w:t>
            </w:r>
          </w:p>
        </w:tc>
      </w:tr>
      <w:tr>
        <w:trPr/>
        <w:tc>
          <w:tcPr>
            <w:tcW w:w="25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Distribution Rate Reset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our common unit price, and default probabilities which impacted timing estimates as to when the option would be exercised.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our derivatives classified as Level 3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176"/>
        <w:gridCol w:w="1881"/>
        <w:gridCol w:w="1892"/>
        <w:gridCol w:w="211"/>
        <w:gridCol w:w="406"/>
        <w:gridCol w:w="109"/>
        <w:gridCol w:w="109"/>
        <w:gridCol w:w="109"/>
        <w:gridCol w:w="109"/>
        <w:gridCol w:w="211"/>
        <w:gridCol w:w="514"/>
        <w:gridCol w:w="109"/>
        <w:gridCol w:w="109"/>
        <w:gridCol w:w="109"/>
        <w:gridCol w:w="109"/>
        <w:gridCol w:w="211"/>
        <w:gridCol w:w="514"/>
        <w:gridCol w:w="109"/>
        <w:gridCol w:w="109"/>
        <w:gridCol w:w="109"/>
        <w:gridCol w:w="109"/>
        <w:gridCol w:w="211"/>
        <w:gridCol w:w="514"/>
        <w:gridCol w:w="156"/>
      </w:tblGrid>
      <w:tr>
        <w:trPr/>
        <w:tc>
          <w:tcPr>
            <w:tcW w:w="21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17 to our Consolidated Financial Statements included in Part IV of our 2022 Annual Report on Form 10-K for a complete discussion of related parties, including the determination of our related parties and nature of involvement with such related parties.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Promissory Notes with our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PAGP issued an unsecured promissory note to us with a face value of CAD$500 million (“related party note receivable”). Concurrently, we assigned PAGP our interest in an existing unsecured promissory note for the same face value amount due from a consolidated subsidiary (“related party note payable”). Both notes are due April 2027 and bear interest at a rate of 8.25% per annum, payable semi-annually.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 receivable/payable was $10 million as of June 30, 2023. Interest income/expense on the related party notes totaled $7 million and $10 million for the three and six months ended June 30, 2023,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our outstanding related party note receivable and related party note payable balances were as follows (in millions):</w:t>
      </w:r>
    </w:p>
    <w:p>
      <w:pPr>
        <w:pStyle w:val="TextBody"/>
        <w:bidi w:val="0"/>
        <w:spacing w:before="0" w:after="0"/>
        <w:jc w:val="left"/>
        <w:rPr/>
      </w:pPr>
      <w:r>
        <w:rPr/>
      </w:r>
    </w:p>
    <w:tbl>
      <w:tblPr>
        <w:tblW w:w="3763" w:type="dxa"/>
        <w:jc w:val="left"/>
        <w:tblInd w:w="0" w:type="dxa"/>
        <w:tblLayout w:type="fixed"/>
        <w:tblCellMar>
          <w:top w:w="28" w:type="dxa"/>
          <w:left w:w="28" w:type="dxa"/>
          <w:bottom w:w="28" w:type="dxa"/>
          <w:right w:w="28" w:type="dxa"/>
        </w:tblCellMar>
      </w:tblPr>
      <w:tblGrid>
        <w:gridCol w:w="983"/>
        <w:gridCol w:w="864"/>
        <w:gridCol w:w="867"/>
        <w:gridCol w:w="211"/>
        <w:gridCol w:w="466"/>
        <w:gridCol w:w="109"/>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 receivable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 payable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have elected to present our related party notes with the same counterparty on a net basis on our Condensed Consolidated Balance Sheet because there is a legal right to offset and we intend to offset with the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and 2022, we recognized sales and transportation revenues, purchased petroleum products and utilized transportation and storage services from related parties. These transactions were conducted at posted tariff rates or prices that we believe approximate market.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to our Condensed Consolidated Statements of Operations from these transactions is included below (in millions): </w:t>
      </w:r>
    </w:p>
    <w:p>
      <w:pPr>
        <w:pStyle w:val="TextBody"/>
        <w:bidi w:val="0"/>
        <w:spacing w:before="0" w:after="0"/>
        <w:jc w:val="left"/>
        <w:rPr/>
      </w:pPr>
      <w:r>
        <w:rPr/>
      </w:r>
    </w:p>
    <w:tbl>
      <w:tblPr>
        <w:tblW w:w="7979" w:type="dxa"/>
        <w:jc w:val="center"/>
        <w:tblInd w:w="0" w:type="dxa"/>
        <w:tblLayout w:type="fixed"/>
        <w:tblCellMar>
          <w:top w:w="28" w:type="dxa"/>
          <w:left w:w="28" w:type="dxa"/>
          <w:bottom w:w="28" w:type="dxa"/>
          <w:right w:w="28" w:type="dxa"/>
        </w:tblCellMar>
      </w:tblPr>
      <w:tblGrid>
        <w:gridCol w:w="1419"/>
        <w:gridCol w:w="1243"/>
        <w:gridCol w:w="1252"/>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Condensed Consolidated Balance Sheets were as follows (in millions):</w:t>
      </w:r>
    </w:p>
    <w:p>
      <w:pPr>
        <w:pStyle w:val="TextBody"/>
        <w:bidi w:val="0"/>
        <w:spacing w:before="0" w:after="0"/>
        <w:ind w:left="0" w:right="0" w:firstLine="720"/>
        <w:jc w:val="left"/>
        <w:rPr/>
      </w:pPr>
      <w:r>
        <w:rPr/>
      </w:r>
    </w:p>
    <w:tbl>
      <w:tblPr>
        <w:tblW w:w="8352" w:type="dxa"/>
        <w:jc w:val="center"/>
        <w:tblInd w:w="0" w:type="dxa"/>
        <w:tblLayout w:type="fixed"/>
        <w:tblCellMar>
          <w:top w:w="28" w:type="dxa"/>
          <w:left w:w="28" w:type="dxa"/>
          <w:bottom w:w="28" w:type="dxa"/>
          <w:right w:w="28" w:type="dxa"/>
        </w:tblCellMar>
      </w:tblPr>
      <w:tblGrid>
        <w:gridCol w:w="2230"/>
        <w:gridCol w:w="1962"/>
        <w:gridCol w:w="1973"/>
        <w:gridCol w:w="223"/>
        <w:gridCol w:w="382"/>
        <w:gridCol w:w="115"/>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(1) (2)</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Includes amounts related to transportation and storage services, amounts owed to us or advanced to us related to investment capital projects of equity method investees where we serve as construction manager and amounts related to crude oil purchases and sales. </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Loss Contingencies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both June 30, 2023 and December 31, 2022, our estimated undiscounted reserve for environmental liabilities (excluding liabilities related to the Line 901 incident, as discussed further below) totaled $55 million, of which $10 million was classified as short-term and $45 million was classified as long-term for each period. Such short-term liabilities are reflected in “Other current liabilities” and long-term liabilities are reflected in “Other long-term liabilities and deferred credits” on our Condensed Consolidated Balance Sheets. At both June 30, 2023 and December 31, 2022, we had recorded receivables (excluding receivables related to the Line 901 incident) totaling $4 million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proceeding, the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joined this proceeding as a co-defendant with respect to its interest in such acquired pipelines.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June 30, 2023.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have initiated arbitration proceedings against the insurers responsible for $175 million of coverage and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June 30, 2023,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2022, we recognized costs, net of amounts probable of recovery from insurance carriers, of $85 million. We did not recognize any such costs during the six months ended June 30, 2023. As of June 30, 2023, we had a remaining undiscounted gross liability of approximately $98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June 30, 2023, our incurred costs for the Line 901 incident have exceeded our insurance coverage limit of $500 million related to our 2015 insurance program applicable to the Line 901 incident by $240 million. Through June 30,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June 30,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operations through two operating segments, which are also our reportable segments: Crude Oil and NGL. See Note 20 to our Consolidated Financial Statements included in Part IV of our 2022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pStyle w:val="TextBody"/>
        <w:bidi w:val="0"/>
        <w:spacing w:lineRule="auto" w:line="276"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9493" w:type="dxa"/>
        <w:jc w:val="center"/>
        <w:tblInd w:w="0" w:type="dxa"/>
        <w:tblLayout w:type="fixed"/>
        <w:tblCellMar>
          <w:top w:w="28" w:type="dxa"/>
          <w:left w:w="28" w:type="dxa"/>
          <w:bottom w:w="28" w:type="dxa"/>
          <w:right w:w="28" w:type="dxa"/>
        </w:tblCellMar>
      </w:tblPr>
      <w:tblGrid>
        <w:gridCol w:w="1293"/>
        <w:gridCol w:w="1136"/>
        <w:gridCol w:w="1141"/>
        <w:gridCol w:w="211"/>
        <w:gridCol w:w="721"/>
        <w:gridCol w:w="109"/>
        <w:gridCol w:w="109"/>
        <w:gridCol w:w="109"/>
        <w:gridCol w:w="109"/>
        <w:gridCol w:w="211"/>
        <w:gridCol w:w="616"/>
        <w:gridCol w:w="109"/>
        <w:gridCol w:w="109"/>
        <w:gridCol w:w="109"/>
        <w:gridCol w:w="109"/>
        <w:gridCol w:w="465"/>
        <w:gridCol w:w="1063"/>
        <w:gridCol w:w="242"/>
        <w:gridCol w:w="109"/>
        <w:gridCol w:w="109"/>
        <w:gridCol w:w="109"/>
        <w:gridCol w:w="211"/>
        <w:gridCol w:w="721"/>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PAA (in millions):</w:t>
      </w:r>
    </w:p>
    <w:p>
      <w:pPr>
        <w:pStyle w:val="TextBody"/>
        <w:bidi w:val="0"/>
        <w:spacing w:before="0" w:after="0"/>
        <w:ind w:left="0" w:right="0" w:firstLine="720"/>
        <w:jc w:val="left"/>
        <w:rPr/>
      </w:pPr>
      <w:r>
        <w:rPr/>
      </w:r>
    </w:p>
    <w:tbl>
      <w:tblPr>
        <w:tblW w:w="9660" w:type="dxa"/>
        <w:jc w:val="center"/>
        <w:tblInd w:w="0" w:type="dxa"/>
        <w:tblLayout w:type="fixed"/>
        <w:tblCellMar>
          <w:top w:w="28" w:type="dxa"/>
          <w:left w:w="28" w:type="dxa"/>
          <w:bottom w:w="28" w:type="dxa"/>
          <w:right w:w="28" w:type="dxa"/>
        </w:tblCellMar>
      </w:tblPr>
      <w:tblGrid>
        <w:gridCol w:w="1880"/>
        <w:gridCol w:w="1648"/>
        <w:gridCol w:w="1662"/>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to our Consolidated Financial Statements included in Part IV of our 2022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costs recognized during the period related to the Line 901 incident that occurred in May 2015, net of amounts we believe are probable of recovery from insurance. See Note 9 for additional information regarding the Line 901 incident.</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11</w:t>
      </w:r>
      <w:r>
        <w:rPr>
          <w:color w:val="000000"/>
        </w:rPr>
        <w:t xml:space="preserve">— </w:t>
      </w:r>
      <w:r>
        <w:rPr>
          <w:rFonts w:ascii="Times New Roman;sans-serif" w:hAnsi="Times New Roman;sans-serif"/>
          <w:b/>
          <w:color w:val="000000"/>
          <w:sz w:val="20"/>
        </w:rPr>
        <w:t>Acquisitions and Divestitures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OMOG Acquisition. </w:t>
      </w:r>
      <w:r>
        <w:rPr>
          <w:rFonts w:ascii="Times New Roman;sans-serif" w:hAnsi="Times New Roman;sans-serif"/>
          <w:b w:val="false"/>
          <w:color w:val="000000"/>
          <w:sz w:val="20"/>
        </w:rPr>
        <w:t>On July 28, 2023, we acquired the remaining 43% interest in OMOG JV LLC (“OMOG”) for approximately $225 million ($145 million net to our 65% interest in the Permian JV). As a result of this transaction, we now own 100% of OMOG and its subsidiaries and such entities will be reflected as consolidated subsidiaries in our consolidated financial statements. Prior to this transaction, our 57% interest in OMOG was accounted for as an equity method investment.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Keyera Fort Saskatchewan Divestiture.</w:t>
      </w:r>
      <w:r>
        <w:rPr>
          <w:color w:val="000000"/>
        </w:rPr>
        <w:t xml:space="preserve"> </w:t>
      </w:r>
      <w:r>
        <w:rPr>
          <w:rFonts w:ascii="Times New Roman;sans-serif" w:hAnsi="Times New Roman;sans-serif"/>
          <w:b w:val="false"/>
          <w:color w:val="000000"/>
          <w:sz w:val="20"/>
        </w:rPr>
        <w:t xml:space="preserve">In February 2023, we sold our 21% non-operated/undivided joint interest in the Keyera Fort Saskatchewan facility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which is reflected in “Other current assets” on our Condensed Consolidated Balance Sheet. Upon the sale of this facility, we recognized a gain of approximately $140 million which is included in “(Gains)/losses on asset sales and asset impairments, net” on our Condensed Consolidated Statement of Operations.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Results of Operations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Executive Summary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and transportation corridors and at major market hubs in the United States and Canada. Our assets and the services we provide are primarily focused on crude oil and NGL.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six months of 2023, we recognized net income attributable to PAA of $715 million compared to $390 million during the first six months of 2022. The increase in operating results for the first six months of 2023 over the comparable 2022 period was driven primarily by more favorable results in our Crude Oil segment resulting from higher volumes on our pipelines and market-based opportunities. In addition, the 2022 comparative period was impacted by an increase in the accrual for estimated costs associated with the Line 901 incident.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net income for the first six months of 2023 compared to the first six months of 2022 includes more favorable impacts from gains on asset sales and the mark-to-market adjustment of the Preferred Distribution Rate Reset Option, partially offset by less favorable impacts of long-term inventory costing adjustments.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unit data): </w:t>
      </w:r>
    </w:p>
    <w:p>
      <w:pPr>
        <w:pStyle w:val="TextBody"/>
        <w:bidi w:val="0"/>
        <w:spacing w:before="0" w:after="0"/>
        <w:ind w:left="0" w:right="0" w:firstLine="720"/>
        <w:jc w:val="left"/>
        <w:rPr/>
      </w:pPr>
      <w:r>
        <w:rPr/>
      </w:r>
    </w:p>
    <w:tbl>
      <w:tblPr>
        <w:tblW w:w="11597" w:type="dxa"/>
        <w:jc w:val="center"/>
        <w:tblInd w:w="0" w:type="dxa"/>
        <w:tblLayout w:type="fixed"/>
        <w:tblCellMar>
          <w:top w:w="28" w:type="dxa"/>
          <w:left w:w="28" w:type="dxa"/>
          <w:bottom w:w="28" w:type="dxa"/>
          <w:right w:w="28" w:type="dxa"/>
        </w:tblCellMar>
      </w:tblPr>
      <w:tblGrid>
        <w:gridCol w:w="844"/>
        <w:gridCol w:w="268"/>
        <w:gridCol w:w="26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40"/>
        <w:gridCol w:w="241"/>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33"/>
        <w:gridCol w:w="233"/>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before="60" w:after="283"/>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WTI. The following table presents the range of NYMEX WTI benchmark prices of crude oil (in dollars per barrel):</w:t>
      </w:r>
    </w:p>
    <w:p>
      <w:pPr>
        <w:pStyle w:val="TextBody"/>
        <w:bidi w:val="0"/>
        <w:spacing w:before="0" w:after="0"/>
        <w:ind w:left="0" w:right="0" w:firstLine="720"/>
        <w:jc w:val="left"/>
        <w:rPr/>
      </w:pPr>
      <w:r>
        <w:rPr/>
      </w:r>
    </w:p>
    <w:tbl>
      <w:tblPr>
        <w:tblW w:w="5966" w:type="dxa"/>
        <w:jc w:val="center"/>
        <w:tblInd w:w="0" w:type="dxa"/>
        <w:tblLayout w:type="fixed"/>
        <w:tblCellMar>
          <w:top w:w="28" w:type="dxa"/>
          <w:left w:w="28" w:type="dxa"/>
          <w:bottom w:w="28" w:type="dxa"/>
          <w:right w:w="28" w:type="dxa"/>
        </w:tblCellMar>
      </w:tblPr>
      <w:tblGrid>
        <w:gridCol w:w="1092"/>
        <w:gridCol w:w="959"/>
        <w:gridCol w:w="963"/>
        <w:gridCol w:w="211"/>
        <w:gridCol w:w="361"/>
        <w:gridCol w:w="109"/>
        <w:gridCol w:w="109"/>
        <w:gridCol w:w="109"/>
        <w:gridCol w:w="109"/>
        <w:gridCol w:w="211"/>
        <w:gridCol w:w="466"/>
        <w:gridCol w:w="109"/>
        <w:gridCol w:w="109"/>
        <w:gridCol w:w="109"/>
        <w:gridCol w:w="109"/>
        <w:gridCol w:w="211"/>
        <w:gridCol w:w="46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NYMEX WTI</w:t>
              <w:br/>
              <w:t>Crude Oil Price</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 and purchases decreased for the three and six months ended June 30, 2023 compared to the same periods in 2022 primarily due to lower commodity prices in the 2023 periods. The decrease for the six-month period was partially offset by higher volumes in the 2023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three and six months ended June 30, 2023 compared to the same periods in 2022 primarily due to higher volumes and tariff escalations in the 2023 periods, as well as the impact of the consolidation of Cactus II resulting from our acquisition of an additional interest in November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our net revenues (revenues less purchases and related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increase in general and administrative expenses for the three and six months ended June 30, 2023 compared to the same periods in 2022 was primarily due to (i) higher information systems costs due to ongoing systems integration work and (ii) higher employee-related costs, including an increase in equity-indexed compensation expense on equity-classified awards (which is excluded in the calculation of Adjusted EBITDA and Segment Adjusted EBITDA), partially offset by (iii) lower transition </w:t>
      </w:r>
      <w:r>
        <w:rPr>
          <w:rFonts w:ascii="Times New Roman;sans-serif" w:hAnsi="Times New Roman;sans-serif"/>
          <w:b w:val="false"/>
          <w:color w:val="000000"/>
          <w:sz w:val="20"/>
          <w:shd w:fill="FFFFFF" w:val="clear"/>
        </w:rPr>
        <w:t>costs associated with the formation of the Permian JV and (iv) the impact of exchange rate fluctuations.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and Asset Impairments,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gains on asset sales and asset impairments for the six months ended June 30, 2023 was primarily comprised of a gain of approximately $140 million related to the sale of our Keyera Fort Saskatchewan facility in the first quarter of 2023. See Note 11 to our Condensed Consolidated Financial Statements for additional discussion of this transaction.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we recognized a gain of $40 million related to the sale of land and buildings in California.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and amortization expense for the three and six months ended June 30, 2023 compared to the same periods in 2022 was largely driven by our acquisition of an additional interest in Cactus II, for which our ownership interest is now consolidated. See Note 7 to our Consolidated Financial Statements included in Part IV of our 2022 Annual Report on Form 10-K for additional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three and six months ended June 30, 2023 compared to the three and six months ended June 30, 2022 was primarily due to a lower weighted average debt balance during the 2023 periods largely driven by the repayment of $750 million of senior notes in March 2022 and $400 million of senior notes in January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Other Income/(Expense),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income/(expense), net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092"/>
        <w:gridCol w:w="1835"/>
        <w:gridCol w:w="1844"/>
        <w:gridCol w:w="109"/>
        <w:gridCol w:w="109"/>
        <w:gridCol w:w="109"/>
        <w:gridCol w:w="211"/>
        <w:gridCol w:w="406"/>
        <w:gridCol w:w="109"/>
        <w:gridCol w:w="109"/>
        <w:gridCol w:w="109"/>
        <w:gridCol w:w="109"/>
        <w:gridCol w:w="211"/>
        <w:gridCol w:w="516"/>
        <w:gridCol w:w="109"/>
        <w:gridCol w:w="109"/>
        <w:gridCol w:w="109"/>
        <w:gridCol w:w="109"/>
        <w:gridCol w:w="211"/>
        <w:gridCol w:w="361"/>
        <w:gridCol w:w="109"/>
        <w:gridCol w:w="109"/>
        <w:gridCol w:w="109"/>
        <w:gridCol w:w="109"/>
        <w:gridCol w:w="211"/>
        <w:gridCol w:w="516"/>
        <w:gridCol w:w="156"/>
      </w:tblGrid>
      <w:tr>
        <w:trPr/>
        <w:tc>
          <w:tcPr>
            <w:tcW w:w="2092"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Gain/(loss) on mark-to-market adjustment of Preferred Distribution Rate Reset Option embedded derivative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gain/(loss) on foreign currency revaluation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7 to our Condensed Consolidated Financial Statements for additional information.</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activity during the periods presented was primarily related to the impact from the change in the USD to CAD exchange rate on the portion of our intercompany net investment that is not long-term in 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unfavorable income tax variance for the six months ended June 30, 2023 compared to the same period in 2022 was primarily a result of increased activity within our Canadian operations including the tax impact of the Keyera Fort Saskatchewan divestiture in the first quarter of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amounts attributable to noncontrolling interests for the three and six months ended June 30, 2023 compared to the same periods in 2022 was primarily due to (i) the consolidation of Cactus II in November 2022 and (ii) higher results from the Permian JV in the 2023 periods. See Note 7 to our Consolidated Financial Statements included in Part IV of our 2022 Annual Report on Form 10-K for additional information on the Cactus II transaction.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and gains on and impairments of investments in unconsolidated entities, adjusted for certain selected items impacting comparability.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Adjusted EBITDA attributable to PAA and Implied DCF are reconciled to Net Income,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Free Cash Flow and Free Cash Flow after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reconciliation of the non-GAAP financial performance measures Adjusted EBITDA, Adjusted EBITDA attributable to PAA and Implied DCF to Net Income (in millions): </w:t>
      </w:r>
    </w:p>
    <w:p>
      <w:pPr>
        <w:pStyle w:val="TextBody"/>
        <w:bidi w:val="0"/>
        <w:spacing w:before="0" w:after="0"/>
        <w:ind w:left="0" w:right="0" w:firstLine="720"/>
        <w:jc w:val="left"/>
        <w:rPr/>
      </w:pPr>
      <w:r>
        <w:rPr/>
      </w:r>
    </w:p>
    <w:tbl>
      <w:tblPr>
        <w:tblW w:w="10583" w:type="dxa"/>
        <w:jc w:val="center"/>
        <w:tblInd w:w="0" w:type="dxa"/>
        <w:tblLayout w:type="fixed"/>
        <w:tblCellMar>
          <w:top w:w="28" w:type="dxa"/>
          <w:left w:w="28" w:type="dxa"/>
          <w:bottom w:w="28" w:type="dxa"/>
          <w:right w:w="28" w:type="dxa"/>
        </w:tblCellMar>
      </w:tblPr>
      <w:tblGrid>
        <w:gridCol w:w="720"/>
        <w:gridCol w:w="229"/>
        <w:gridCol w:w="231"/>
        <w:gridCol w:w="109"/>
        <w:gridCol w:w="109"/>
        <w:gridCol w:w="109"/>
        <w:gridCol w:w="211"/>
        <w:gridCol w:w="466"/>
        <w:gridCol w:w="109"/>
        <w:gridCol w:w="109"/>
        <w:gridCol w:w="109"/>
        <w:gridCol w:w="109"/>
        <w:gridCol w:w="211"/>
        <w:gridCol w:w="466"/>
        <w:gridCol w:w="109"/>
        <w:gridCol w:w="109"/>
        <w:gridCol w:w="109"/>
        <w:gridCol w:w="109"/>
        <w:gridCol w:w="211"/>
        <w:gridCol w:w="376"/>
        <w:gridCol w:w="109"/>
        <w:gridCol w:w="109"/>
        <w:gridCol w:w="109"/>
        <w:gridCol w:w="109"/>
        <w:gridCol w:w="232"/>
        <w:gridCol w:w="234"/>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39"/>
        <w:gridCol w:w="242"/>
        <w:gridCol w:w="316"/>
      </w:tblGrid>
      <w:tr>
        <w:trPr/>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Derivative activities and inventory valuation adjustments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inventory costing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Equity-indexed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Selected Items Impacting Comparability - Segment Adjusted EBITDA</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Adjusted EBITDA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373" w:type="dxa"/>
        <w:jc w:val="center"/>
        <w:tblInd w:w="0" w:type="dxa"/>
        <w:tblLayout w:type="fixed"/>
        <w:tblCellMar>
          <w:top w:w="28" w:type="dxa"/>
          <w:left w:w="28" w:type="dxa"/>
          <w:bottom w:w="28" w:type="dxa"/>
          <w:right w:w="28" w:type="dxa"/>
        </w:tblCellMar>
      </w:tblPr>
      <w:tblGrid>
        <w:gridCol w:w="734"/>
        <w:gridCol w:w="215"/>
        <w:gridCol w:w="216"/>
        <w:gridCol w:w="109"/>
        <w:gridCol w:w="109"/>
        <w:gridCol w:w="109"/>
        <w:gridCol w:w="211"/>
        <w:gridCol w:w="466"/>
        <w:gridCol w:w="109"/>
        <w:gridCol w:w="109"/>
        <w:gridCol w:w="109"/>
        <w:gridCol w:w="109"/>
        <w:gridCol w:w="211"/>
        <w:gridCol w:w="466"/>
        <w:gridCol w:w="109"/>
        <w:gridCol w:w="109"/>
        <w:gridCol w:w="109"/>
        <w:gridCol w:w="109"/>
        <w:gridCol w:w="211"/>
        <w:gridCol w:w="376"/>
        <w:gridCol w:w="109"/>
        <w:gridCol w:w="109"/>
        <w:gridCol w:w="109"/>
        <w:gridCol w:w="109"/>
        <w:gridCol w:w="187"/>
        <w:gridCol w:w="189"/>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8"/>
        <w:gridCol w:w="188"/>
        <w:gridCol w:w="316"/>
      </w:tblGrid>
      <w:tr>
        <w:trPr/>
        <w:tc>
          <w:tcPr>
            <w:tcW w:w="7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Interest expense, net of certain non-cash items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Investment capital of noncontrolling interests </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Distributions from unconsolidated entities in excess of/(less than) adjusted equity earnings</w:t>
            </w:r>
            <w:r>
              <w:rPr>
                <w:color w:val="000000"/>
              </w:rPr>
              <w:t xml:space="preserve">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Distributions to noncontrolling interests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Preferred unit distributions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 Available to Common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Common unit cash distributions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Implied DCF Excess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10 to our Condensed Consolidated Financial Statements.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The Preferred Distribution Rate Reset Option of our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Other income/(expense), net on our Condensed Consolidated Statements of Operations, adjusted for selected items impacting comparability (“Adjusted other income/(expense), net”) is included in Adjusted EBITDA and excluded from Segment Adjusted EBITDA.</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Excludes certain non-cash items impacting interest expense such as amortization of debt issuance costs and terminated interest rate swaps.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Maintenance capital expenditures are defined as capital expenditures for the replacement and/or refurbishment of partially or fully depreciated assets in order to maintain the operating and/or earnings capacity of our existing assets.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Investment capital expenditures attributable to noncontrolling interests that reduce Implied DCF available to PAA common unitholders.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(11)</w:t>
      </w:r>
      <w:r>
        <w:rPr>
          <w:rFonts w:ascii="Times New Roman;sans-serif" w:hAnsi="Times New Roman;sans-serif"/>
          <w:b w:val="false"/>
          <w:color w:val="000000"/>
          <w:sz w:val="20"/>
        </w:rPr>
        <w:t>Cash distributions paid during the period presented.</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(12)</w:t>
      </w:r>
      <w:r>
        <w:rPr>
          <w:rFonts w:ascii="Times New Roman;sans-serif" w:hAnsi="Times New Roman;sans-serif"/>
          <w:b w:val="false"/>
          <w:color w:val="000000"/>
          <w:sz w:val="20"/>
        </w:rPr>
        <w:t xml:space="preserve">Excess DCF is retained to establish reserves for debt repayment, future distributions, common equity repurchases, capital expenditures and other partnership purposes. </w: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PAA. See Note 20 to our Consolidated Financial Statements included in Part IV of our 2022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prices and, at times, to provide upside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primarily impacted by (i) increases or decreases in our lease gathering crude oil purchases volumes and (ii) volatility in commodity prices, as well as grade and regional price differentials and time spreads. The segment results also include the direct fixed and variable field costs of operating the crude oil assets, as well as an allocation of indirect operating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operating results from our Crude Oil segment: </w:t>
      </w:r>
    </w:p>
    <w:p>
      <w:pPr>
        <w:pStyle w:val="TextBody"/>
        <w:bidi w:val="0"/>
        <w:spacing w:before="0" w:after="0"/>
        <w:ind w:left="0" w:right="0" w:firstLine="720"/>
        <w:jc w:val="left"/>
        <w:rPr/>
      </w:pPr>
      <w:r>
        <w:rPr/>
      </w:r>
    </w:p>
    <w:tbl>
      <w:tblPr>
        <w:tblW w:w="11939" w:type="dxa"/>
        <w:jc w:val="center"/>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18"/>
        <w:gridCol w:w="188"/>
        <w:gridCol w:w="316"/>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81"/>
        <w:gridCol w:w="289"/>
        <w:gridCol w:w="292"/>
        <w:gridCol w:w="109"/>
        <w:gridCol w:w="109"/>
        <w:gridCol w:w="109"/>
        <w:gridCol w:w="308"/>
        <w:gridCol w:w="308"/>
        <w:gridCol w:w="114"/>
        <w:gridCol w:w="113"/>
        <w:gridCol w:w="113"/>
        <w:gridCol w:w="113"/>
        <w:gridCol w:w="308"/>
        <w:gridCol w:w="308"/>
        <w:gridCol w:w="114"/>
        <w:gridCol w:w="109"/>
        <w:gridCol w:w="109"/>
        <w:gridCol w:w="109"/>
        <w:gridCol w:w="240"/>
        <w:gridCol w:w="240"/>
        <w:gridCol w:w="241"/>
        <w:gridCol w:w="109"/>
        <w:gridCol w:w="109"/>
        <w:gridCol w:w="109"/>
        <w:gridCol w:w="202"/>
        <w:gridCol w:w="204"/>
        <w:gridCol w:w="271"/>
        <w:gridCol w:w="109"/>
        <w:gridCol w:w="109"/>
        <w:gridCol w:w="109"/>
        <w:gridCol w:w="109"/>
        <w:gridCol w:w="109"/>
        <w:gridCol w:w="109"/>
        <w:gridCol w:w="308"/>
        <w:gridCol w:w="308"/>
        <w:gridCol w:w="154"/>
        <w:gridCol w:w="111"/>
        <w:gridCol w:w="111"/>
        <w:gridCol w:w="111"/>
        <w:gridCol w:w="308"/>
        <w:gridCol w:w="308"/>
        <w:gridCol w:w="154"/>
        <w:gridCol w:w="109"/>
        <w:gridCol w:w="109"/>
        <w:gridCol w:w="109"/>
        <w:gridCol w:w="308"/>
        <w:gridCol w:w="308"/>
        <w:gridCol w:w="241"/>
        <w:gridCol w:w="109"/>
        <w:gridCol w:w="109"/>
        <w:gridCol w:w="109"/>
        <w:gridCol w:w="202"/>
        <w:gridCol w:w="204"/>
        <w:gridCol w:w="321"/>
      </w:tblGrid>
      <w:tr>
        <w:trPr/>
        <w:tc>
          <w:tcPr>
            <w:tcW w:w="6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Crude oil pipeline tariff (by region)</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lease gathering purchases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periods represent total volumes for the number of days we actually owned the assets divided by the number of days in the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calculated as total volumes for the period divided by the number of months in the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Crude Oil Segment Adjusted EBITDA increased for the three and six months ended June 30, 2023 compared to the same periods in 2022 primarily due to higher volumes on our pipeline systems, particularly on our Permian Basin and Capline assets, tariff escalations and favorable Canadian market-based opportunities. These items were partially offset by the impact of increased operating expenses, minimum volume commitment deficiency payments received in the first half of 2022 and lower commodity prices.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more detailed discussion of the significant factors impacting Segment Adjusted EBITDA for the three and six months ended June 30, 2023 compared to the same periods in 2022.</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Pipeline Revenue. </w:t>
      </w:r>
      <w:r>
        <w:rPr>
          <w:rFonts w:ascii="Times New Roman;sans-serif" w:hAnsi="Times New Roman;sans-serif"/>
          <w:b w:val="false"/>
          <w:color w:val="000000"/>
          <w:sz w:val="20"/>
        </w:rPr>
        <w:t>Our Permian Basin pipelines were favorably impacted by higher gathering volumes, which were underpinned by increased production and new well connections, the acquisition of an additional interest in Cactus II in November of 2022 and tariff escalations. Increased volumes on the Capline system also contributed to increased earnings in the 2023 periods. These benefits were partially offset by the impact of minimum volume commitment deficiency payments received in the first half of 2022, as well as lower commodity prices in the 2023 periods impacting pipeline loss allowance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Permian Basin gathering and intra-basin pipelines are owned by the Permian JV, a consolidated entity in which we own a 65% interest, and our Permian Basin long-haul pipelines include Cactus II, in which we own a 70% interest. We deduct the portion of the financial results attributable to noncontrolling interests in the Permian JV and Cactus II in determining Segment Adjusted EBITDA.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Market Opportunities. </w:t>
      </w:r>
      <w:r>
        <w:rPr>
          <w:rFonts w:ascii="Times New Roman;sans-serif" w:hAnsi="Times New Roman;sans-serif"/>
          <w:b w:val="false"/>
          <w:color w:val="000000"/>
          <w:sz w:val="20"/>
        </w:rPr>
        <w:t>Our results for the three and six months ended June 30, 2023 include the impact of favorable Canadian crude oil market-based opportunities. This was partially offset by the favorable impact to the 2022 periods of the sale of excess linefill in a higher crude oil price environment.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 xml:space="preserve">Field operating costs were lower for the six months ended June 30, 2023 compared to the same period in 2022 due to the recognition of additional estimated costs associated with the Line 901 incident in the first quarter of 2022 (which impact field operating costs but are excluded from Segment Adjusted EBITDA and thus are reflected as an “Adjustment” in the table above). For the three and six months ended June 30, 2023 compared to the same periods in 2022, we had higher expenses associated with (i) utilities costs due to a combination of higher volumes and prices and an increase in the amount of drag reducing agents used, (ii) incremental consolidated operating costs in connection with our acquisition of an additional interest in Cactus II, (iii) employee-related costs primarily resulting from higher average headcount and salaries, (iv) chemical treatment costs and (v) unrealized mark-to-market losses on power hedges for the six-month period (which impact our field operating costs but are excluded from Segment Adjusted EBITDA and thus are reflected as an “Adjustment” in the table above).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Maintenance Capital</w:t>
      </w:r>
      <w:r>
        <w:rPr>
          <w:rFonts w:ascii="Times New Roman;sans-serif" w:hAnsi="Times New Roman;sans-serif"/>
          <w:b w:val="false"/>
          <w:color w:val="000000"/>
          <w:sz w:val="20"/>
        </w:rPr>
        <w:t>. The increase in maintenance capital spending for the three and six months ended June 30, 2023 compared to the same periods in 2022 was primarily due to timing of routine integrity and tank maintenance.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10949" w:type="dxa"/>
        <w:jc w:val="center"/>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466"/>
        <w:gridCol w:w="109"/>
        <w:gridCol w:w="109"/>
        <w:gridCol w:w="109"/>
        <w:gridCol w:w="109"/>
        <w:gridCol w:w="211"/>
        <w:gridCol w:w="466"/>
        <w:gridCol w:w="109"/>
        <w:gridCol w:w="109"/>
        <w:gridCol w:w="109"/>
        <w:gridCol w:w="109"/>
        <w:gridCol w:w="211"/>
        <w:gridCol w:w="481"/>
        <w:gridCol w:w="109"/>
        <w:gridCol w:w="109"/>
        <w:gridCol w:w="109"/>
        <w:gridCol w:w="109"/>
        <w:gridCol w:w="218"/>
        <w:gridCol w:w="188"/>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218"/>
        <w:gridCol w:w="188"/>
        <w:gridCol w:w="316"/>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Adjustments</w:t>
            </w:r>
            <w:r>
              <w:rPr>
                <w:color w:val="000000"/>
              </w:rPr>
              <w:t xml:space="preserve">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80"/>
        <w:gridCol w:w="522"/>
        <w:gridCol w:w="524"/>
        <w:gridCol w:w="109"/>
        <w:gridCol w:w="109"/>
        <w:gridCol w:w="109"/>
        <w:gridCol w:w="232"/>
        <w:gridCol w:w="234"/>
        <w:gridCol w:w="139"/>
        <w:gridCol w:w="138"/>
        <w:gridCol w:w="138"/>
        <w:gridCol w:w="138"/>
        <w:gridCol w:w="233"/>
        <w:gridCol w:w="233"/>
        <w:gridCol w:w="139"/>
        <w:gridCol w:w="109"/>
        <w:gridCol w:w="109"/>
        <w:gridCol w:w="109"/>
        <w:gridCol w:w="240"/>
        <w:gridCol w:w="240"/>
        <w:gridCol w:w="241"/>
        <w:gridCol w:w="109"/>
        <w:gridCol w:w="109"/>
        <w:gridCol w:w="109"/>
        <w:gridCol w:w="200"/>
        <w:gridCol w:w="200"/>
        <w:gridCol w:w="271"/>
        <w:gridCol w:w="109"/>
        <w:gridCol w:w="109"/>
        <w:gridCol w:w="109"/>
        <w:gridCol w:w="109"/>
        <w:gridCol w:w="109"/>
        <w:gridCol w:w="109"/>
        <w:gridCol w:w="233"/>
        <w:gridCol w:w="233"/>
        <w:gridCol w:w="154"/>
        <w:gridCol w:w="129"/>
        <w:gridCol w:w="129"/>
        <w:gridCol w:w="129"/>
        <w:gridCol w:w="233"/>
        <w:gridCol w:w="233"/>
        <w:gridCol w:w="154"/>
        <w:gridCol w:w="109"/>
        <w:gridCol w:w="109"/>
        <w:gridCol w:w="109"/>
        <w:gridCol w:w="240"/>
        <w:gridCol w:w="240"/>
        <w:gridCol w:w="241"/>
        <w:gridCol w:w="109"/>
        <w:gridCol w:w="109"/>
        <w:gridCol w:w="109"/>
        <w:gridCol w:w="200"/>
        <w:gridCol w:w="200"/>
        <w:gridCol w:w="326"/>
      </w:tblGrid>
      <w:tr>
        <w:trPr/>
        <w:tc>
          <w:tcPr>
            <w:tcW w:w="78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Average Volumes </w:t>
            </w:r>
          </w:p>
          <w:p>
            <w:pPr>
              <w:pStyle w:val="TableContents"/>
              <w:bidi w:val="0"/>
              <w:spacing w:lineRule="auto" w:line="240" w:before="0" w:after="0"/>
              <w:jc w:val="left"/>
              <w:rPr/>
            </w:pPr>
            <w:r>
              <w:rPr>
                <w:rFonts w:ascii="Times New Roman;sans-serif" w:hAnsi="Times New Roman;sans-serif"/>
                <w:b/>
                <w:color w:val="000000"/>
                <w:sz w:val="16"/>
              </w:rPr>
              <w:t>(in thousands of barrels per day</w:t>
            </w:r>
            <w:r>
              <w:rPr>
                <w:rFonts w:ascii="Times New Roman;sans-serif" w:hAnsi="Times New Roman;sans-serif"/>
                <w:b/>
                <w:color w:val="000000"/>
                <w:sz w:val="20"/>
              </w:rPr>
              <w:t xml:space="preserve">) </w:t>
            </w:r>
            <w:r>
              <w:rPr>
                <w:rFonts w:ascii="Times New Roman;sans-serif" w:hAnsi="Times New Roman;sans-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Propane and butane sales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are calculated as total volumes (attributable to our interest for assets owned through undivided joint interests) for the period divided by the number of days in the period.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decreased for the three months ended June 30, 2023 compared to the same period in 2022 primarily due to lower propane sales volumes, impacted by turnarounds and deferring sales due to market structure, and the absence of weather events that benefited the 2022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unfavorable impacts were partially offset for the six months ended June 30, 2023 compared to the same period in 2022 by the favorable impact during the first quarter of 2023 of higher butane sales volumes combined with favorable NGL basis differentials.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Net revenues include the impact of derivative activities and long-term inventory costing adjustments, which are excluded from Segment Adjusted EBITDA and thus are reflected as an “Adjustment” in the table above. Excluding such impacts, net revenues decreased for the three months ended June 30, 2023 compared to the same period in 2022 primarily due to (i) lower propane sales volumes impacted by turnarounds at our facilities and by third-party asset turnarounds and outages, (ii) the impact of deferring sales for the 2023 period to winter months due to market structure, (iii) the absence of weather events that benefited the 2022 period, (iv) higher gains at certain of our NGL facilities in 2022 and (v) the sale of our ownership interest in the Keyera Fort Saskatchewan facility in the first quarter of 2023, partially offset by (vi) higher processing revenues at our Empress straddle plants resulting from a commercial agreement executed in conjunction with the increase in our Empress ownership in the fourth quarter of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unfavorable impacts were partially offset for the six months ended June 30, 2023 compared to the same period in 2022 by the favorable impact during the first quarter of 2023 of higher butane sales volumes resulting from higher production and increased third-party demand, combined with favorable NGL basis differentials.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The increase in field operating costs for the six months ended June 30, 2023 compared to the same periods in 2022 was primarily due to increased utilities-related costs largely as a result of higher prices, as well as our increased ownership in the Empress straddle plants effective in the fourth quarter of 2022. The increase in utilities-related costs was partially offset by the benefit to net revenues of operating cost recoveries realized through commercial agreements, as well as the impact of exchange rate fluctuations.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Maintenance Capital</w:t>
      </w:r>
      <w:r>
        <w:rPr>
          <w:rFonts w:ascii="Times New Roman;sans-serif" w:hAnsi="Times New Roman;sans-serif"/>
          <w:b w:val="false"/>
          <w:color w:val="000000"/>
          <w:sz w:val="20"/>
        </w:rPr>
        <w:t>. The increase in maintenance capital spending for the three and six months ended June 30, 2023 compared to the same periods in 2022 was primarily due to timing of routine integrity maintenance and periodic scheduled outages.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 (v) 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had approximately $3.5 billion of liquidity available to meet our ongoing operating, investing and financing needs, subject to continued covenant compliance, as noted below (in millions): </w:t>
      </w:r>
    </w:p>
    <w:p>
      <w:pPr>
        <w:pStyle w:val="TextBody"/>
        <w:bidi w:val="0"/>
        <w:spacing w:before="0" w:after="0"/>
        <w:ind w:left="0" w:right="0" w:firstLine="720"/>
        <w:jc w:val="left"/>
        <w:rPr/>
      </w:pPr>
      <w:r>
        <w:rPr/>
      </w:r>
    </w:p>
    <w:tbl>
      <w:tblPr>
        <w:tblW w:w="6583" w:type="dxa"/>
        <w:jc w:val="center"/>
        <w:tblInd w:w="0" w:type="dxa"/>
        <w:tblLayout w:type="fixed"/>
        <w:tblCellMar>
          <w:top w:w="28" w:type="dxa"/>
          <w:left w:w="28" w:type="dxa"/>
          <w:bottom w:w="28" w:type="dxa"/>
          <w:right w:w="28" w:type="dxa"/>
        </w:tblCellMar>
      </w:tblPr>
      <w:tblGrid>
        <w:gridCol w:w="1959"/>
        <w:gridCol w:w="1725"/>
        <w:gridCol w:w="1730"/>
        <w:gridCol w:w="251"/>
        <w:gridCol w:w="735"/>
        <w:gridCol w:w="183"/>
      </w:tblGrid>
      <w:tr>
        <w:trPr/>
        <w:tc>
          <w:tcPr>
            <w:tcW w:w="195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June 30, 2023</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unsecured revolving credit facility </w:t>
            </w:r>
            <w:r>
              <w:rPr>
                <w:rFonts w:ascii="Times New Roman;sans-serif" w:hAnsi="Times New Roman;sans-serif"/>
                <w:b w:val="false"/>
                <w:color w:val="000000"/>
                <w:sz w:val="13"/>
              </w:rPr>
              <w:t>(1) (2)</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secured hedged inventory facility </w:t>
            </w:r>
            <w:r>
              <w:rPr>
                <w:rFonts w:ascii="Times New Roman;sans-serif" w:hAnsi="Times New Roman;sans-serif"/>
                <w:b w:val="false"/>
                <w:color w:val="000000"/>
                <w:sz w:val="13"/>
              </w:rPr>
              <w:t>(1) (2)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commercial paper program</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(3)</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availability prior to giving effect to borrowings outstanding under our commercial paper program, which reduce available capacity under our credit facilities.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our senior unsecured revolving credit facility and senior secured hedged inventory facility was reduced by outstanding letters of credit of $78 million and $49 million, respectively.</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$18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2022 Annual Report on Form 10-K for further discussion regarding risks that may impact our liquidity and capital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Liquidity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and proceeds from the sale of noncontrolling interests. Free Cash Flow is further reduced by cash distributions paid to our preferred and common unitholders to arrive at Free Cash Flow after Distributions. Also see “Results of Operations–Non-GAAP Financial Measures” above for more information about our non-GAAP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liquidity measures Free Cash Flow and Free Cash Flow after Distributions to Net Cash Provided by Operating Activities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43"/>
        <w:gridCol w:w="1792"/>
        <w:gridCol w:w="1798"/>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6"/>
      </w:tblGrid>
      <w:tr>
        <w:trPr/>
        <w:tc>
          <w:tcPr>
            <w:tcW w:w="214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cash provided by operating activities to Free Cash Flow:</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paid to noncontrolling interests </w:t>
            </w:r>
            <w:r>
              <w:rPr>
                <w:rFonts w:ascii="Times New Roman;sans-serif" w:hAnsi="Times New Roman;sans-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w:t>
            </w:r>
            <w:r>
              <w:rPr>
                <w:rFonts w:ascii="Times New Roman;sans-serif" w:hAnsi="Times New Roman;sans-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after Distributions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Cash distributions paid during the period presented. </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Cash distributions paid to our preferred and common unitholders during the period presented.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2022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first six months of 2023 and 2022 was $1.631 billion and $1.132 billion, respectively, and primarily resulted from earnings from our operations. In addition, the 2023 period was favorably impacted by net positive changes in working capital items, largely associated with reducing inventory levels during the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Capital Expenditures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and maintenance capital expenditures (in millions):</w:t>
      </w:r>
    </w:p>
    <w:p>
      <w:pPr>
        <w:pStyle w:val="TextBody"/>
        <w:bidi w:val="0"/>
        <w:spacing w:before="0" w:after="0"/>
        <w:ind w:left="0" w:right="0" w:firstLine="720"/>
        <w:jc w:val="left"/>
        <w:rPr/>
      </w:pPr>
      <w:r>
        <w:rPr/>
      </w:r>
    </w:p>
    <w:tbl>
      <w:tblPr>
        <w:tblW w:w="4163" w:type="dxa"/>
        <w:jc w:val="center"/>
        <w:tblInd w:w="0" w:type="dxa"/>
        <w:tblLayout w:type="fixed"/>
        <w:tblCellMar>
          <w:top w:w="28" w:type="dxa"/>
          <w:left w:w="28" w:type="dxa"/>
          <w:bottom w:w="28" w:type="dxa"/>
          <w:right w:w="28" w:type="dxa"/>
        </w:tblCellMar>
      </w:tblPr>
      <w:tblGrid>
        <w:gridCol w:w="804"/>
        <w:gridCol w:w="706"/>
        <w:gridCol w:w="709"/>
        <w:gridCol w:w="211"/>
        <w:gridCol w:w="466"/>
        <w:gridCol w:w="109"/>
        <w:gridCol w:w="109"/>
        <w:gridCol w:w="109"/>
        <w:gridCol w:w="109"/>
        <w:gridCol w:w="211"/>
        <w:gridCol w:w="46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contributions to unconsolidated entities, accounted for under the equity method of accounting, related to investment capital projects by such entities.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interest, was approximately $141 million and $103 million, respectively, for the six months ended June 30, 2023, and approximately $151 million and $67 million, respectively, for the six months ended June 30, 2022.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2023 Investment and Maintenance Capital. </w:t>
      </w:r>
      <w:r>
        <w:rPr>
          <w:rFonts w:ascii="Times New Roman;sans-serif" w:hAnsi="Times New Roman;sans-serif"/>
          <w:b w:val="false"/>
          <w:color w:val="000000"/>
          <w:sz w:val="20"/>
        </w:rPr>
        <w:t>Total investment capital for the year ending December 31, 2023 is projected to be approximately $420 million ($325 million net to our interest). Approximately half of our projected investment capital expenditures are expected to be invested in the Permian JV assets. Additionally, maintenance capital for 2023 is projected to be $205 million ($195 million net to our interest). We expect to fund our 2023 investment and maintenance capital expenditures primarily with retained cash flow.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during the first six months of 2023 and 2022 from sales of assets (in millions):</w:t>
      </w:r>
    </w:p>
    <w:p>
      <w:pPr>
        <w:pStyle w:val="TextBody"/>
        <w:bidi w:val="0"/>
        <w:spacing w:before="0" w:after="0"/>
        <w:ind w:left="0" w:right="0" w:firstLine="720"/>
        <w:jc w:val="left"/>
        <w:rPr/>
      </w:pPr>
      <w:r>
        <w:rPr/>
      </w:r>
    </w:p>
    <w:tbl>
      <w:tblPr>
        <w:tblW w:w="4641"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211"/>
        <w:gridCol w:w="466"/>
        <w:gridCol w:w="109"/>
        <w:gridCol w:w="109"/>
        <w:gridCol w:w="109"/>
        <w:gridCol w:w="109"/>
        <w:gridCol w:w="211"/>
        <w:gridCol w:w="36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Proceeds from divestitures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proceeds, including working capital adjustments, net of transaction costs. The proceeds from divestitures for the six months ended June 30, 2023 are primarily from the sale of our 21% non-operated/undivided joint interest in the Keyera Fort Saskatchewan facility in February 2023. See Note 11 to our Condensed Consolidated Financial Statements for additional discussion of this transaction.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2022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our credit facilities or commercial paper program during the six months ended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had net borrowings under our credit facilities and commercial paper program of approximately $115 million. The net borrowings resulted primarily from borrowings during the period related to funding needs for capital investments, inventory purchases, senior notes repayments and other general partnership purposes, partially offset by cash flow from operating activities and proceeds from asset 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Repayment of 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redeemed our 2.85%, $400 million senior notes. We utilized a combination of cash on hand and borrowings under our commercial paper program to repay these senior notes. We also intend to utilize a combination of cash flow from operating activities, proceeds from asset sales and borrowings under our commercial paper program to repay our 3.85%, $700 million senior notes due October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Equity 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7.3 million common units under the Common Equity Repurchase Program (the “Program”) during the six months ended June 30, 2022 for a total purchase price of $74 million, including commissions and fees. There were no repurchases under the Program during the six months ended June 30, 2023. The remaining available capacity under the Program as of June 30, 2023 was $198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Registration Statements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June 30, 2023.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six months ended June 30,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Our Unitholders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A preferred unitholders.</w:t>
      </w:r>
      <w:r>
        <w:rPr>
          <w:color w:val="000000"/>
        </w:rPr>
        <w:t xml:space="preserve"> </w:t>
      </w:r>
      <w:r>
        <w:rPr>
          <w:rFonts w:ascii="Times New Roman;sans-serif" w:hAnsi="Times New Roman;sans-serif"/>
          <w:b w:val="false"/>
          <w:color w:val="000000"/>
          <w:sz w:val="20"/>
        </w:rPr>
        <w:t>On August 14, 2023, we will pay a quarterly cash distribution of approximately $0.615 per unit to Series A preferred unitholders of record at the close of business on July 31, 2023 for the period from April 1, 2023 through June 30,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unitholders.</w:t>
      </w:r>
      <w:r>
        <w:rPr>
          <w:color w:val="000000"/>
        </w:rPr>
        <w:t xml:space="preserve"> </w:t>
      </w:r>
      <w:r>
        <w:rPr>
          <w:rFonts w:ascii="Times New Roman;sans-serif" w:hAnsi="Times New Roman;sans-serif"/>
          <w:b w:val="false"/>
          <w:color w:val="000000"/>
          <w:sz w:val="20"/>
        </w:rPr>
        <w:t>On August 15, 2023, we will pay a quarterly cash distribution of approximately $24.10 per unit to Series B preferred unitholders of record at the close of business on August 1, 2023 for the period from May 15, 2023 through August 14,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Common Unitholders</w:t>
      </w:r>
      <w:r>
        <w:rPr>
          <w:rFonts w:ascii="Times New Roman;sans-serif" w:hAnsi="Times New Roman;sans-serif"/>
          <w:b w:val="false"/>
          <w:color w:val="000000"/>
          <w:sz w:val="20"/>
        </w:rPr>
        <w:t>. On August 14, 2023, we will pay a quarterly cash distribution of $0.2675 per common unit ($1.07 per unit on an annualized basis) to common unitholders of record at the close of business on July 31, 2023 for the period from April 1, 2023 through June 30, 2023, which is unchanged from the distribution per unit paid in May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6 to our Condensed Consolidated Financial Statements for details of distributions paid during or pertaining to the first six months of 2023, including distributions to our preferred unitholders. </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 represent amounts paid on interests in consolidated entities that are not owned by us. As of June 30, 2023, noncontrolling interests in our subsidiaries consisted of (i) a 35% interest in the Permian JV, (ii) a 30% interest in Cactus II and (iii) a 33% interest in Red River. See Note 6 to our Condensed Consolidated Financial Statements for details of distributions paid to noncontrolling interests during the six months ended June 30, 2023.</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9 to our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Purchase Obligations.</w:t>
      </w:r>
      <w:r>
        <w:rPr>
          <w:color w:val="000000"/>
        </w:rPr>
        <w:t xml:space="preserve"> </w:t>
      </w:r>
      <w:r>
        <w:rPr>
          <w:rFonts w:ascii="Times New Roman;sans-serif" w:hAnsi="Times New Roman;sans-serif"/>
          <w:b w:val="false"/>
          <w:color w:val="000000"/>
          <w:sz w:val="20"/>
        </w:rPr>
        <w:t xml:space="preserve">In the ordinary course of doing business, we purchase crude oil and NGL from third parties under contracts, the majority of 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our best estimate of the amount and timing of these payments as of June 30, 2023 (in millions): </w:t>
      </w:r>
    </w:p>
    <w:p>
      <w:pPr>
        <w:pStyle w:val="TextBody"/>
        <w:bidi w:val="0"/>
        <w:spacing w:before="0" w:after="0"/>
        <w:ind w:left="0" w:right="0" w:firstLine="72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June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Letters of Credit.</w:t>
      </w:r>
      <w:r>
        <w:rPr>
          <w:color w:val="000000"/>
        </w:rPr>
        <w:t xml:space="preserve">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70 days and are terminated upon completion of each transaction. Additionally, we issue letters of credit to support insurance programs, derivative transactions, including hedging-related margin obligations, and construction activities. At June 30, 2023 and December 31, 2022, we had outstanding letters of credit of approximately $127 million and $102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refinery capacity in areas supplied by our mainlines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electronic and computer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maintenance of our credit rating and ability to receive open credit from our suppliers and trade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divestitures, joint ventures, acquisitions or other strategic opportunities;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costs and expenses related to unexpected or unplanned capital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amplification of other risks caused by volatile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inability to recognize current revenue attributable to deficiency payments received from customers who fail to ship or move more than minimum contracted volumes until the related credits expire or are used;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risks related to the development and operation of our assets;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“Risk Factors” discussed in Item 1A of our 2022 Annual Report on Form 10-K.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Natural gas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Condensed Consolidated Financial Statements for further discussion regarding our hedging strategies and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June 30, 2023 that would be expected from a 10% price increase or decrease is shown in the table below (in millions):</w:t>
      </w:r>
    </w:p>
    <w:p>
      <w:pPr>
        <w:pStyle w:val="TextBody"/>
        <w:bidi w:val="0"/>
        <w:spacing w:before="0" w:after="0"/>
        <w:jc w:val="left"/>
        <w:rPr/>
      </w:pPr>
      <w:r>
        <w:rPr/>
      </w:r>
    </w:p>
    <w:tbl>
      <w:tblPr>
        <w:tblW w:w="5247" w:type="dxa"/>
        <w:jc w:val="center"/>
        <w:tblInd w:w="0" w:type="dxa"/>
        <w:tblLayout w:type="fixed"/>
        <w:tblCellMar>
          <w:top w:w="28" w:type="dxa"/>
          <w:left w:w="28" w:type="dxa"/>
          <w:bottom w:w="28" w:type="dxa"/>
          <w:right w:w="28" w:type="dxa"/>
        </w:tblCellMar>
      </w:tblPr>
      <w:tblGrid>
        <w:gridCol w:w="495"/>
        <w:gridCol w:w="433"/>
        <w:gridCol w:w="437"/>
        <w:gridCol w:w="237"/>
        <w:gridCol w:w="525"/>
        <w:gridCol w:w="124"/>
        <w:gridCol w:w="109"/>
        <w:gridCol w:w="109"/>
        <w:gridCol w:w="109"/>
        <w:gridCol w:w="341"/>
        <w:gridCol w:w="608"/>
        <w:gridCol w:w="177"/>
        <w:gridCol w:w="109"/>
        <w:gridCol w:w="109"/>
        <w:gridCol w:w="109"/>
        <w:gridCol w:w="353"/>
        <w:gridCol w:w="604"/>
        <w:gridCol w:w="259"/>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June 30, 2023. The average interest rate on variable rate debt that was outstanding during the six months ended June 30, 2023 was 5.1%, based upon rates in effect during such period. The fair value of our interest rate derivatives was a net asset of $42 million as of June 30, 2023. A 10% increase in the forward SOFR curve as of June 30, 2023 would have resulted in an increase of $16 million to the fair value of our interest rate derivatives. A 10% decrease in the forward SOFR curve as of June 30, 2023 would have resulted in a decrease of $16 million to the fair value of our interest rate derivatives. See Note 7 to our Condensed Consolidated Financial Statements for a discussion of our interest rate risk hedging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June 30, 2023,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information concerning our DCP, we are required to disclose certain changes in internal control over financial reporting. There have been no changes in our internal control over financial reporting during the second quarter of 2023 that have materially affected, or are reasonably likely to materially affect, our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to our Condensed Consolidated Financial Statements, and is incorporated herein by reference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our risk factors, see Item 1A. of our 2022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ind w:left="0" w:right="0" w:hanging="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2023, none of our directors or officers (as defined in Rule 16a-1(f) of the Securities Exchange Act of 1934)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 xml:space="preserve">EXHIBITS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3"/>
        <w:gridCol w:w="258"/>
        <w:gridCol w:w="259"/>
        <w:gridCol w:w="115"/>
        <w:gridCol w:w="115"/>
        <w:gridCol w:w="116"/>
        <w:gridCol w:w="2813"/>
        <w:gridCol w:w="2572"/>
        <w:gridCol w:w="366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"http://www.sec.gov/Archives/edgar/data/1070423/000110465917061889/a17-22685_5ex3d1.htm" \l "Exhibit3_1_122228"</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our Current Report on Form 8-K filed October 12, 2017).</w:t>
            </w:r>
            <w:r>
              <w:rPr>
                <w:rStyle w:val="InternetLink"/>
                <w:sz w:val="20"/>
                <w:u w:val="single"/>
                <w:b w:val="false"/>
                <w:rFonts w:ascii="Times New Roman;sans-serif" w:hAnsi="Times New Roman;sans-serif"/>
                <w:color w:val="0000FF"/>
              </w:rPr>
              <w:fldChar w:fldCharType="end"/>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Amendment No. 5 dated December 1, 2019 to the Third Amended and Restated Agreement of Limited Partnership of Plains Marketing, L.P. (incorporated by reference to Exhibit 3.7 to our Annual Report on Form 10-K for the year ended December, 31, 2019).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15"/>
        <w:gridCol w:w="115"/>
        <w:gridCol w:w="116"/>
        <w:gridCol w:w="2804"/>
        <w:gridCol w:w="2718"/>
        <w:gridCol w:w="385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our Current Report on Form 8-K filed January 4, 2008).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Certificate of Limited Partnership of Plains GP Holdings, L.P. (incorporated by reference to Exhibit 3.1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Second Amended and Restated Agreement of Limited Partnership of Plains GP Holdings, L.P. dated November 15, 2016 (incorporated by reference to Exhibit 3.2 to PAGP’s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PAGP’s Current Report on Form 8-K filed April 9,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Certificate of Formation of PAA GP Holdings LLC (incorporated by reference to Exhibit 3.3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3.21 to our Annual Report on Form 10-K for the year ended December 31,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Twenty-Fourth Supplemental Indenture (3.85% Senior Notes due 2023) dated August 15, 2013, by and among Plains All American Pipeline, L.P., PAA Finance Corp. and U.S. Bank National Association, as trustee (incorporated by reference to Exhibit 4.1 to our Current Report on Form 8-K filed August 15,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r>
              <w:rPr>
                <w:rFonts w:ascii="Times New Roman;sans-serif" w:hAnsi="Times New Roman;sans-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0"/>
        <w:gridCol w:w="202"/>
        <w:gridCol w:w="207"/>
        <w:gridCol w:w="115"/>
        <w:gridCol w:w="115"/>
        <w:gridCol w:w="116"/>
        <w:gridCol w:w="2707"/>
        <w:gridCol w:w="2686"/>
        <w:gridCol w:w="3807"/>
      </w:tblGrid>
      <w:tr>
        <w:trPr/>
        <w:tc>
          <w:tcPr>
            <w:tcW w:w="2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hyperlink>
            <w:r>
              <w:rPr>
                <w:rFonts w:ascii="Times New Roman;sans-serif" w:hAnsi="Times New Roman;sans-serif"/>
                <w:b w:val="false"/>
                <w:color w:val="000000"/>
                <w:sz w:val="20"/>
              </w:rPr>
              <w: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Description of Our Securities (incorporated by reference to Exhibit 4.18 to our Annual Report on Form 10-K for the year ended December 31, 2022).</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3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3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3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3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0" w:after="120"/>
        <w:ind w:left="0" w:right="0" w:hanging="720"/>
        <w:jc w:val="left"/>
        <w:rPr/>
      </w:pPr>
      <w:r>
        <w:rPr>
          <w:color w:val="000000"/>
        </w:rPr>
        <w:t>††    </w:t>
      </w:r>
      <w:r>
        <w:rPr>
          <w:rFonts w:ascii="Times New Roman;sans-serif" w:hAnsi="Times New Roman;sans-serif"/>
          <w:b w:val="false"/>
          <w:color w:val="000000"/>
          <w:sz w:val="20"/>
        </w:rPr>
        <w:t>Furnished herewith.</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834098071aa4b03b562f602b65fc33f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69"/>
        <w:gridCol w:w="414"/>
        <w:gridCol w:w="415"/>
        <w:gridCol w:w="559"/>
        <w:gridCol w:w="559"/>
        <w:gridCol w:w="559"/>
        <w:gridCol w:w="2125"/>
        <w:gridCol w:w="2121"/>
        <w:gridCol w:w="2984"/>
      </w:tblGrid>
      <w:tr>
        <w:trPr/>
        <w:tc>
          <w:tcPr>
            <w:tcW w:w="46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ALL AMERICAN PIPELINE, L.P.</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AAP, L.P.,</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sole member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Chief Executive Officer of Plains All American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Plains All American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Plains All American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89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June 30,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June 30,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70423/000104746904016502/a2135501zex-3_2.htm" TargetMode="External"/><Relationship Id="rId3" Type="http://schemas.openxmlformats.org/officeDocument/2006/relationships/hyperlink" Target="http://www.sec.gov/Archives/edgar/data/1070423/000110465911010359/a11-2319_1ex3d9.htm" TargetMode="External"/><Relationship Id="rId4" Type="http://schemas.openxmlformats.org/officeDocument/2006/relationships/hyperlink" Target="http://www.sec.gov/Archives/edgar/data/1070423/000110465911010359/a11-2319_1ex3d10.htm" TargetMode="External"/><Relationship Id="rId5" Type="http://schemas.openxmlformats.org/officeDocument/2006/relationships/hyperlink" Target="http://www.sec.gov/Archives/edgar/data/1070423/000110465914014322/a13-25941_1ex3d7.htm" TargetMode="External"/><Relationship Id="rId6" Type="http://schemas.openxmlformats.org/officeDocument/2006/relationships/hyperlink" Target="http://www.sec.gov/Archives/edgar/data/1070423/000110465914014322/a13-25941_1ex3d8.htm" TargetMode="External"/><Relationship Id="rId7" Type="http://schemas.openxmlformats.org/officeDocument/2006/relationships/hyperlink" Target="http://www.sec.gov/Archives/edgar/data/1070423/000107042320000004/paa201910-kexhibit37.htm" TargetMode="External"/><Relationship Id="rId8" Type="http://schemas.openxmlformats.org/officeDocument/2006/relationships/hyperlink" Target="http://www.sec.gov/Archives/edgar/data/1070423/000104746904016502/a2135501zex-3_3.htm" TargetMode="External"/><Relationship Id="rId9" Type="http://schemas.openxmlformats.org/officeDocument/2006/relationships/hyperlink" Target="http://www.sec.gov/Archives/edgar/data/1070423/000110465914014322/a13-25941_1ex3d10.htm" TargetMode="External"/><Relationship Id="rId10" Type="http://schemas.openxmlformats.org/officeDocument/2006/relationships/hyperlink" Target="http://www.sec.gov/Archives/edgar/data/1070423/000110465916158355/a16-21841_1ex3d3.htm" TargetMode="External"/><Relationship Id="rId11" Type="http://schemas.openxmlformats.org/officeDocument/2006/relationships/hyperlink" Target="http://www.sec.gov/Archives/edgar/data/1070423/000110465916158355/a16-21841_1ex3d4.htm" TargetMode="External"/><Relationship Id="rId12" Type="http://schemas.openxmlformats.org/officeDocument/2006/relationships/hyperlink" Target="http://www.sec.gov/Archives/edgar/data/1070423/000110465918060011/a18-36196_1ex3d1.htm" TargetMode="External"/><Relationship Id="rId13" Type="http://schemas.openxmlformats.org/officeDocument/2006/relationships/hyperlink" Target="http://www.sec.gov/Archives/edgar/data/1070423/000110465919032810/a19-10856_1ex3d1.htm" TargetMode="External"/><Relationship Id="rId14" Type="http://schemas.openxmlformats.org/officeDocument/2006/relationships/hyperlink" Target="http://www.sec.gov/Archives/edgar/data/1070423/000095012907001096/h43224exv3w10.htm" TargetMode="External"/><Relationship Id="rId15" Type="http://schemas.openxmlformats.org/officeDocument/2006/relationships/hyperlink" Target="http://www.sec.gov/Archives/edgar/data/1070423/000095012907001096/h43224exv3w11.htm" TargetMode="External"/><Relationship Id="rId16" Type="http://schemas.openxmlformats.org/officeDocument/2006/relationships/hyperlink" Target="http://www.sec.gov/Archives/edgar/data/1070423/000095012908000071/h52770exv3w3.htm" TargetMode="External"/><Relationship Id="rId17" Type="http://schemas.openxmlformats.org/officeDocument/2006/relationships/hyperlink" Target="http://www.sec.gov/Archives/edgar/data/1581990/000104746913007875/a2216069zex-3_1.htm" TargetMode="External"/><Relationship Id="rId18" Type="http://schemas.openxmlformats.org/officeDocument/2006/relationships/hyperlink" Target="http://www.sec.gov/Archives/edgar/data/1581990/000110465916158356/a16-21845_1ex3d2.htm" TargetMode="External"/><Relationship Id="rId19" Type="http://schemas.openxmlformats.org/officeDocument/2006/relationships/hyperlink" Target="http://www.sec.gov/Archives/edgar/data/1581990/000158199020000012/exhibit31.htm" TargetMode="External"/><Relationship Id="rId20" Type="http://schemas.openxmlformats.org/officeDocument/2006/relationships/hyperlink" Target="http://www.sec.gov/Archives/edgar/data/1581990/000104746913007875/a2216069zex-3_3.htm" TargetMode="External"/><Relationship Id="rId21" Type="http://schemas.openxmlformats.org/officeDocument/2006/relationships/hyperlink" Target="http://www.sec.gov/Archives/edgar/data/1070423/000107042322000006/paa202110-kexhibite69.htm" TargetMode="External"/><Relationship Id="rId22" Type="http://schemas.openxmlformats.org/officeDocument/2006/relationships/hyperlink" Target="http://www.sec.gov/Archives/edgar/data/1070423/000089924302002834/dex41.txt" TargetMode="External"/><Relationship Id="rId23" Type="http://schemas.openxmlformats.org/officeDocument/2006/relationships/hyperlink" Target="http://www.sec.gov/Archives/edgar/data/1070423/000110465906034368/a06-11663_1ex4d1.htm" TargetMode="External"/><Relationship Id="rId24" Type="http://schemas.openxmlformats.org/officeDocument/2006/relationships/hyperlink" Target="http://www.sec.gov/Archives/edgar/data/1070423/000095012906009235/h40667exv4w2.htm" TargetMode="External"/><Relationship Id="rId25" Type="http://schemas.openxmlformats.org/officeDocument/2006/relationships/hyperlink" Target="http://www.sec.gov/Archives/edgar/data/1070423/000119312512132295/d321017dex43.htm" TargetMode="External"/><Relationship Id="rId26" Type="http://schemas.openxmlformats.org/officeDocument/2006/relationships/hyperlink" Target="http://www.sec.gov/Archives/edgar/data/1070423/000119312512499932/d453762dex43.htm" TargetMode="External"/><Relationship Id="rId27" Type="http://schemas.openxmlformats.org/officeDocument/2006/relationships/hyperlink" Target="http://www.sec.gov/Archives/edgar/data/1070423/000119312513336066/d581734dex41.htm" TargetMode="External"/><Relationship Id="rId28" Type="http://schemas.openxmlformats.org/officeDocument/2006/relationships/hyperlink" Target="http://www.sec.gov/Archives/edgar/data/1070423/000119312514164183/d713938dex41.htm" TargetMode="External"/><Relationship Id="rId29" Type="http://schemas.openxmlformats.org/officeDocument/2006/relationships/hyperlink" Target="http://www.sec.gov/Archives/edgar/data/1070423/000119312514338289/d787160dex41.htm" TargetMode="External"/><Relationship Id="rId30" Type="http://schemas.openxmlformats.org/officeDocument/2006/relationships/hyperlink" Target="http://www.sec.gov/Archives/edgar/data/1070423/000119312514440007/d833885dex43.htm" TargetMode="External"/><Relationship Id="rId31" Type="http://schemas.openxmlformats.org/officeDocument/2006/relationships/hyperlink" Target="http://www.sec.gov/Archives/edgar/data/1070423/000119312515302829/d45393dex41.htm" TargetMode="External"/><Relationship Id="rId32" Type="http://schemas.openxmlformats.org/officeDocument/2006/relationships/hyperlink" Target="http://www.sec.gov/Archives/edgar/data/1070423/000110465916159593/a16-22232_1ex4d1.htm" TargetMode="External"/><Relationship Id="rId33" Type="http://schemas.openxmlformats.org/officeDocument/2006/relationships/hyperlink" Target="http://www.sec.gov/Archives/edgar/data/1070423/000141057819001281/tv529555_ex4-1.htm" TargetMode="External"/><Relationship Id="rId34" Type="http://schemas.openxmlformats.org/officeDocument/2006/relationships/hyperlink" Target="http://www.sec.gov/Archives/edgar/data/1070423/000110465920072270/tm2022235d1_ex4-1.htm" TargetMode="External"/><Relationship Id="rId35" Type="http://schemas.openxmlformats.org/officeDocument/2006/relationships/hyperlink" Target="http://www.sec.gov/Archives/edgar/data/1070423/000095012309050401/h68193exv4w1.htm" TargetMode="External"/><Relationship Id="rId36" Type="http://schemas.openxmlformats.org/officeDocument/2006/relationships/hyperlink" Target="http://www.sec.gov/Archives/edgar/data/1070423/000110465916093299/a16-3362_1ex4d1.htm" TargetMode="External"/><Relationship Id="rId37" Type="http://schemas.openxmlformats.org/officeDocument/2006/relationships/hyperlink" Target="http://www.sec.gov/Archives/edgar/data/1070423/000110465916158355/a16-21841_1ex10d4.htm" TargetMode="External"/><Relationship Id="rId38" Type="http://schemas.openxmlformats.org/officeDocument/2006/relationships/hyperlink" Target="https://www.sec.gov/Archives/edgar/data/1070423/000107042323000006/paa202210-kexhibit418.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30121</Words>
  <Characters>164600</Characters>
  <CharactersWithSpaces>192584</CharactersWithSpaces>
  <Paragraphs>4622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