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351790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308610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20" w:right="1560" w:hanging="3812"/>
        <w:spacing w:after="0" w:line="409" w:lineRule="auto"/>
        <w:tabs>
          <w:tab w:leader="none" w:pos="47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1-36132</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2">
            <w:col w:w="7240" w:space="720"/>
            <w:col w:w="322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5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6"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7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6" w:lineRule="exact"/>
        <w:rPr>
          <w:sz w:val="24"/>
          <w:szCs w:val="24"/>
          <w:color w:val="auto"/>
        </w:rPr>
      </w:pPr>
    </w:p>
    <w:p>
      <w:pPr>
        <w:ind w:left="18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82" w:lineRule="exact"/>
        <w:rPr>
          <w:sz w:val="24"/>
          <w:szCs w:val="24"/>
          <w:color w:val="auto"/>
        </w:rPr>
      </w:pPr>
    </w:p>
    <w:p>
      <w:pPr>
        <w:sectPr>
          <w:pgSz w:w="11900" w:h="16838" w:orient="portrait"/>
          <w:cols w:equalWidth="0" w:num="2">
            <w:col w:w="6620" w:space="720"/>
            <w:col w:w="384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May 1, 2025, there were 197,743,624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78105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52705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5"/>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2025 and 2024</w:t>
            </w:r>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three months ended March</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FF"/>
              </w:rPr>
              <w:t>31, 2025 and 2024</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months ended March 31,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8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18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222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Net Income Per Class A Share</w:t>
            </w:r>
          </w:p>
        </w:tc>
        <w:tc>
          <w:tcPr>
            <w:tcW w:w="38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32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3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5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328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11. Acquisitions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08"/>
        </w:trPr>
        <w:tc>
          <w:tcPr>
            <w:tcW w:w="8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92"/>
        </w:trPr>
        <w:tc>
          <w:tcPr>
            <w:tcW w:w="8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21,300</w:t>
            </w: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(5,876)</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15,424</w:t>
            </w:r>
          </w:p>
        </w:tc>
      </w:tr>
      <w:tr>
        <w:trPr>
          <w:trHeight w:val="92"/>
        </w:trPr>
        <w:tc>
          <w:tcPr>
            <w:tcW w:w="8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Linefill</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Long-term inventory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19"/>
        </w:trPr>
        <w:tc>
          <w:tcPr>
            <w:tcW w:w="8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
        </w:trPr>
        <w:tc>
          <w:tcPr>
            <w:tcW w:w="8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10"/>
        </w:trPr>
        <w:tc>
          <w:tcPr>
            <w:tcW w:w="8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92"/>
        </w:trPr>
        <w:tc>
          <w:tcPr>
            <w:tcW w:w="8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debt,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92"/>
        </w:trPr>
        <w:tc>
          <w:tcPr>
            <w:tcW w:w="8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08"/>
        </w:trPr>
        <w:tc>
          <w:tcPr>
            <w:tcW w:w="8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Class A shareholders (197,743,624 and 197,465,699 shares outstanding, respectively)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48"/>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6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162"/>
        </w:trPr>
        <w:tc>
          <w:tcPr>
            <w:tcW w:w="8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r>
      <w:tr>
        <w:trPr>
          <w:trHeight w:val="162"/>
        </w:trPr>
        <w:tc>
          <w:tcPr>
            <w:tcW w:w="8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162"/>
        </w:trPr>
        <w:tc>
          <w:tcPr>
            <w:tcW w:w="8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$2 and $2,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42"/>
        </w:trPr>
        <w:tc>
          <w:tcPr>
            <w:tcW w:w="8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162"/>
        </w:trPr>
        <w:tc>
          <w:tcPr>
            <w:tcW w:w="8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250"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8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8"/>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3"/>
                <w:szCs w:val="13"/>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24"/>
                <w:szCs w:val="24"/>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asset sales,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investments in unconsolidated entities, net (Note 11)</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142"/>
        </w:trPr>
        <w:tc>
          <w:tcPr>
            <w:tcW w:w="8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purchases of linefill</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142"/>
        </w:trPr>
        <w:tc>
          <w:tcPr>
            <w:tcW w:w="8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under PAA commercial paper program (Note 5)</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PAA senior notes (Note 5)</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Series A preferred units by a subsidiary (Note 6)</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paid to Class A shareholders (Note 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interests (Note 6)</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142"/>
        </w:trPr>
        <w:tc>
          <w:tcPr>
            <w:tcW w:w="8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62"/>
        </w:trPr>
        <w:tc>
          <w:tcPr>
            <w:tcW w:w="8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Series A preferred units by a subsidiary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March 31, 2025, its sole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we owned an approximate 85% limited partner interest in Plains AAP L.P. (“AAP”) through our ownership of approximately 197.7 million Class A units of AAP (“AAP Units”). We also own a 100% managing member interest in Plains All American GP LLC (“GP LLC”), a Delaware limited liability company that holds the non-economic general partner interest in AAP. AAP is a Delaware limited partnership that, as of March 31, 2025, directly owned a limited partner interest in PAA through its ownership of approximately 232.9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spacing w:after="0" w:line="21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2024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months ended March 31,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0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exception of a deferred tax asset of $1.199 billion and $1.220 billion as of March 31, 2025 and December 31,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assets and liabilities presented on PAGP’s Condensed Consolidated Balance Sheets are those of PAA. Only the assets of each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can be used to settle the obligations of that individual VIE, and the creditors of each/either of those VIEs do not have recourse against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of PAGP. PAGP did not provide any financial support to PAA or AAP during the three months ended March 31, 2025 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See Note 16 to our Consolidated Financial Statements included in Part IV of our 2024 Annual Report on Form 10-K for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Omnibus Agreement entered into by the Plains Entities on November 15,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2024 Annual Report on Form 10-K, there have been no new accounting pronouncements that have become effective or have been issued during the three months ended March 31, 2025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See Note 3 to our Consolidated Financial Statements included in Part IV of our 2024 Annual Report on Form 10-K for additional information regarding our types of revenues and policies for revenue recognition.</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r>
      <w:tr>
        <w:trPr>
          <w:trHeight w:val="22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20" w:type="dxa"/>
            <w:vAlign w:val="bottom"/>
          </w:tcPr>
          <w:p>
            <w:pPr>
              <w:spacing w:after="0"/>
              <w:rPr>
                <w:sz w:val="13"/>
                <w:szCs w:val="13"/>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Contract Liabilities</w:t>
      </w:r>
    </w:p>
    <w:p>
      <w:pPr>
        <w:spacing w:after="0" w:line="6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line="21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6"/>
        </w:trPr>
        <w:tc>
          <w:tcPr>
            <w:tcW w:w="436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60" w:type="dxa"/>
            <w:vAlign w:val="bottom"/>
            <w:gridSpan w:val="2"/>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7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3,905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4,090</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8"/>
              </w:rPr>
              <w:t>8,336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7,413</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(7,602)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3,820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3,901</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Class A Share</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2024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2024 Annual Report on Form 10-K for information regarding PAGP LTIP awards.</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 weighted-average basis, for the three months ended March 31, 2025 and 2024, the possible exchange of 35 million and 36 million AAP units, respectively, would not have had a dilutive effect on basic net income per Class A share. For each of the three months ended March 31, 2025 and 2024, our PAGP LTIP awards were dilutive; however, this did not change the presentation of diluted weighted average Class A shares outstanding or diluted net income per Class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Class A share (in millions, except per share data):</w:t>
      </w:r>
    </w:p>
    <w:p>
      <w:pPr>
        <w:spacing w:after="0" w:line="4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8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360" w:hanging="652"/>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4.6% and 4.6%, respectively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460" w:type="dxa"/>
            <w:vAlign w:val="bottom"/>
            <w:gridSpan w:val="2"/>
          </w:tcPr>
          <w:p>
            <w:pPr>
              <w:jc w:val="center"/>
              <w:ind w:right="6460"/>
              <w:spacing w:after="0"/>
              <w:rPr>
                <w:sz w:val="20"/>
                <w:szCs w:val="20"/>
                <w:color w:val="auto"/>
              </w:rPr>
            </w:pPr>
            <w:r>
              <w:rPr>
                <w:rFonts w:ascii="Times New Roman" w:cs="Times New Roman" w:eastAsia="Times New Roman" w:hAnsi="Times New Roman"/>
                <w:sz w:val="18"/>
                <w:szCs w:val="18"/>
                <w:color w:val="auto"/>
                <w:w w:val="99"/>
              </w:rPr>
              <w:t>Total short-term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70"/>
        </w:trPr>
        <w:tc>
          <w:tcPr>
            <w:tcW w:w="388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PAA senior notes, net of unamortized discounts and debt issuance costs of $52 and $42, respectively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29"/>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460" w:type="dxa"/>
            <w:vAlign w:val="bottom"/>
            <w:gridSpan w:val="2"/>
            <w:shd w:val="clear" w:color="auto" w:fill="CCEEFF"/>
          </w:tcPr>
          <w:p>
            <w:pPr>
              <w:jc w:val="center"/>
              <w:ind w:right="6500"/>
              <w:spacing w:after="0"/>
              <w:rPr>
                <w:sz w:val="20"/>
                <w:szCs w:val="20"/>
                <w:color w:val="auto"/>
              </w:rPr>
            </w:pPr>
            <w:r>
              <w:rPr>
                <w:rFonts w:ascii="Times New Roman" w:cs="Times New Roman" w:eastAsia="Times New Roman" w:hAnsi="Times New Roman"/>
                <w:sz w:val="18"/>
                <w:szCs w:val="18"/>
                <w:color w:val="auto"/>
                <w:w w:val="99"/>
              </w:rPr>
              <w:t>Total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3"/>
        </w:trPr>
        <w:tc>
          <w:tcPr>
            <w:tcW w:w="8460" w:type="dxa"/>
            <w:vAlign w:val="bottom"/>
            <w:gridSpan w:val="2"/>
          </w:tcPr>
          <w:p>
            <w:pPr>
              <w:jc w:val="center"/>
              <w:ind w:right="6440"/>
              <w:spacing w:after="0" w:line="223" w:lineRule="exact"/>
              <w:rPr>
                <w:sz w:val="20"/>
                <w:szCs w:val="20"/>
                <w:color w:val="auto"/>
              </w:rPr>
            </w:pPr>
            <w:r>
              <w:rPr>
                <w:rFonts w:ascii="Times New Roman" w:cs="Times New Roman" w:eastAsia="Times New Roman" w:hAnsi="Times New Roman"/>
                <w:sz w:val="18"/>
                <w:szCs w:val="18"/>
                <w:color w:val="auto"/>
                <w:w w:val="93"/>
              </w:rPr>
              <w:t xml:space="preserve">Total debt </w:t>
            </w:r>
            <w:r>
              <w:rPr>
                <w:rFonts w:ascii="Times New Roman" w:cs="Times New Roman" w:eastAsia="Times New Roman" w:hAnsi="Times New Roman"/>
                <w:sz w:val="23"/>
                <w:szCs w:val="23"/>
                <w:color w:val="auto"/>
                <w:w w:val="93"/>
                <w:vertAlign w:val="superscript"/>
              </w:rPr>
              <w:t>(3)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1"/>
        </w:trPr>
        <w:tc>
          <w:tcPr>
            <w:tcW w:w="3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80" w:hanging="11"/>
        <w:spacing w:after="0" w:line="266" w:lineRule="auto"/>
        <w:rPr>
          <w:sz w:val="20"/>
          <w:szCs w:val="20"/>
          <w:color w:val="auto"/>
        </w:rPr>
      </w:pPr>
      <w:r>
        <w:rPr>
          <w:rFonts w:ascii="Times New Roman" w:cs="Times New Roman" w:eastAsia="Times New Roman" w:hAnsi="Times New Roman"/>
          <w:sz w:val="18"/>
          <w:szCs w:val="18"/>
          <w:color w:val="auto"/>
        </w:rPr>
        <w:t>We classified these PAA commercial paper notes as short-term as of March 31, 2025 and December 31, 2024,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360" w:hanging="11"/>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PAA classified its $1.0 billion, 4.65% senior notes due October 2025 as long-term based on its ability and intent to refinance the notes on a long-term basis.</w:t>
      </w:r>
    </w:p>
    <w:p>
      <w:pPr>
        <w:spacing w:after="0" w:line="54" w:lineRule="exact"/>
        <w:rPr>
          <w:sz w:val="20"/>
          <w:szCs w:val="20"/>
          <w:color w:val="auto"/>
        </w:rPr>
      </w:pPr>
    </w:p>
    <w:p>
      <w:pPr>
        <w:ind w:right="60" w:hanging="11"/>
        <w:spacing w:after="0" w:line="255"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$8.2 billion and $7.2 billion as of March 31, 2025 and December 31, 2024, respectively. We estimated the aggregate fair value of these notes as of March 31, 2025 and December 31, 2024 to be approximately $7.8 billion and $6.7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the PAA commercial paper program for the three months ended March 31, 2025 and 2024 were approximately $12.9 billion and $9.1 billion, respectively. Total repayments under the PAA commercial paper program were approximately $12.8 billion and $9.0 billion for the three months ended March 31, 2025 and 2024,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2025 and December 31, 2024, we had outstanding letters of credit of $78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Class A shares, Class B shares and Class C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197,465,699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542,004,838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Series A preferred units by a subsidiary</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(12,678,560)</w:t>
            </w:r>
          </w:p>
        </w:tc>
        <w:tc>
          <w:tcPr>
            <w:tcW w:w="0" w:type="dxa"/>
            <w:vAlign w:val="bottom"/>
          </w:tcPr>
          <w:p>
            <w:pPr>
              <w:spacing w:after="0"/>
              <w:rPr>
                <w:sz w:val="1"/>
                <w:szCs w:val="1"/>
                <w:color w:val="auto"/>
              </w:rPr>
            </w:pPr>
          </w:p>
        </w:tc>
      </w:tr>
      <w:tr>
        <w:trPr>
          <w:trHeight w:val="229"/>
        </w:trPr>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197,743,624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529,331,928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196,416,760</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36,237,168</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539,445,289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197,252,259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35,401,669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539,507,571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4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11 to our Consolidated Financial Statements included in Part IV of our 2024 Annual Report on Form 10-K for information regarding conversions of AAP Management Units, Exchange Rights and Redemption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4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distributions to our Class A shareholders paid during or pertaining to the first three months of 2025 (in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5"/>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0" w:type="dxa"/>
            <w:vAlign w:val="bottom"/>
          </w:tcPr>
          <w:p>
            <w:pPr>
              <w:spacing w:after="0"/>
              <w:rPr>
                <w:sz w:val="1"/>
                <w:szCs w:val="1"/>
                <w:color w:val="auto"/>
              </w:rPr>
            </w:pPr>
          </w:p>
        </w:tc>
      </w:tr>
      <w:tr>
        <w:trPr>
          <w:trHeight w:val="23"/>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5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March 31,</w:t>
            </w: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20"/>
                <w:szCs w:val="20"/>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0"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shareholders of record at the close of business on the applicable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Repurchase of PAA Series A Preferred Units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of its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our board of directors.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A Preferred Unit Distributions</w:t>
      </w:r>
      <w:r>
        <w:rPr>
          <w:rFonts w:ascii="Times New Roman" w:cs="Times New Roman" w:eastAsia="Times New Roman" w:hAnsi="Times New Roman"/>
          <w:sz w:val="18"/>
          <w:szCs w:val="18"/>
          <w:color w:val="auto"/>
        </w:rPr>
        <w:t>. Distributions on PAA’s Series A preferred units accumulate and are payable quarterly within 45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end of each quarter. See Note 11 to our Consolidated Financial Statements included in Part IV of our 2024 Annual Report on Form 10-K for additional information regarding PAA Series A preferred unit distributions. The following table details distributions to PAA’s Series A preferred unitholders paid during or pertaining to the first three months of 2025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5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760" w:type="dxa"/>
            <w:vAlign w:val="bottom"/>
          </w:tcPr>
          <w:p>
            <w:pPr>
              <w:spacing w:after="0"/>
              <w:rPr>
                <w:sz w:val="2"/>
                <w:szCs w:val="2"/>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May 15, 2025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March 31,</w:t>
            </w:r>
          </w:p>
        </w:tc>
        <w:tc>
          <w:tcPr>
            <w:tcW w:w="17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December</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19"/>
                <w:szCs w:val="19"/>
                <w:color w:val="auto"/>
              </w:rPr>
            </w:pPr>
          </w:p>
        </w:tc>
        <w:tc>
          <w:tcPr>
            <w:tcW w:w="138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2025,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B Preferred Unit Distributions</w:t>
      </w:r>
      <w:r>
        <w:rPr>
          <w:rFonts w:ascii="Times New Roman" w:cs="Times New Roman" w:eastAsia="Times New Roman" w:hAnsi="Times New Roman"/>
          <w:sz w:val="18"/>
          <w:szCs w:val="18"/>
          <w:color w:val="auto"/>
        </w:rPr>
        <w:t>. Distributions on PAA’s Series B preferred units accumulate and are payable quarterly in arrears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15th day of February, May, August and November. See Note 11 to our Consolidated Financial Statements included in Part IV of our 2024 Annual Report on Form 10-K for additional information regarding PAA Series B preferred unit distributions. The following table details distributions paid or to be paid to PAA’s Series B preferred unitholders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9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84"/>
        </w:trPr>
        <w:tc>
          <w:tcPr>
            <w:tcW w:w="2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15, 2025 through May 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May 15, 2025 </w:t>
            </w:r>
            <w:r>
              <w:rPr>
                <w:rFonts w:ascii="Times New Roman" w:cs="Times New Roman" w:eastAsia="Times New Roman" w:hAnsi="Times New Roman"/>
                <w:sz w:val="23"/>
                <w:szCs w:val="23"/>
                <w:color w:val="auto"/>
                <w:vertAlign w:val="superscript"/>
              </w:rPr>
              <w:t>(2)</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15, 2024 through February</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18, 2025</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360" w:hanging="11"/>
        <w:spacing w:after="0" w:line="282" w:lineRule="auto"/>
        <w:rPr>
          <w:sz w:val="20"/>
          <w:szCs w:val="20"/>
          <w:color w:val="auto"/>
        </w:rPr>
      </w:pPr>
      <w:r>
        <w:rPr>
          <w:rFonts w:ascii="Times New Roman" w:cs="Times New Roman" w:eastAsia="Times New Roman" w:hAnsi="Times New Roman"/>
          <w:sz w:val="18"/>
          <w:szCs w:val="18"/>
          <w:color w:val="auto"/>
        </w:rPr>
        <w:t>At March 31, 2025, approximately $9 million of accrued distributions payable to PAA’s Series B preferred unitholders was included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41"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The following table details distributions to PAA’s common unitholders paid during or pertaining to the first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(in millions, except per unit data):</w:t>
      </w: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19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4"/>
                <w:szCs w:val="14"/>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AAP</w:t>
            </w:r>
          </w:p>
        </w:tc>
        <w:tc>
          <w:tcPr>
            <w:tcW w:w="20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60" w:type="dxa"/>
            <w:vAlign w:val="bottom"/>
          </w:tcPr>
          <w:p>
            <w:pPr>
              <w:spacing w:after="0"/>
              <w:rPr>
                <w:sz w:val="14"/>
                <w:szCs w:val="14"/>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The following table details the distributions to AAP’s partners paid during or pertaining to the first three months of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received from PAA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Distributions to AAP</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b w:val="1"/>
                <w:bCs w:val="1"/>
                <w:color w:val="auto"/>
              </w:rPr>
              <w:t>s Partners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2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2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260" w:type="dxa"/>
            <w:vAlign w:val="bottom"/>
          </w:tcPr>
          <w:p>
            <w:pPr>
              <w:spacing w:after="0"/>
              <w:rPr>
                <w:sz w:val="11"/>
                <w:szCs w:val="11"/>
                <w:color w:val="auto"/>
              </w:rPr>
            </w:pPr>
          </w:p>
        </w:tc>
        <w:tc>
          <w:tcPr>
            <w:tcW w:w="1100" w:type="dxa"/>
            <w:vAlign w:val="bottom"/>
          </w:tcPr>
          <w:p>
            <w:pPr>
              <w:jc w:val="right"/>
              <w:ind w:right="259"/>
              <w:spacing w:after="0" w:line="137"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200"/>
        </w:trPr>
        <w:tc>
          <w:tcPr>
            <w:tcW w:w="2460" w:type="dxa"/>
            <w:vAlign w:val="bottom"/>
            <w:gridSpan w:val="2"/>
            <w:vMerge w:val="continue"/>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22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March 31,</w:t>
            </w: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7"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The following table details distributions paid to noncontrolling interests in consolidated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periods presented (in millions):</w:t>
      </w:r>
    </w:p>
    <w:p>
      <w:pPr>
        <w:spacing w:after="0" w:line="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6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7—Derivatives and Risk Management Activities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jc w:val="both"/>
        <w:ind w:right="120" w:firstLine="607"/>
        <w:spacing w:after="0" w:line="289" w:lineRule="auto"/>
        <w:rPr>
          <w:sz w:val="20"/>
          <w:szCs w:val="20"/>
          <w:color w:val="auto"/>
        </w:rPr>
      </w:pPr>
      <w:r>
        <w:rPr>
          <w:rFonts w:ascii="Times New Roman" w:cs="Times New Roman" w:eastAsia="Times New Roman" w:hAnsi="Times New Roman"/>
          <w:sz w:val="17"/>
          <w:szCs w:val="17"/>
          <w:color w:val="auto"/>
        </w:rPr>
        <w:t>At March 31,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March 31, 2025, net derivative positions related to these activities included:</w:t>
      </w:r>
    </w:p>
    <w:p>
      <w:pPr>
        <w:spacing w:after="0" w:line="162" w:lineRule="exact"/>
        <w:rPr>
          <w:sz w:val="20"/>
          <w:szCs w:val="20"/>
          <w:color w:val="auto"/>
        </w:rPr>
      </w:pPr>
    </w:p>
    <w:p>
      <w:pPr>
        <w:ind w:left="980" w:right="3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8.5 million barrels associated with our crude oil purchases, which was unwound ratably during April 2025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2.2 million barrels, which hedges a portion of our anticipated crude oil lease gathering purchases through February 2026.</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0.2 million barrels at multiple locations through December 2025.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8.2 million barrels through December 2029 related to anticipated net sales of crude oil and NGL inventory.</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7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 Bcf</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Propane sales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(7.8)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(0.9)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1.6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30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1.9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2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from commodity derivative activity</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w w:val="99"/>
              </w:rPr>
              <w:t>53</w:t>
            </w:r>
          </w:p>
        </w:tc>
      </w:tr>
      <w:tr>
        <w:trPr>
          <w:trHeight w:val="28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w:t>
            </w:r>
          </w:p>
        </w:tc>
        <w:tc>
          <w:tcPr>
            <w:tcW w:w="9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w w:val="99"/>
              </w:rPr>
              <w:t>49</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w w:val="99"/>
              </w:rPr>
              <w:t>(30)</w:t>
            </w:r>
          </w:p>
        </w:tc>
      </w:tr>
      <w:tr>
        <w:trPr>
          <w:trHeight w:val="223"/>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6"/>
              <w:spacing w:after="0"/>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8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March 31, 2025 (notional amounts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3000" w:type="dxa"/>
            <w:vAlign w:val="bottom"/>
            <w:gridSpan w:val="2"/>
            <w:vMerge w:val="continue"/>
          </w:tcPr>
          <w:p>
            <w:pPr>
              <w:spacing w:after="0"/>
              <w:rPr>
                <w:sz w:val="16"/>
                <w:szCs w:val="16"/>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4"/>
        </w:trPr>
        <w:tc>
          <w:tcPr>
            <w:tcW w:w="28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ind w:right="319"/>
              <w:spacing w:after="0" w:line="174" w:lineRule="exact"/>
              <w:rPr>
                <w:sz w:val="20"/>
                <w:szCs w:val="20"/>
                <w:color w:val="auto"/>
              </w:rPr>
            </w:pPr>
            <w:r>
              <w:rPr>
                <w:rFonts w:ascii="Times New Roman" w:cs="Times New Roman" w:eastAsia="Times New Roman" w:hAnsi="Times New Roman"/>
                <w:sz w:val="18"/>
                <w:szCs w:val="18"/>
                <w:color w:val="auto"/>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4 forward starting swaps</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1520" w:type="dxa"/>
            <w:vAlign w:val="bottom"/>
          </w:tcPr>
          <w:p>
            <w:pPr>
              <w:jc w:val="right"/>
              <w:ind w:right="279"/>
              <w:spacing w:after="0" w:line="176" w:lineRule="exact"/>
              <w:rPr>
                <w:sz w:val="20"/>
                <w:szCs w:val="20"/>
                <w:color w:val="auto"/>
              </w:rPr>
            </w:pPr>
            <w:r>
              <w:rPr>
                <w:rFonts w:ascii="Times New Roman" w:cs="Times New Roman" w:eastAsia="Times New Roman" w:hAnsi="Times New Roman"/>
                <w:sz w:val="18"/>
                <w:szCs w:val="18"/>
                <w:color w:val="auto"/>
              </w:rPr>
              <w:t>10/15/2025</w:t>
            </w: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3.76%</w:t>
            </w:r>
          </w:p>
        </w:tc>
        <w:tc>
          <w:tcPr>
            <w:tcW w:w="10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there was a net loss of $44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March 31, 2025; thus, actual amounts to be reclassified will differ and could vary materially as a result of changes in market conditions.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22225</wp:posOffset>
            </wp:positionV>
            <wp:extent cx="1671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7" w:lineRule="exact"/>
        <w:rPr>
          <w:sz w:val="20"/>
          <w:szCs w:val="20"/>
          <w:color w:val="auto"/>
        </w:rPr>
      </w:pPr>
    </w:p>
    <w:p>
      <w:pPr>
        <w:ind w:left="890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8" w:lineRule="exact"/>
        <w:rPr>
          <w:sz w:val="20"/>
          <w:szCs w:val="20"/>
          <w:color w:val="auto"/>
        </w:rPr>
      </w:pPr>
    </w:p>
    <w:p>
      <w:pPr>
        <w:ind w:left="20"/>
        <w:spacing w:after="0"/>
        <w:tabs>
          <w:tab w:leader="none" w:pos="8420" w:val="left"/>
          <w:tab w:leader="none" w:pos="9440" w:val="left"/>
          <w:tab w:leader="none" w:pos="10780" w:val="left"/>
        </w:tabs>
        <w:rPr>
          <w:sz w:val="20"/>
          <w:szCs w:val="20"/>
          <w:color w:val="auto"/>
        </w:rPr>
      </w:pPr>
      <w:r>
        <w:rPr>
          <w:rFonts w:ascii="Times New Roman" w:cs="Times New Roman" w:eastAsia="Times New Roman" w:hAnsi="Times New Roman"/>
          <w:sz w:val="18"/>
          <w:szCs w:val="18"/>
          <w:color w:val="auto"/>
        </w:rPr>
        <w:t>Interest rate derivatives,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  $</w:t>
      </w:r>
      <w:r>
        <w:rPr>
          <w:sz w:val="20"/>
          <w:szCs w:val="20"/>
          <w:color w:val="auto"/>
        </w:rPr>
        <w:tab/>
      </w: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1230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3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At March 31, 2025, the net fair value of our interest rate hedges, which was included in “Other current assets” and “Other long-term assets, net” on our Condensed Consolidated Balance Sheet, totaled $1 million and $24 million, respectively. At December 31, 2024, the net fair value of our interest rate hedges, which was included in “Other long-term assets, net” on our Condensed Consolidated Balance Sheet, totaled $27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6"/>
                <w:szCs w:val="16"/>
                <w:color w:val="auto"/>
              </w:rPr>
            </w:pPr>
          </w:p>
        </w:tc>
        <w:tc>
          <w:tcPr>
            <w:tcW w:w="3160" w:type="dxa"/>
            <w:vAlign w:val="bottom"/>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as of March 31, 2025</w:t>
            </w:r>
          </w:p>
        </w:tc>
        <w:tc>
          <w:tcPr>
            <w:tcW w:w="180" w:type="dxa"/>
            <w:vAlign w:val="bottom"/>
          </w:tcPr>
          <w:p>
            <w:pPr>
              <w:spacing w:after="0"/>
              <w:rPr>
                <w:sz w:val="16"/>
                <w:szCs w:val="16"/>
                <w:color w:val="auto"/>
              </w:rPr>
            </w:pPr>
          </w:p>
        </w:tc>
        <w:tc>
          <w:tcPr>
            <w:tcW w:w="2940" w:type="dxa"/>
            <w:vAlign w:val="bottom"/>
            <w:gridSpan w:val="7"/>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3"/>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2024 Annual Report on Form 10-K for a complete discussion of related parties, including the determination of our related parties and nature of involvement with such related parties.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4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6"/>
        </w:trPr>
        <w:tc>
          <w:tcPr>
            <w:tcW w:w="8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31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8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ind w:left="660" w:right="100" w:hanging="652"/>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release of crude oil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Effective as of March 31, 2025,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4"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did not recognize any costs, net of amounts probable of recovery from insurance (as applicable), during the three months ended March 31, 2025 and 2024. As of March 31, 2025 and December 31, 2024, we had a remaining undiscounted gross liability of approximately $4 million and $5 million, respectively, related to the Line 901 incident, which aggregate amounts are reflected in “Current liabilities” on our Condensed Consolidated Balance Sheet.</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$275 million of the $500 million available under our 2015 insurance program. We have submitted insurance claims seeking reimbursement for additional legal fees and settlements relating to the Line 901 incident. Such claims, in the aggregate, exceed the $225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professional and regulatory costs during future periods. The remaining Line 901 lawsuits include various lawsuits filed in California Superior Court in Santa Barbara County by (i) companies and individuals who provided labor, goods, or services associated with oil production activities they claim were disrupted following the Line 901 incident, and (ii) a landowner on an adjacent pipeline alleging property damage from the “stigma” of the Line 901 incident. We are vigorously defending these remaining lawsuits, which have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1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March 31, 2025, we incurred $12 million in connection with clean-up and remediation activities.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Hartree. </w:t>
      </w:r>
      <w:r>
        <w:rPr>
          <w:rFonts w:ascii="Times New Roman" w:cs="Times New Roman" w:eastAsia="Times New Roman" w:hAnsi="Times New Roman"/>
          <w:sz w:val="18"/>
          <w:szCs w:val="18"/>
          <w:color w:val="auto"/>
        </w:rPr>
        <w:t>On July 19, 2022, Hartree Natural Gas Storage, LLC (“Hartree”) filed a lawsuit under seal in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believe the claims in the lawsuit lack merit and intend to vigorously defend this lawsuit in coordination with the other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10—Segment Information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(9)</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905"/>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(9)</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60" w:right="40" w:hanging="652"/>
        <w:spacing w:after="0" w:line="244"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sectPr>
          <w:pgSz w:w="11900" w:h="16838" w:orient="portrait"/>
          <w:cols w:equalWidth="0" w:num="1">
            <w:col w:w="11240"/>
          </w:cols>
          <w:pgMar w:left="320" w:top="121"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related to acquisitions completed during the first quarter of 2025. See Note 11 for information regarding these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11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60" w:hanging="652"/>
        <w:spacing w:after="0" w:line="251" w:lineRule="auto"/>
        <w:tabs>
          <w:tab w:leader="none" w:pos="652"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PAGP (in millions):</w:t>
      </w:r>
    </w:p>
    <w:p>
      <w:pPr>
        <w:spacing w:after="0" w:line="25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8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8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48"/>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117" w:lineRule="exact"/>
        <w:rPr>
          <w:sz w:val="20"/>
          <w:szCs w:val="20"/>
          <w:color w:val="auto"/>
        </w:rPr>
      </w:pPr>
    </w:p>
    <w:p>
      <w:pPr>
        <w:ind w:left="20" w:right="32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185"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Ironwood Midstream</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Ironwood Midstream. </w:t>
      </w:r>
      <w:r>
        <w:rPr>
          <w:rFonts w:ascii="Times New Roman" w:cs="Times New Roman" w:eastAsia="Times New Roman" w:hAnsi="Times New Roman"/>
          <w:sz w:val="18"/>
          <w:szCs w:val="18"/>
          <w:color w:val="auto"/>
        </w:rPr>
        <w:t>On January 31, 2025, we acquired Ironwood Midstream Energy Partners II, LLC (“Ironwood Midstream”), which owns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our board of directors. See Note 6 for additional information.</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during the three months ended March 31, 2025, and the future amortization expense for the remainder of 2025 through 2029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Medallion Midstream</w:t>
      </w:r>
      <w:r>
        <w:rPr>
          <w:rFonts w:ascii="Times New Roman" w:cs="Times New Roman" w:eastAsia="Times New Roman" w:hAnsi="Times New Roman"/>
          <w:sz w:val="18"/>
          <w:szCs w:val="18"/>
          <w:color w:val="auto"/>
        </w:rPr>
        <w:t>. In January 2025, we acquired EMG Medallion 2 Holdings, LLC and its subsidiaries, which own a crude oil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business in the Delaware Basin, for $163 million (approximately $106 million net to PAA’s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our board of directors.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Cheyenne Pipeline LLC. </w:t>
      </w:r>
      <w:r>
        <w:rPr>
          <w:rFonts w:ascii="Times New Roman" w:cs="Times New Roman" w:eastAsia="Times New Roman" w:hAnsi="Times New Roman"/>
          <w:sz w:val="18"/>
          <w:szCs w:val="18"/>
          <w:color w:val="auto"/>
        </w:rPr>
        <w:t>In February 2025, through a non-monetary transaction, we acquired the remaining 50% interest in Cheyenne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limited partnership that has elected to be taxed as a corporation for United States federal income tax purposes. As of March 31, 2025, our sole cash-generating assets consisted of an approximate 85% limited partner interest in AAP. We also own a 100% managing member interest in GP LLC, which holds the non-economic general partner interest in AAP. As of March 31, 2025, AAP directly owned a limited partner interest in PAA through its ownership of approximately 232.9 million PAA common units (approximately 31% of PAA’s total outstanding common units and Series A preferred units combined). AAP is the sole member of PAA GP, which holds the non-economic general partner interest in PAA.</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recognized net income of $492 million for the three months ended March 31, 2025 compared to net income of $336 million for the first three months of 2024. The increase in net income attributable to PAA was largely driven by fluctuations of derivative mark-to-market valuations, as well as higher Segment Adjusted EBITDA in the 2025 period due to more favorable results from our Crude Oil and NGL segments. 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314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Indicates that variance as a percentage is not meaningful.</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31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services revenues and purchases for the three months ended March 31, 2025 were all relatively in line with the same metrics for the three months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net revenues (defined as revenues less purchases and related costs) in the “—Analysis of Operating Segments” section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2025 compared to the same period in 2024 was primarily due to transaction costs associated with our recent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recognized a net gain of $31 million related to our acquisition of the remaining 50% interest in Cheyenne in the first quarter of 2025. See Note 11 to our Condensed Consolidated Financial Statements for additional information regarding this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borrowings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17" w:lineRule="exact"/>
        <w:rPr>
          <w:sz w:val="20"/>
          <w:szCs w:val="20"/>
          <w:color w:val="auto"/>
        </w:rPr>
      </w:pPr>
    </w:p>
    <w:p>
      <w:pPr>
        <w:ind w:left="660" w:right="100" w:hanging="652"/>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for the 2025 period compared to the same period in 2024 was primarily driven by PAA’s issuance of $1.0 billion, 5.95% senior notes in January 2025. See Note 5 to our Condensed Consolidated Financial Statements for additional information regarding senior notes.</w:t>
      </w:r>
    </w:p>
    <w:p>
      <w:pPr>
        <w:spacing w:after="0" w:line="22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Other Income/(Expense), Net</w:t>
      </w:r>
    </w:p>
    <w:p>
      <w:pPr>
        <w:spacing w:after="0" w:line="256"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30" w:lineRule="exact"/>
        <w:rPr>
          <w:sz w:val="20"/>
          <w:szCs w:val="20"/>
          <w:color w:val="auto"/>
        </w:rPr>
      </w:pPr>
    </w:p>
    <w:p>
      <w:pPr>
        <w:ind w:left="660" w:right="120" w:hanging="652"/>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net unfavorable income tax variance for the three months ended March 31, 2025 compared to the same period in 2024 was primarily due to (i) higher year-over-year income within our Canadian operations as impacted by fluctuations of derivative mark-to-market valuations and (ii) higher PAA earnings attributable to PAGP.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0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1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Segment Adjusted EBITDA </w:t>
            </w:r>
            <w:r>
              <w:rPr>
                <w:rFonts w:ascii="Times New Roman" w:cs="Times New Roman" w:eastAsia="Times New Roman" w:hAnsi="Times New Roman"/>
                <w:sz w:val="23"/>
                <w:szCs w:val="23"/>
                <w:color w:val="auto"/>
                <w:vertAlign w:val="superscript"/>
              </w:rPr>
              <w:t>(3)</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(5)</w:t>
            </w:r>
          </w:p>
        </w:tc>
        <w:tc>
          <w:tcPr>
            <w:tcW w:w="8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 noncontrolling interests in consolidated</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Borders>
              <w:bottom w:val="single" w:sz="8" w:color="CCEEFF"/>
            </w:tcBorders>
            <w:gridSpan w:val="2"/>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(6)</w:t>
            </w: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640" w:hanging="652"/>
        <w:spacing w:after="0" w:line="21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89" w:lineRule="exact"/>
        <w:rPr>
          <w:rFonts w:ascii="Times New Roman" w:cs="Times New Roman" w:eastAsia="Times New Roman" w:hAnsi="Times New Roman"/>
          <w:sz w:val="23"/>
          <w:szCs w:val="23"/>
          <w:color w:val="auto"/>
          <w:vertAlign w:val="superscript"/>
        </w:rPr>
      </w:pPr>
    </w:p>
    <w:p>
      <w:pPr>
        <w:ind w:left="660" w:right="300" w:hanging="652"/>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91" w:lineRule="exact"/>
        <w:rPr>
          <w:rFonts w:ascii="Times New Roman" w:cs="Times New Roman" w:eastAsia="Times New Roman" w:hAnsi="Times New Roman"/>
          <w:sz w:val="23"/>
          <w:szCs w:val="23"/>
          <w:color w:val="auto"/>
          <w:vertAlign w:val="superscript"/>
        </w:rPr>
      </w:pPr>
    </w:p>
    <w:p>
      <w:pPr>
        <w:ind w:left="660" w:right="340" w:hanging="652"/>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income/(expense), net” on our Condensed Consolidated Statements of Operations, adjusted for selected items impacting comparability (“Adjusted other income, net”) is included in Adjusted EBITDA and excluded from Segment Adjusted EBITDA.</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10 to our Condensed Consolidated Financial Statements for our definition of Segment Adjusted EBITDA and a reconciliation of Segment Adjusted EBITDA to Net income attributable to PAGP. See Note 19 to our Consolidated Financial Statements included in Part IV of our 2024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joint ventures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6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4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1"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60" w:right="480" w:hanging="652"/>
        <w:spacing w:after="0" w:line="22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ectPr>
          <w:pgSz w:w="11900" w:h="16838" w:orient="portrait"/>
          <w:cols w:equalWidth="0" w:num="1">
            <w:col w:w="11240"/>
          </w:cols>
          <w:pgMar w:left="320" w:top="121"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20" w:right="20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months ended March 31, 2025 was in line with comparable results for the three months ended March 31, 2024. The benefit to the 2025 period from higher tariff volumes on our pipelines, tariff escalations and contributions from recently completed acquisitions was largely offset by higher operating expenses.</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months ended March 31, 2025 compared to the same period in 2024.</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Permian Basin region, (ii) the benefit of tariff escalations and (iii) contributions from recently completed acquisitions in the Permian Basin and South Texas regions. These favorable impacts were partially offset by lower volumes on certain of our pipelines due to refinery downtime in the 2025 period.</w:t>
      </w:r>
    </w:p>
    <w:p>
      <w:pPr>
        <w:spacing w:after="0" w:line="207"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months ended March 31, 2025 compared to the same period in 2024,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environmental remediation expenses, (ii) employee-related costs primarily resulting from higher average salaries, bonuses and medical benefits, (iii) incremental operating costs associated with acquisitions and (iv) higher utilities-related costs as a result of higher volumes.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three months ended March 31, 2025 compared to the same period in 2024 was primarily due to lower costs resulting from timing of certain pipeline integrity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3"/>
                <w:szCs w:val="13"/>
                <w:color w:val="auto"/>
              </w:rPr>
            </w:pPr>
          </w:p>
        </w:tc>
        <w:tc>
          <w:tcPr>
            <w:tcW w:w="240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840" w:type="dxa"/>
            <w:vAlign w:val="bottom"/>
            <w:gridSpan w:val="5"/>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7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82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280" w:type="dxa"/>
            <w:vAlign w:val="bottom"/>
          </w:tcPr>
          <w:p>
            <w:pPr>
              <w:spacing w:after="0"/>
              <w:rPr>
                <w:sz w:val="21"/>
                <w:szCs w:val="21"/>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butane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right="50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undivided joint interests) for the period divided by the number of days in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NGL Segment Adjusted EBITDA increased for the three months ended March 31, 2025 compared to the same period in 2024 primarily as a result of the impact of (i) higher NGL sales volumes, (ii) higher realized frac spreads, and (iii) lower field operating costs.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ind w:right="40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Net Revenues. </w:t>
      </w:r>
      <w:r>
        <w:rPr>
          <w:rFonts w:ascii="Times New Roman" w:cs="Times New Roman" w:eastAsia="Times New Roman" w:hAnsi="Times New Roman"/>
          <w:sz w:val="17"/>
          <w:szCs w:val="17"/>
          <w:color w:val="auto"/>
        </w:rPr>
        <w:t>Net revenues include the impact of derivative activities and long-term inventory costing adjustments, which are excluded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Adjusted EBITDA, and thus are reflected as a component of “Other segment items” in the table above. Excluding such impacts, net revenues increased for the three months ended March 31, 2025 compared to the same period in 2024. The increase in net revenues for the three months ended March 31, 2025 compared to the same period in 2024 was primarily due to (i) higher NGL sales volumes and (ii) higher realized frac spreads.</w:t>
      </w:r>
    </w:p>
    <w:p>
      <w:pPr>
        <w:spacing w:after="0" w:line="19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months ended March 31, 2025 compared to the same period in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 a decrease in unrealized mark-to-market losses on power hedges (which impact our field operating costs, but are excluded from Segment Adjusted EBITDA, and thus are reflected as a component of “Other segment items” in the table above) and (ii) decreased utilities-related costs largely as a result of lower power prices.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jc w:val="both"/>
        <w:ind w:right="240" w:firstLine="8"/>
        <w:spacing w:after="0" w:line="25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we had a working capital surplus of $45 million and approximately $2.6 billion of liquidity available to meet our ongoing operating, investing and financing needs (subject to continued covenant compliance) as noted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388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952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 (2)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9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 (2)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9"/>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outstanding under PAA commercial paper program</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9"/>
        </w:trPr>
        <w:tc>
          <w:tcPr>
            <w:tcW w:w="9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3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58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credit facilities.</w:t>
      </w:r>
    </w:p>
    <w:p>
      <w:pPr>
        <w:spacing w:after="0" w:line="54" w:lineRule="exact"/>
        <w:rPr>
          <w:sz w:val="20"/>
          <w:szCs w:val="20"/>
          <w:color w:val="auto"/>
        </w:rPr>
      </w:pPr>
    </w:p>
    <w:p>
      <w:pPr>
        <w:ind w:left="20" w:right="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issued under these facilities of less than $1 million and $35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$1 million.</w:t>
      </w:r>
    </w:p>
    <w:p>
      <w:pPr>
        <w:spacing w:after="0" w:line="200" w:lineRule="exact"/>
        <w:rPr>
          <w:sz w:val="20"/>
          <w:szCs w:val="20"/>
          <w:color w:val="auto"/>
        </w:rPr>
      </w:pPr>
    </w:p>
    <w:p>
      <w:pPr>
        <w:sectPr>
          <w:pgSz w:w="11900" w:h="16838" w:orient="portrait"/>
          <w:cols w:equalWidth="0" w:num="2">
            <w:col w:w="140" w:space="500"/>
            <w:col w:w="10540"/>
          </w:cols>
          <w:pgMar w:left="320" w:top="121" w:right="399" w:bottom="1440" w:gutter="0" w:footer="0" w:header="0"/>
          <w:type w:val="continuous"/>
        </w:sectPr>
      </w:pPr>
    </w:p>
    <w:p>
      <w:pPr>
        <w:spacing w:after="0" w:line="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March 31, 2025.</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2024 Annual Report on Form 10-K for further discussion regarding risks that may impact our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2025 and 2024 was $638 million and $418 million, respectively, and primarily resulted from earnings from our operations. Both periods were also impacted by changes in net operating working capital items. The 2024 period was impacted more unfavorably, primarily by margin requirements related to our hedging activities.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5"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91" w:lineRule="exact"/>
        <w:rPr>
          <w:rFonts w:ascii="Times New Roman" w:cs="Times New Roman" w:eastAsia="Times New Roman" w:hAnsi="Times New Roman"/>
          <w:sz w:val="23"/>
          <w:szCs w:val="23"/>
          <w:color w:val="auto"/>
          <w:vertAlign w:val="superscript"/>
        </w:rPr>
      </w:pPr>
    </w:p>
    <w:p>
      <w:pPr>
        <w:ind w:left="660" w:right="280" w:hanging="652"/>
        <w:spacing w:after="0" w:line="235"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91" w:lineRule="exact"/>
        <w:rPr>
          <w:rFonts w:ascii="Times New Roman" w:cs="Times New Roman" w:eastAsia="Times New Roman" w:hAnsi="Times New Roman"/>
          <w:sz w:val="23"/>
          <w:szCs w:val="23"/>
          <w:color w:val="auto"/>
          <w:vertAlign w:val="superscript"/>
        </w:rPr>
      </w:pPr>
    </w:p>
    <w:p>
      <w:pPr>
        <w:ind w:left="660" w:right="60" w:hanging="652"/>
        <w:spacing w:after="0" w:line="235"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and maintenance capital, net to our 65% interest in the Permian JV, was approximately $130 million and $38 million, respectively, for the three months ended March 31, 2025, and approximately $79 million and $53 million, respectively, for the three months ended March 31, 2024.</w:t>
      </w:r>
    </w:p>
    <w:p>
      <w:pPr>
        <w:spacing w:after="0" w:line="91" w:lineRule="exact"/>
        <w:rPr>
          <w:rFonts w:ascii="Times New Roman" w:cs="Times New Roman" w:eastAsia="Times New Roman" w:hAnsi="Times New Roman"/>
          <w:sz w:val="23"/>
          <w:szCs w:val="23"/>
          <w:color w:val="auto"/>
          <w:vertAlign w:val="superscript"/>
        </w:rPr>
      </w:pPr>
    </w:p>
    <w:p>
      <w:pPr>
        <w:ind w:left="660" w:right="60" w:hanging="652"/>
        <w:spacing w:after="0" w:line="241"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capital, net to our 65% interest in the Permian JV, was approximately $613 million and $92 million for the three months ended March 31, 2025 and 2024, respectively. Acquisition capital for the 2025 period primarily included the acquisitions of (i) Ironwood Midstream, (ii) Medallion Midstream by the Permian JV and (iii) the remaining 50% interest in Cheyenne Pipeline LLC through a non-cash transaction. See Note 11 to our Condensed Consolidated Financial Statements for additional information. Acquisition capital for the 2024 period primarily included the acquisition of an additional ownership interest in an equity method investee.</w:t>
      </w:r>
    </w:p>
    <w:p>
      <w:pPr>
        <w:spacing w:after="0" w:line="224" w:lineRule="exact"/>
        <w:rPr>
          <w:sz w:val="20"/>
          <w:szCs w:val="20"/>
          <w:color w:val="auto"/>
        </w:rPr>
      </w:pPr>
    </w:p>
    <w:p>
      <w:pPr>
        <w:jc w:val="both"/>
        <w:ind w:right="4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Investment and Maintenance Capital. </w:t>
      </w:r>
      <w:r>
        <w:rPr>
          <w:rFonts w:ascii="Times New Roman" w:cs="Times New Roman" w:eastAsia="Times New Roman" w:hAnsi="Times New Roman"/>
          <w:sz w:val="18"/>
          <w:szCs w:val="18"/>
          <w:color w:val="auto"/>
        </w:rPr>
        <w:t>Total investment capital for the year ending December 31, 2025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($400 million net to our interest). Approximately half of our projected investment capital expenditures are expected to be invested in the Permian JV assets. Additionally, maintenance capital for 2025 is projected to be approximately $260 million ($240 million net to our interest).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2024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we had net borrowings under the PAA commercial paper program of $71 million and $107 million, respectively. The net borrowings resulted primarily from borrowings during the period related to funding needs for capital investments, inventory purchases and other general partnership purposes.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 PAA used the net proceeds from this offering of approximately $988 million, after deducting the underwriting discount and offering expenses, to (i) fund the acquisitions completed during the first quarter of 2025, (ii) fund the repurchase of approximately 12.7 million of PAA’s Series A preferred units in January 2025 and (iii) repay outstanding borrowings under PAA’s credit facilities and commercial paper program and for general partnership purposes.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three months ended March 31, 2025 or 2024. The remaining available capacity under the Program as of March 31, 2025 was $198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March 31, 2025,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three months ended March 31, 2025.</w:t>
      </w:r>
    </w:p>
    <w:p>
      <w:pPr>
        <w:spacing w:after="0" w:line="21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PAA Registration Statements. </w:t>
      </w:r>
      <w:r>
        <w:rPr>
          <w:rFonts w:ascii="Times New Roman" w:cs="Times New Roman" w:eastAsia="Times New Roman" w:hAnsi="Times New Roman"/>
          <w:sz w:val="18"/>
          <w:szCs w:val="18"/>
          <w:color w:val="auto"/>
        </w:rPr>
        <w:t>PAA periodically accesses the capital markets for both equity and debt financing. PAA has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March 31, 2025. PAA did not conduct any offerings under the PAA Traditional Shelf during the three months ended March 31, 2025. PAA also has access to a universal shelf registration statement (“PAA WKSI Shelf”), which provides it with the ability to offer and sell an unlimited amount of debt and equity securities, subject to market conditions and its capital needs. The offering of PAA’s $1.0 billion, 5.95% senior notes in January 2025 was conducted under its WKSI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 Repurchase</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6 to our Condensed Consolidated Financial Statements for more information regarding PAA’s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May 15, 2025, we will pay a quarterly cash distribution of $0.38 per Class A share ($1.52 per Class A share on an annualized basis) to shareholders of record at the close of business on May 1, 2025 for the period from January 1, 2025 through March 31, 2025. See Note 6 to our Condensed Consolidated Financial Statements for details of distributions paid during the first three months of 2025.</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March 31,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spacing w:after="0" w:line="205" w:lineRule="exact"/>
        <w:rPr>
          <w:sz w:val="20"/>
          <w:szCs w:val="20"/>
          <w:color w:val="auto"/>
        </w:rPr>
      </w:pPr>
    </w:p>
    <w:p>
      <w:pPr>
        <w:ind w:right="1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Distributions to PAA’s Series A preferred unitholders. </w:t>
      </w:r>
      <w:r>
        <w:rPr>
          <w:rFonts w:ascii="Times New Roman" w:cs="Times New Roman" w:eastAsia="Times New Roman" w:hAnsi="Times New Roman"/>
          <w:sz w:val="17"/>
          <w:szCs w:val="17"/>
          <w:color w:val="auto"/>
        </w:rPr>
        <w:t>On May 15, 2025, PAA will pay a quarterly cash distribution of approximately $0.615 per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 to its Series A preferred unitholders of record at the close of business on May 1, 2025 for the period from January 1, 2025 through March 31, 2025.</w:t>
      </w:r>
    </w:p>
    <w:p>
      <w:pPr>
        <w:spacing w:after="0" w:line="162" w:lineRule="exact"/>
        <w:rPr>
          <w:sz w:val="20"/>
          <w:szCs w:val="20"/>
          <w:color w:val="auto"/>
        </w:rPr>
      </w:pPr>
    </w:p>
    <w:p>
      <w:pPr>
        <w:jc w:val="both"/>
        <w:ind w:right="1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Distributions to PAA’s Series B preferred unitholders</w:t>
      </w:r>
      <w:r>
        <w:rPr>
          <w:rFonts w:ascii="Times New Roman" w:cs="Times New Roman" w:eastAsia="Times New Roman" w:hAnsi="Times New Roman"/>
          <w:sz w:val="17"/>
          <w:szCs w:val="17"/>
          <w:color w:val="auto"/>
        </w:rPr>
        <w:t>. On May 15, 2025, PAA will pay a quarterly cash distribution of approximately $21.49 per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 to its Series B preferred unitholders of record at the close of business on May 1, 2025 for the period from February 15, 2025 through May 14, 2025.</w:t>
      </w:r>
    </w:p>
    <w:p>
      <w:pPr>
        <w:spacing w:after="0" w:line="16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to PAA’s common unitholders. </w:t>
      </w:r>
      <w:r>
        <w:rPr>
          <w:rFonts w:ascii="Times New Roman" w:cs="Times New Roman" w:eastAsia="Times New Roman" w:hAnsi="Times New Roman"/>
          <w:sz w:val="18"/>
          <w:szCs w:val="18"/>
          <w:color w:val="auto"/>
        </w:rPr>
        <w:t>On May 15, 2025, PAA will pay a quarterly cash distribution of $0.38 per common unit ($1.52 per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annualized basis) to common unitholders of record at the close of business on May 1, 2025 for the period from January 1, 2025 through March 31, 2025.</w:t>
      </w:r>
    </w:p>
    <w:p>
      <w:pPr>
        <w:spacing w:after="0" w:line="2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6 to our Condensed Consolidated Financial Statements for details of distributions paid during or pertaining to the three months ended March 31, 2025, including distributions to PAA’s preferred unitholders.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9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March 31,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40" w:type="dxa"/>
            <w:vAlign w:val="bottom"/>
          </w:tcPr>
          <w:p>
            <w:pPr>
              <w:spacing w:after="0"/>
              <w:rPr>
                <w:sz w:val="13"/>
                <w:szCs w:val="1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19,985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17,694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14,881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111,079</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March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2025 and December 31, 2024, we had outstanding letters of credit of approximately $78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40" w:hanging="324"/>
        <w:spacing w:after="0" w:line="282" w:lineRule="auto"/>
        <w:tabs>
          <w:tab w:leader="none" w:pos="97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40" w:lineRule="exact"/>
        <w:rPr>
          <w:rFonts w:ascii="Times New Roman" w:cs="Times New Roman" w:eastAsia="Times New Roman" w:hAnsi="Times New Roman"/>
          <w:sz w:val="18"/>
          <w:szCs w:val="18"/>
          <w:i w:val="1"/>
          <w:iCs w:val="1"/>
          <w:color w:val="auto"/>
        </w:rPr>
      </w:pPr>
    </w:p>
    <w:p>
      <w:pPr>
        <w:ind w:left="980" w:right="2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who are willing or under pressure to aggressively reduce transportation rates in order to capture or preserve customers;</w:t>
      </w:r>
    </w:p>
    <w:p>
      <w:pPr>
        <w:spacing w:after="0" w:line="117" w:lineRule="exact"/>
        <w:rPr>
          <w:sz w:val="20"/>
          <w:szCs w:val="20"/>
          <w:color w:val="auto"/>
        </w:rPr>
      </w:pPr>
    </w:p>
    <w:p>
      <w:pPr>
        <w:ind w:left="980" w:right="4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PAA’s ability to consummate, acquisitions, divestitures,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8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980"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177"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98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by purchasing natural gas to replace the energy content of the NGL extracted by our natural gas processing assets (natural gas purchase component of the frac spread) and, on occasion, to hedge ethane that may be purchased and stored until it is reinjected into the natural gas stream.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NGL and other</w:t>
      </w:r>
    </w:p>
    <w:p>
      <w:pPr>
        <w:spacing w:after="0" w:line="254" w:lineRule="exact"/>
        <w:rPr>
          <w:rFonts w:ascii="Times New Roman" w:cs="Times New Roman" w:eastAsia="Times New Roman" w:hAnsi="Times New Roman"/>
          <w:sz w:val="18"/>
          <w:szCs w:val="18"/>
          <w:i w:val="1"/>
          <w:iCs w:val="1"/>
          <w:color w:val="auto"/>
        </w:rPr>
      </w:pPr>
    </w:p>
    <w:p>
      <w:pPr>
        <w:ind w:left="980" w:right="14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further discussion regarding our hedging strategies and objectives.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March 31, 2025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PAA’s senior notes are fixed rate notes and thus are not subject to interest rate risk. PAA’s variable rate debt outstanding at March 31, 2025, approximately $464 million, was subject to interest rate resets that generally occur within one week or less. The average interest rate on variable rate debt that was outstanding during the three months ended March 31, 2025 was approximately 4.6%, based upon rates in effect during such period. The fair value of our interest rate derivatives was a net asset of $25 million as of March 31, 2025. A 10% increase in the forward SOFR curve as of March 31, 2025 would have resulted in an increase of $19 million to the fair value of our interest rate derivatives. A 10% decrease in the forward SOFR curve as of March 31, 2025 would have resulted in a decrease of $19 million to the fair value of our interest rate derivatives. See Note 7 to our Condensed Consolidated Financial Statements for a discussion of our interest rate risk hedging activities.</w:t>
      </w:r>
    </w:p>
    <w:p>
      <w:pPr>
        <w:spacing w:after="0" w:line="21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PAA’s Series B preferred units accumulate and are payable quarterly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May, August and November. Distributions on PAA’s Series B preferred units accumulate based on the applicable three-month SOFR, plus certain adjustments. Based upon the Series B preferred units outstanding at March 31, 2025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2024 Annual Report on Form 10-K for additional information regarding PAA’s Series B preferred unit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March 31, 2025,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to our Condensed Consolidated Financial Statements,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2025, none of our directors or officers (as defined in Rule 16a-1(f) of the Securities Exchange Act of 1934) adopted or terminated any Rule 10b5-1 trading arrangement or any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6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8" w:lineRule="exact"/>
        <w:rPr>
          <w:sz w:val="20"/>
          <w:szCs w:val="20"/>
          <w:color w:val="auto"/>
        </w:rPr>
      </w:pPr>
    </w:p>
    <w:p>
      <w:pPr>
        <w:ind w:left="1500" w:right="46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our Registration</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Second Amended and Restated Agreement of Limited Partnership of Plains GP Holdings, L.P. dated as of November 15, 2016</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(incorporated by reference to Exhibit 3.2 to our Current Report on Form 8-K filed November 21, 2016).</w:t>
        </w:r>
      </w:hyperlink>
    </w:p>
    <w:p>
      <w:pPr>
        <w:spacing w:after="0" w:line="118" w:lineRule="exact"/>
        <w:rPr>
          <w:sz w:val="20"/>
          <w:szCs w:val="20"/>
          <w:color w:val="auto"/>
        </w:rPr>
      </w:pPr>
    </w:p>
    <w:p>
      <w:pPr>
        <w:ind w:left="1500" w:right="3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Holdings, L.P. (incorporated by reference to Exhibit 3.1 to our Current Report on Form 8-K filed April 9, 2020).</w:t>
        </w:r>
      </w:hyperlink>
    </w:p>
    <w:p>
      <w:pPr>
        <w:spacing w:after="0" w:line="118" w:lineRule="exact"/>
        <w:rPr>
          <w:sz w:val="20"/>
          <w:szCs w:val="20"/>
          <w:color w:val="auto"/>
        </w:rPr>
      </w:pPr>
    </w:p>
    <w:p>
      <w:pPr>
        <w:ind w:left="1500" w:right="2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Certificate of Formation of PAA GP Holdings LLC (incorporated by reference to Exhibit 3.3 to our Registration Statement on</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6">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w:t>
        </w:r>
      </w:hyperlink>
    </w:p>
    <w:p>
      <w:pPr>
        <w:ind w:left="18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19, 2021 (incorporated by reference to Exhibit 3.11 to our Annual Report on Form 10-K for the year ended December 31, 2021).</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7">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860"/>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2017 (incorporated by reference to Exhibit 3.1 to PAA's Current Report on Form 8-K filed October 12, 2017).</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8">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86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500" w:right="3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AAP, L.P. (incorporated by reference to Exhibit 3.1 to our Current Report on Form 8-K filed October 2, 2018).</w:t>
        </w:r>
      </w:hyperlink>
    </w:p>
    <w:p>
      <w:pPr>
        <w:spacing w:after="0" w:line="106" w:lineRule="exact"/>
        <w:rPr>
          <w:sz w:val="20"/>
          <w:szCs w:val="20"/>
          <w:color w:val="auto"/>
        </w:rPr>
      </w:pPr>
    </w:p>
    <w:p>
      <w:pPr>
        <w:ind w:left="50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1">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8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500" w:right="160" w:hanging="1352"/>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500" w:right="180" w:hanging="1356"/>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PAA’s Current Report on Form 8-K filed January 4, 2008).</w:t>
        </w:r>
      </w:hyperlink>
    </w:p>
    <w:p>
      <w:pPr>
        <w:spacing w:after="0" w:line="118" w:lineRule="exact"/>
        <w:rPr>
          <w:sz w:val="20"/>
          <w:szCs w:val="20"/>
          <w:color w:val="auto"/>
        </w:rPr>
      </w:pPr>
    </w:p>
    <w:p>
      <w:pPr>
        <w:ind w:left="1500" w:right="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National Association, as trustee (incorporated by reference to Exhibit 4.1 to PAA’s Quarterly Report on Form 10-Q for the</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quarter ended September 30, 2002).</w:t>
        </w:r>
      </w:hyperlink>
    </w:p>
    <w:p>
      <w:pPr>
        <w:spacing w:after="0" w:line="111" w:lineRule="exact"/>
        <w:rPr>
          <w:sz w:val="20"/>
          <w:szCs w:val="20"/>
          <w:color w:val="auto"/>
        </w:rPr>
      </w:pPr>
    </w:p>
    <w:p>
      <w:pPr>
        <w:ind w:left="1500" w:right="44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Association, as trustee (incorporated by reference to Exhibit 4.1 to PAA’s Current Report on Form 8-K filed May 12, 2006).</w:t>
        </w:r>
      </w:hyperlink>
    </w:p>
    <w:p>
      <w:pPr>
        <w:spacing w:after="0" w:line="111" w:lineRule="exact"/>
        <w:rPr>
          <w:sz w:val="20"/>
          <w:szCs w:val="20"/>
          <w:color w:val="auto"/>
        </w:rPr>
      </w:pPr>
    </w:p>
    <w:p>
      <w:pPr>
        <w:ind w:left="1500" w:right="8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73"/>
        </w:trPr>
        <w:tc>
          <w:tcPr>
            <w:tcW w:w="12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FF"/>
                </w:rPr>
                <w:t>Twenty-First Supplemental Indenture (5.15% Senior Notes due 2042) dated March 22, 2012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gridSpan w:val="32"/>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Pipeline, L.P., PAA Finance Corp and U.S. Bank National Association, as trustee (incorporated by reference to Exhibit 4.3 to</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PAA’s Current Report on Form 8-K filed March 26,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0000FF"/>
                </w:rPr>
                <w:t>Twenty-Third Supplemental Indenture (4.30% Senior Notes due 2043) dated December 10, 2012, by and among Plains All</w:t>
              </w:r>
            </w:hyperlink>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American Pipeline, L.P., PAA Finance Corp. and U.S. Bank National Association, as trustee (incorporated by reference to</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Exhibit 4.3 to PAA’s Current Report on Form 8-K filed December 12, 2012).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0000FF"/>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gridSpan w:val="32"/>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Pipeline, L.P., PAA Finance Corp. and U.S. Bank National Association, as trustee (incorporated by reference to Exhibit 4.1 to our</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Current Report on Form 8-K filed April 29, 2014).</w:t>
              </w:r>
            </w:hyperlink>
          </w:p>
        </w:tc>
        <w:tc>
          <w:tcPr>
            <w:tcW w:w="5660" w:type="dxa"/>
            <w:vAlign w:val="bottom"/>
            <w:tcBorders>
              <w:top w:val="single" w:sz="8" w:color="0000FF"/>
            </w:tcBorders>
            <w:gridSpan w:val="29"/>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0000FF"/>
                </w:rPr>
                <w:t>Twenty-Eighth Supplemental Indenture (4.90% Senior Notes due 2045) dated December 9, 2014, by and among Plains All</w:t>
              </w:r>
            </w:hyperlink>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American Pipeline, L.P., PAA Finance Corp., and U.S. Bank National Association, as trustee (incorporated by reference to</w:t>
              </w:r>
            </w:hyperlink>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Exhibit 4.3 to our Current Report on Form 8-K filed December 11, 2014).</w:t>
              </w:r>
            </w:hyperlink>
          </w:p>
        </w:tc>
        <w:tc>
          <w:tcPr>
            <w:tcW w:w="3500" w:type="dxa"/>
            <w:vAlign w:val="bottom"/>
            <w:tcBorders>
              <w:top w:val="single" w:sz="8" w:color="0000FF"/>
            </w:tcBorders>
            <w:gridSpan w:val="9"/>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0000FF"/>
                </w:rPr>
                <w:t>Twenty-Ninth Supplemental Indenture (4.65% Senior Notes due 2025) dated August 24, 2015, by and among Plains All</w:t>
              </w:r>
            </w:hyperlink>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American Pipeline, L.P., PAA Finance Corp., and U.S. Bank National Association, as trustee (incorporated by reference</w:t>
              </w:r>
            </w:hyperlink>
          </w:p>
        </w:tc>
        <w:tc>
          <w:tcPr>
            <w:tcW w:w="700" w:type="dxa"/>
            <w:vAlign w:val="bottom"/>
            <w:gridSpan w:val="18"/>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to</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Exhibit 4.1 to PAA’s Current Report on Form 8-K filed August 26, 2015).</w:t>
              </w:r>
            </w:hyperlink>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Pipeline, L.P., PAA Finance Corp., and U.S. Bank National Association, as trustee (incorporated by reference to Exhibit 4.1 to</w:t>
              </w:r>
            </w:hyperlink>
          </w:p>
        </w:tc>
        <w:tc>
          <w:tcPr>
            <w:tcW w:w="12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PAA’s Current Report on Form 8-K filed November 29, 2016).</w:t>
              </w:r>
            </w:hyperlink>
          </w:p>
        </w:tc>
        <w:tc>
          <w:tcPr>
            <w:tcW w:w="460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gridSpan w:val="32"/>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American Pipeline, L.P., PAA Finance Corp. and U.S. Bank National Association, as trustee (incorporated by reference to</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Exhibit 4.1 to PAA’s Current Report on Form 8-K filed September 17, 2019).</w:t>
              </w:r>
            </w:hyperlink>
          </w:p>
        </w:tc>
        <w:tc>
          <w:tcPr>
            <w:tcW w:w="3220" w:type="dxa"/>
            <w:vAlign w:val="bottom"/>
            <w:tcBorders>
              <w:top w:val="single" w:sz="8" w:color="0000FF"/>
            </w:tcBorders>
            <w:gridSpan w:val="6"/>
          </w:tcPr>
          <w:p>
            <w:pPr>
              <w:spacing w:after="0"/>
              <w:rPr>
                <w:sz w:val="14"/>
                <w:szCs w:val="14"/>
                <w:color w:val="auto"/>
              </w:rPr>
            </w:pPr>
          </w:p>
        </w:tc>
        <w:tc>
          <w:tcPr>
            <w:tcW w:w="2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Pipeline, L.P., PAA Finance Corp. and U.S. Bank National Association, as trustee (incorporated by reference to Exhibit 4.1 to</w:t>
              </w:r>
            </w:hyperlink>
          </w:p>
        </w:tc>
        <w:tc>
          <w:tcPr>
            <w:tcW w:w="140" w:type="dxa"/>
            <w:vAlign w:val="bottom"/>
            <w:gridSpan w:val="3"/>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PAA’s Current Report on Form 8-K filed June 11,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0000FF"/>
                </w:rPr>
                <w:t>Thirty-Third Supplemental Indenture (5.70% Senior Notes due 2034) dated June 27, 2024, by and among Plains All American</w:t>
              </w:r>
            </w:hyperlink>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Pipeline, L.P., PAA Finance Corp. and U.S. Bank Trust Company, National Association, as trustee (incorporated by reference</w:t>
              </w:r>
            </w:hyperlink>
          </w:p>
        </w:tc>
        <w:tc>
          <w:tcPr>
            <w:tcW w:w="240" w:type="dxa"/>
            <w:vAlign w:val="bottom"/>
            <w:gridSpan w:val="5"/>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to</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Exhibit 4.1 to PAA’s Current Report on Form 8-K filed June 27, 2024)</w:t>
              </w:r>
            </w:hyperlink>
          </w:p>
        </w:tc>
        <w:tc>
          <w:tcPr>
            <w:tcW w:w="160" w:type="dxa"/>
            <w:vAlign w:val="bottom"/>
            <w:gridSpan w:val="4"/>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FF"/>
                </w:rPr>
                <w:t>Thirty-Fourth Supplemental Indenture (5.950% Senior Notes due 2035) dated January 15, 2025, by and among Plains All</w:t>
              </w:r>
            </w:hyperlink>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American Pipeline, L.P., PAA Finance Corp. and U.S. Bank Trust Company, National Association, as trustee (incorporated</w:t>
              </w:r>
            </w:hyperlink>
          </w:p>
        </w:tc>
        <w:tc>
          <w:tcPr>
            <w:tcW w:w="620" w:type="dxa"/>
            <w:vAlign w:val="bottom"/>
            <w:gridSpan w:val="16"/>
          </w:tcPr>
          <w:p>
            <w:pPr>
              <w:ind w:left="120"/>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by</w:t>
              </w:r>
            </w:hyperlink>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reference to Exhibit 4.1 to PAA’s Current Report on Form 8-K filed January 15, 2025).</w:t>
              </w:r>
            </w:hyperlink>
          </w:p>
        </w:tc>
        <w:tc>
          <w:tcPr>
            <w:tcW w:w="27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3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0000FF"/>
                </w:rPr>
                <w:t>Shareholder and Registration Rights Agreement dated October 21, 2013 by and among Plains GP Holdings, L.P. and the other</w:t>
              </w:r>
            </w:hyperlink>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3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9860" w:type="dxa"/>
            <w:vAlign w:val="bottom"/>
            <w:gridSpan w:val="33"/>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0000FF"/>
                </w:rPr>
                <w:t>Description of Our Securities (incorporated by reference to Exhibit 4.15 to our Annual Report on Form 10-K for the year ended</w:t>
              </w:r>
            </w:hyperlink>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December 31, 2024).</w:t>
              </w:r>
            </w:hyperlink>
          </w:p>
        </w:tc>
        <w:tc>
          <w:tcPr>
            <w:tcW w:w="160" w:type="dxa"/>
            <w:vAlign w:val="bottom"/>
            <w:gridSpan w:val="4"/>
          </w:tcPr>
          <w:p>
            <w:pPr>
              <w:spacing w:after="0"/>
              <w:rPr>
                <w:sz w:val="13"/>
                <w:szCs w:val="13"/>
                <w:color w:val="auto"/>
              </w:rPr>
            </w:pP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100" w:type="dxa"/>
            <w:vAlign w:val="bottom"/>
            <w:gridSpan w:val="19"/>
          </w:tcPr>
          <w:p>
            <w:pPr>
              <w:spacing w:after="0" w:line="20" w:lineRule="exact"/>
              <w:rPr>
                <w:sz w:val="1"/>
                <w:szCs w:val="1"/>
                <w:color w:val="auto"/>
              </w:rPr>
            </w:pPr>
          </w:p>
        </w:tc>
      </w:tr>
      <w:tr>
        <w:trPr>
          <w:trHeight w:val="331"/>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31.1 †</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40" w:type="dxa"/>
            <w:vAlign w:val="bottom"/>
            <w:gridSpan w:val="7"/>
            <w:shd w:val="clear" w:color="auto" w:fill="0000FF"/>
          </w:tcPr>
          <w:p>
            <w:pPr>
              <w:spacing w:after="0" w:line="20" w:lineRule="exact"/>
              <w:rPr>
                <w:sz w:val="1"/>
                <w:szCs w:val="1"/>
                <w:color w:val="auto"/>
              </w:rPr>
            </w:pPr>
          </w:p>
        </w:tc>
        <w:tc>
          <w:tcPr>
            <w:tcW w:w="2140" w:type="dxa"/>
            <w:vAlign w:val="bottom"/>
            <w:tcBorders>
              <w:left w:val="single" w:sz="8" w:color="0000FF"/>
            </w:tcBorders>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19"/>
          </w:tcPr>
          <w:p>
            <w:pPr>
              <w:spacing w:after="0" w:line="20" w:lineRule="exact"/>
              <w:rPr>
                <w:sz w:val="1"/>
                <w:szCs w:val="1"/>
                <w:color w:val="auto"/>
              </w:rPr>
            </w:pPr>
          </w:p>
        </w:tc>
      </w:tr>
      <w:tr>
        <w:trPr>
          <w:trHeight w:val="318"/>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31.2 †</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40" w:type="dxa"/>
            <w:vAlign w:val="bottom"/>
            <w:gridSpan w:val="7"/>
            <w:shd w:val="clear" w:color="auto" w:fill="0000FF"/>
          </w:tcPr>
          <w:p>
            <w:pPr>
              <w:spacing w:after="0" w:line="20" w:lineRule="exact"/>
              <w:rPr>
                <w:sz w:val="1"/>
                <w:szCs w:val="1"/>
                <w:color w:val="auto"/>
              </w:rPr>
            </w:pPr>
          </w:p>
        </w:tc>
        <w:tc>
          <w:tcPr>
            <w:tcW w:w="2140" w:type="dxa"/>
            <w:vAlign w:val="bottom"/>
            <w:tcBorders>
              <w:left w:val="single" w:sz="8" w:color="0000FF"/>
            </w:tcBorders>
            <w:gridSpan w:val="6"/>
            <w:shd w:val="clear" w:color="auto" w:fill="0000FF"/>
          </w:tcPr>
          <w:p>
            <w:pPr>
              <w:spacing w:after="0" w:line="20" w:lineRule="exact"/>
              <w:rPr>
                <w:sz w:val="1"/>
                <w:szCs w:val="1"/>
                <w:color w:val="auto"/>
              </w:rPr>
            </w:pPr>
          </w:p>
        </w:tc>
        <w:tc>
          <w:tcPr>
            <w:tcW w:w="2100" w:type="dxa"/>
            <w:vAlign w:val="bottom"/>
            <w:gridSpan w:val="19"/>
          </w:tcPr>
          <w:p>
            <w:pPr>
              <w:spacing w:after="0" w:line="20" w:lineRule="exact"/>
              <w:rPr>
                <w:sz w:val="1"/>
                <w:szCs w:val="1"/>
                <w:color w:val="auto"/>
              </w:rPr>
            </w:pPr>
          </w:p>
        </w:tc>
      </w:tr>
      <w:tr>
        <w:trPr>
          <w:trHeight w:val="318"/>
        </w:trPr>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32.1 ††</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40" w:type="dxa"/>
            <w:vAlign w:val="bottom"/>
            <w:gridSpan w:val="7"/>
            <w:shd w:val="clear" w:color="auto" w:fill="0000FF"/>
          </w:tcPr>
          <w:p>
            <w:pPr>
              <w:spacing w:after="0" w:line="20" w:lineRule="exact"/>
              <w:rPr>
                <w:sz w:val="1"/>
                <w:szCs w:val="1"/>
                <w:color w:val="auto"/>
              </w:rPr>
            </w:pPr>
          </w:p>
        </w:tc>
        <w:tc>
          <w:tcPr>
            <w:tcW w:w="4240" w:type="dxa"/>
            <w:vAlign w:val="bottom"/>
            <w:tcBorders>
              <w:left w:val="single" w:sz="8" w:color="0000FF"/>
            </w:tcBorders>
            <w:gridSpan w:val="25"/>
          </w:tcPr>
          <w:p>
            <w:pPr>
              <w:spacing w:after="0" w:line="20" w:lineRule="exact"/>
              <w:rPr>
                <w:sz w:val="1"/>
                <w:szCs w:val="1"/>
                <w:color w:val="auto"/>
              </w:rPr>
            </w:pPr>
          </w:p>
        </w:tc>
      </w:tr>
      <w:tr>
        <w:trPr>
          <w:trHeight w:val="318"/>
        </w:trPr>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32.2 ††</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40" w:type="dxa"/>
            <w:vAlign w:val="bottom"/>
            <w:gridSpan w:val="7"/>
            <w:shd w:val="clear" w:color="auto" w:fill="0000FF"/>
          </w:tcPr>
          <w:p>
            <w:pPr>
              <w:spacing w:after="0" w:line="20" w:lineRule="exact"/>
              <w:rPr>
                <w:sz w:val="1"/>
                <w:szCs w:val="1"/>
                <w:color w:val="auto"/>
              </w:rPr>
            </w:pPr>
          </w:p>
        </w:tc>
        <w:tc>
          <w:tcPr>
            <w:tcW w:w="4240" w:type="dxa"/>
            <w:vAlign w:val="bottom"/>
            <w:gridSpan w:val="25"/>
          </w:tcPr>
          <w:p>
            <w:pPr>
              <w:spacing w:after="0" w:line="20" w:lineRule="exact"/>
              <w:rPr>
                <w:sz w:val="1"/>
                <w:szCs w:val="1"/>
                <w:color w:val="auto"/>
              </w:rPr>
            </w:pPr>
          </w:p>
        </w:tc>
      </w:tr>
      <w:tr>
        <w:trPr>
          <w:trHeight w:val="304"/>
        </w:trPr>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33"/>
          </w:tcPr>
          <w:p>
            <w:pPr>
              <w:ind w:left="12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913"/>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4"/>
          </w:tcPr>
          <w:p>
            <w:pPr>
              <w:ind w:left="416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2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24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7"/>
        </w:trPr>
        <w:tc>
          <w:tcPr>
            <w:tcW w:w="240" w:type="dxa"/>
            <w:vAlign w:val="bottom"/>
          </w:tcPr>
          <w:p>
            <w:pPr>
              <w:spacing w:after="0"/>
              <w:rPr>
                <w:sz w:val="24"/>
                <w:szCs w:val="2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r>
        <w:trPr>
          <w:trHeight w:val="176"/>
        </w:trPr>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34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c>
          <w:tcPr>
            <w:tcW w:w="24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6"/>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Chairman of the Board and Chief Executive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21" w:right="3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2025</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7"/>
    </w:lvl>
  </w:abstractNum>
  <w:abstractNum w:abstractNumId="16">
    <w:nsid w:val="8138641"/>
    <w:multiLevelType w:val="hybridMultilevel"/>
    <w:lvl w:ilvl="0">
      <w:lvlJc w:val="left"/>
      <w:lvlText w:val="(%1)"/>
      <w:numFmt w:val="decimal"/>
      <w:start w:val="12"/>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Roman"/>
      <w:start w:val="5"/>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7"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82" Type="http://schemas.openxmlformats.org/officeDocument/2006/relationships/hyperlink" Target="https://www.sec.gov/Archives/edgar/data/1581990/000104746913007875/a2216069zex-3_1.htm" TargetMode="External"/><Relationship Id="rId83" Type="http://schemas.openxmlformats.org/officeDocument/2006/relationships/hyperlink" Target="https://www.sec.gov/Archives/edgar/data/1581990/000110465916158356/a16-21845_1ex3d2.htm" TargetMode="External"/><Relationship Id="rId84" Type="http://schemas.openxmlformats.org/officeDocument/2006/relationships/hyperlink" Target="https://www.sec.gov/Archives/edgar/data/1581990/000158199020000012/exhibit31.htm" TargetMode="External"/><Relationship Id="rId85" Type="http://schemas.openxmlformats.org/officeDocument/2006/relationships/hyperlink" Target="https://www.sec.gov/Archives/edgar/data/1581990/000104746913007875/a2216069zex-3_3.htm" TargetMode="External"/><Relationship Id="rId86" Type="http://schemas.openxmlformats.org/officeDocument/2006/relationships/hyperlink" Target="https://www.sec.gov/Archives/edgar/data/1581990/000158199022000006/pagp202110-kexhibit311a.htm" TargetMode="External"/><Relationship Id="rId87" Type="http://schemas.openxmlformats.org/officeDocument/2006/relationships/hyperlink" Target="https://www.sec.gov/Archives/edgar/data/1070423/000110465917061889/a17-22685_5ex3d1.htm" TargetMode="External"/><Relationship Id="rId88" Type="http://schemas.openxmlformats.org/officeDocument/2006/relationships/hyperlink" Target="https://www.sec.gov/Archives/edgar/data/1581990/000110465916158356/a16-21845_1ex3d3.htm" TargetMode="External"/><Relationship Id="rId89" Type="http://schemas.openxmlformats.org/officeDocument/2006/relationships/hyperlink" Target="https://www.sec.gov/Archives/edgar/data/1581990/000110465916158356/a16-21845_1ex3d4.htm" TargetMode="External"/><Relationship Id="rId90" Type="http://schemas.openxmlformats.org/officeDocument/2006/relationships/hyperlink" Target="https://www.sec.gov/Archives/edgar/data/1581990/000110465918060012/a18-36197_1ex3d1.htm" TargetMode="External"/><Relationship Id="rId91" Type="http://schemas.openxmlformats.org/officeDocument/2006/relationships/hyperlink" Target="https://www.sec.gov/Archives/edgar/data/1581990/000110465919032813/a19-10857_1ex3d1.htm" TargetMode="External"/><Relationship Id="rId92" Type="http://schemas.openxmlformats.org/officeDocument/2006/relationships/hyperlink" Target="https://www.sec.gov/Archives/edgar/data/1581990/000110465923093996/tm2324102d2_ex3-1.htm" TargetMode="External"/><Relationship Id="rId93" Type="http://schemas.openxmlformats.org/officeDocument/2006/relationships/hyperlink" Target="https://www.sec.gov/Archives/edgar/data/1070423/000095012908000071/h52770exv3w3.htm" TargetMode="External"/><Relationship Id="rId94" Type="http://schemas.openxmlformats.org/officeDocument/2006/relationships/hyperlink" Target="https://www.sec.gov/Archives/edgar/data/1070423/000089924302002834/dex41.txt" TargetMode="External"/><Relationship Id="rId95" Type="http://schemas.openxmlformats.org/officeDocument/2006/relationships/hyperlink" Target="https://www.sec.gov/Archives/edgar/data/1070423/000110465906034368/a06-11663_1ex4d1.htm" TargetMode="External"/><Relationship Id="rId96" Type="http://schemas.openxmlformats.org/officeDocument/2006/relationships/hyperlink" Target="https://www.sec.gov/Archives/edgar/data/1070423/000095012906009235/h40667exv4w2.htm" TargetMode="External"/><Relationship Id="rId98" Type="http://schemas.openxmlformats.org/officeDocument/2006/relationships/hyperlink" Target="https://www.sec.gov/Archives/edgar/data/1070423/000119312512132295/d321017dex43.htm" TargetMode="External"/><Relationship Id="rId99" Type="http://schemas.openxmlformats.org/officeDocument/2006/relationships/hyperlink" Target="https://www.sec.gov/Archives/edgar/data/1070423/000119312512499932/d453762dex43.htm" TargetMode="External"/><Relationship Id="rId100" Type="http://schemas.openxmlformats.org/officeDocument/2006/relationships/hyperlink" Target="https://www.sec.gov/Archives/edgar/data/1581990/000119312514164185/d717953dex41.htm" TargetMode="External"/><Relationship Id="rId101" Type="http://schemas.openxmlformats.org/officeDocument/2006/relationships/hyperlink" Target="https://www.sec.gov/Archives/edgar/data/1581990/000119312514440012/d835488dex43.htm" TargetMode="External"/><Relationship Id="rId102" Type="http://schemas.openxmlformats.org/officeDocument/2006/relationships/hyperlink" Target="https://www.sec.gov/Archives/edgar/data/1070423/000119312515302829/d45393dex41.htm" TargetMode="External"/><Relationship Id="rId103" Type="http://schemas.openxmlformats.org/officeDocument/2006/relationships/hyperlink" Target="https://www.sec.gov/Archives/edgar/data/1070423/000110465916159593/a16-22232_1ex4d1.htm" TargetMode="External"/><Relationship Id="rId104" Type="http://schemas.openxmlformats.org/officeDocument/2006/relationships/hyperlink" Target="https://www.sec.gov/Archives/edgar/data/1070423/000141057819001281/tv529555_ex4-1.htm" TargetMode="External"/><Relationship Id="rId105" Type="http://schemas.openxmlformats.org/officeDocument/2006/relationships/hyperlink" Target="https://www.sec.gov/Archives/edgar/data/1070423/000110465920072270/tm2022235d1_ex4-1.htm" TargetMode="External"/><Relationship Id="rId106" Type="http://schemas.openxmlformats.org/officeDocument/2006/relationships/hyperlink" Target="https://www.sec.gov/Archives/edgar/data/1070423/000110465924075672/tm2418387d1_ex4-1.htm" TargetMode="External"/><Relationship Id="rId107" Type="http://schemas.openxmlformats.org/officeDocument/2006/relationships/hyperlink" Target="https://www.sec.gov/Archives/edgar/data/1070423/000110465925003785/tm253436d1_ex4-1.htm" TargetMode="External"/><Relationship Id="rId108" Type="http://schemas.openxmlformats.org/officeDocument/2006/relationships/hyperlink" Target="https://www.sec.gov/Archives/edgar/data/1581990/000110465913078057/a13-22338_2ex4d1.htm" TargetMode="External"/><Relationship Id="rId109" Type="http://schemas.openxmlformats.org/officeDocument/2006/relationships/hyperlink" Target="https://www.sec.gov/Archives/edgar/data/1581990/000158199025000006/pagp202410-kexhibit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2025-05-09T15:16:24Z</dcterms:created>
  <dcterms:modified xsi:type="dcterms:W3CDTF">2025-05-09T15:16:24Z</dcterms:modified>
</cp:coreProperties>
</file>