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503555</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460375</wp:posOffset>
            </wp:positionV>
            <wp:extent cx="6772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27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47" w:lineRule="exact"/>
        <w:rPr>
          <w:sz w:val="24"/>
          <w:szCs w:val="24"/>
          <w:color w:val="auto"/>
        </w:rPr>
      </w:pPr>
    </w:p>
    <w:p>
      <w:pPr>
        <w:ind w:left="3880" w:right="1560" w:hanging="3872"/>
        <w:spacing w:after="0" w:line="402" w:lineRule="auto"/>
        <w:tabs>
          <w:tab w:leader="none" w:pos="462"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2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233" w:right="399" w:bottom="1440" w:gutter="0" w:footer="0" w:header="0"/>
        </w:sectPr>
      </w:pPr>
    </w:p>
    <w:p>
      <w:pPr>
        <w:spacing w:after="0" w:line="43" w:lineRule="exact"/>
        <w:rPr>
          <w:sz w:val="24"/>
          <w:szCs w:val="24"/>
          <w:color w:val="auto"/>
        </w:rPr>
      </w:pPr>
    </w:p>
    <w:p>
      <w:pPr>
        <w:ind w:left="22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95" w:lineRule="exact"/>
        <w:rPr>
          <w:sz w:val="24"/>
          <w:szCs w:val="24"/>
          <w:color w:val="auto"/>
        </w:rPr>
      </w:pPr>
    </w:p>
    <w:p>
      <w:pPr>
        <w:sectPr>
          <w:pgSz w:w="11900" w:h="16838" w:orient="portrait"/>
          <w:cols w:equalWidth="0" w:num="2">
            <w:col w:w="6960" w:space="720"/>
            <w:col w:w="3500"/>
          </w:cols>
          <w:pgMar w:left="320" w:top="233" w:right="399" w:bottom="1440" w:gutter="0" w:footer="0" w:header="0"/>
          <w:type w:val="continuous"/>
        </w:sectPr>
      </w:pPr>
    </w:p>
    <w:p>
      <w:pPr>
        <w:ind w:left="64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220" w:space="720"/>
            <w:col w:w="4240"/>
          </w:cols>
          <w:pgMar w:left="320" w:top="233" w:right="399" w:bottom="1440" w:gutter="0" w:footer="0" w:header="0"/>
          <w:type w:val="continuous"/>
        </w:sectPr>
      </w:pPr>
    </w:p>
    <w:p>
      <w:pPr>
        <w:spacing w:after="0" w:line="20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4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310" w:type="dxa"/>
        <w:tblCellMar>
          <w:top w:w="0" w:type="dxa"/>
          <w:left w:w="0" w:type="dxa"/>
          <w:bottom w:w="0" w:type="dxa"/>
          <w:right w:w="0" w:type="dxa"/>
        </w:tblCellMar>
      </w:tblPr>
      <w:tr>
        <w:trPr>
          <w:trHeight w:val="257"/>
        </w:trPr>
        <w:tc>
          <w:tcPr>
            <w:tcW w:w="35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r>
        <w:trPr>
          <w:trHeight w:val="237"/>
        </w:trPr>
        <w:tc>
          <w:tcPr>
            <w:tcW w:w="3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4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ind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ind w:right="120" w:firstLine="369"/>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9"/>
          <w:szCs w:val="19"/>
          <w:color w:val="auto"/>
        </w:rPr>
        <w:t>☒</w:t>
      </w:r>
      <w:r>
        <w:rPr>
          <w:rFonts w:ascii="Arial" w:cs="Arial" w:eastAsia="Arial" w:hAnsi="Arial"/>
          <w:sz w:val="16"/>
          <w:szCs w:val="16"/>
          <w:color w:val="auto"/>
        </w:rPr>
        <w:t xml:space="preserve"> Yes </w:t>
      </w: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ind w:right="140" w:firstLine="324"/>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1800" w:type="dxa"/>
        <w:tblCellMar>
          <w:top w:w="0" w:type="dxa"/>
          <w:left w:w="0" w:type="dxa"/>
          <w:bottom w:w="0" w:type="dxa"/>
          <w:right w:w="0" w:type="dxa"/>
        </w:tblCellMar>
      </w:tblPr>
      <w:tr>
        <w:trPr>
          <w:trHeight w:val="311"/>
        </w:trPr>
        <w:tc>
          <w:tcPr>
            <w:tcW w:w="3700" w:type="dxa"/>
            <w:vAlign w:val="bottom"/>
          </w:tcPr>
          <w:p>
            <w:pPr>
              <w:jc w:val="right"/>
              <w:ind w:right="1770"/>
              <w:spacing w:after="0" w:line="242" w:lineRule="exact"/>
              <w:rPr>
                <w:sz w:val="20"/>
                <w:szCs w:val="20"/>
                <w:color w:val="auto"/>
              </w:rPr>
            </w:pPr>
            <w:r>
              <w:rPr>
                <w:rFonts w:ascii="Arial" w:cs="Arial" w:eastAsia="Arial" w:hAnsi="Arial"/>
                <w:sz w:val="18"/>
                <w:szCs w:val="18"/>
                <w:color w:val="auto"/>
                <w:w w:val="89"/>
              </w:rPr>
              <w:t xml:space="preserve">Large accelerated filer </w:t>
            </w:r>
            <w:r>
              <w:rPr>
                <w:rFonts w:ascii="MS PGothic" w:cs="MS PGothic" w:eastAsia="MS PGothic" w:hAnsi="MS PGothic"/>
                <w:sz w:val="21"/>
                <w:szCs w:val="21"/>
                <w:color w:val="auto"/>
                <w:w w:val="89"/>
              </w:rPr>
              <w:t>☒</w:t>
            </w:r>
          </w:p>
        </w:tc>
        <w:tc>
          <w:tcPr>
            <w:tcW w:w="4040" w:type="dxa"/>
            <w:vAlign w:val="bottom"/>
          </w:tcPr>
          <w:p>
            <w:pPr>
              <w:jc w:val="right"/>
              <w:spacing w:after="0" w:line="242"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21"/>
                <w:szCs w:val="21"/>
                <w:color w:val="auto"/>
              </w:rPr>
              <w:t>☐</w:t>
            </w:r>
          </w:p>
        </w:tc>
      </w:tr>
      <w:tr>
        <w:trPr>
          <w:trHeight w:val="310"/>
        </w:trPr>
        <w:tc>
          <w:tcPr>
            <w:tcW w:w="3700" w:type="dxa"/>
            <w:vAlign w:val="bottom"/>
          </w:tcPr>
          <w:p>
            <w:pPr>
              <w:jc w:val="right"/>
              <w:ind w:right="1770"/>
              <w:spacing w:after="0" w:line="242" w:lineRule="exact"/>
              <w:rPr>
                <w:sz w:val="20"/>
                <w:szCs w:val="20"/>
                <w:color w:val="auto"/>
              </w:rPr>
            </w:pPr>
            <w:r>
              <w:rPr>
                <w:rFonts w:ascii="Arial" w:cs="Arial" w:eastAsia="Arial" w:hAnsi="Arial"/>
                <w:sz w:val="18"/>
                <w:szCs w:val="18"/>
                <w:color w:val="auto"/>
                <w:w w:val="94"/>
              </w:rPr>
              <w:t xml:space="preserve">Non-accelerated filer </w:t>
            </w:r>
            <w:r>
              <w:rPr>
                <w:rFonts w:ascii="MS PGothic" w:cs="MS PGothic" w:eastAsia="MS PGothic" w:hAnsi="MS PGothic"/>
                <w:sz w:val="21"/>
                <w:szCs w:val="21"/>
                <w:color w:val="auto"/>
                <w:w w:val="94"/>
              </w:rPr>
              <w:t>☐</w:t>
            </w:r>
          </w:p>
        </w:tc>
        <w:tc>
          <w:tcPr>
            <w:tcW w:w="4040" w:type="dxa"/>
            <w:vAlign w:val="bottom"/>
          </w:tcPr>
          <w:p>
            <w:pPr>
              <w:jc w:val="right"/>
              <w:spacing w:after="0" w:line="242"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21"/>
                <w:szCs w:val="21"/>
                <w:color w:val="auto"/>
              </w:rPr>
              <w:t>☐</w:t>
            </w:r>
          </w:p>
        </w:tc>
      </w:tr>
      <w:tr>
        <w:trPr>
          <w:trHeight w:val="338"/>
        </w:trPr>
        <w:tc>
          <w:tcPr>
            <w:tcW w:w="3700" w:type="dxa"/>
            <w:vAlign w:val="bottom"/>
          </w:tcPr>
          <w:p>
            <w:pPr>
              <w:spacing w:after="0"/>
              <w:rPr>
                <w:sz w:val="24"/>
                <w:szCs w:val="24"/>
                <w:color w:val="auto"/>
              </w:rPr>
            </w:pPr>
          </w:p>
        </w:tc>
        <w:tc>
          <w:tcPr>
            <w:tcW w:w="4040" w:type="dxa"/>
            <w:vAlign w:val="bottom"/>
          </w:tcPr>
          <w:p>
            <w:pPr>
              <w:jc w:val="right"/>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tc>
      </w:tr>
    </w:tbl>
    <w:p>
      <w:pPr>
        <w:spacing w:after="0" w:line="87" w:lineRule="exact"/>
        <w:rPr>
          <w:sz w:val="24"/>
          <w:szCs w:val="24"/>
          <w:color w:val="auto"/>
        </w:rPr>
      </w:pPr>
    </w:p>
    <w:p>
      <w:pPr>
        <w:ind w:right="100" w:firstLine="351"/>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7" w:lineRule="exact"/>
        <w:rPr>
          <w:sz w:val="24"/>
          <w:szCs w:val="24"/>
          <w:color w:val="auto"/>
        </w:rPr>
      </w:pPr>
    </w:p>
    <w:p>
      <w:pPr>
        <w:ind w:left="340" w:right="156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July 31, 2020, there were 184,260,178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797560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77470</wp:posOffset>
            </wp:positionV>
            <wp:extent cx="67722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52070</wp:posOffset>
            </wp:positionV>
            <wp:extent cx="6772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r>
      <w:tr>
        <w:trPr>
          <w:trHeight w:val="215"/>
        </w:trPr>
        <w:tc>
          <w:tcPr>
            <w:tcW w:w="10240" w:type="dxa"/>
            <w:vAlign w:val="bottom"/>
            <w:gridSpan w:val="13"/>
          </w:tcPr>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tc>
        <w:tc>
          <w:tcPr>
            <w:tcW w:w="980" w:type="dxa"/>
            <w:vAlign w:val="bottom"/>
          </w:tcPr>
          <w:p>
            <w:pPr>
              <w:spacing w:after="0"/>
              <w:rPr>
                <w:sz w:val="18"/>
                <w:szCs w:val="18"/>
                <w:color w:val="auto"/>
              </w:rPr>
            </w:pPr>
          </w:p>
        </w:tc>
      </w:tr>
      <w:tr>
        <w:trPr>
          <w:trHeight w:val="230"/>
        </w:trPr>
        <w:tc>
          <w:tcPr>
            <w:tcW w:w="10240" w:type="dxa"/>
            <w:vAlign w:val="bottom"/>
            <w:gridSpan w:val="1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UNAUDITED CONDENSED CONSOLIDATED FINANCIAL STATEMENTS:</w:t>
              </w:r>
            </w:hyperlink>
          </w:p>
        </w:tc>
        <w:tc>
          <w:tcPr>
            <w:tcW w:w="98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10120" w:type="dxa"/>
            <w:vAlign w:val="bottom"/>
            <w:gridSpan w:val="12"/>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 As of June 30, 2020 and December 31,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190"/>
        </w:trPr>
        <w:tc>
          <w:tcPr>
            <w:tcW w:w="120" w:type="dxa"/>
            <w:vAlign w:val="bottom"/>
          </w:tcPr>
          <w:p>
            <w:pPr>
              <w:spacing w:after="0"/>
              <w:rPr>
                <w:sz w:val="16"/>
                <w:szCs w:val="16"/>
                <w:color w:val="auto"/>
              </w:rPr>
            </w:pPr>
          </w:p>
        </w:tc>
        <w:tc>
          <w:tcPr>
            <w:tcW w:w="10120" w:type="dxa"/>
            <w:vAlign w:val="bottom"/>
            <w:gridSpan w:val="12"/>
          </w:tcPr>
          <w:p>
            <w:pPr>
              <w:spacing w:after="0" w:line="190" w:lineRule="exact"/>
              <w:rPr>
                <w:rFonts w:ascii="Arial" w:cs="Arial" w:eastAsia="Arial" w:hAnsi="Arial"/>
                <w:sz w:val="18"/>
                <w:szCs w:val="18"/>
                <w:color w:val="0000FF"/>
              </w:rPr>
            </w:pPr>
            <w:hyperlink w:anchor="page3">
              <w:r>
                <w:rPr>
                  <w:rFonts w:ascii="Arial" w:cs="Arial" w:eastAsia="Arial" w:hAnsi="Arial"/>
                  <w:sz w:val="18"/>
                  <w:szCs w:val="18"/>
                  <w:u w:val="single" w:color="auto"/>
                  <w:color w:val="0000FF"/>
                </w:rPr>
                <w:t>Condensed Consolidated Statements of Operations: For the three</w:t>
              </w:r>
              <w:r>
                <w:rPr>
                  <w:rFonts w:ascii="Arial" w:cs="Arial" w:eastAsia="Arial" w:hAnsi="Arial"/>
                  <w:sz w:val="18"/>
                  <w:szCs w:val="18"/>
                  <w:color w:val="0000FF"/>
                </w:rPr>
                <w:t xml:space="preserve"> and six months ended June </w:t>
              </w:r>
            </w:hyperlink>
            <w:r>
              <w:rPr>
                <w:rFonts w:ascii="Arial" w:cs="Arial" w:eastAsia="Arial" w:hAnsi="Arial"/>
                <w:sz w:val="18"/>
                <w:szCs w:val="18"/>
                <w:color w:val="0000FF"/>
              </w:rPr>
              <w:t xml:space="preserve">30, </w:t>
            </w:r>
            <w:hyperlink w:anchor="page3">
              <w:r>
                <w:rPr>
                  <w:rFonts w:ascii="Arial" w:cs="Arial" w:eastAsia="Arial" w:hAnsi="Arial"/>
                  <w:sz w:val="18"/>
                  <w:szCs w:val="18"/>
                  <w:u w:val="single" w:color="auto"/>
                  <w:color w:val="0000FF"/>
                </w:rPr>
                <w:t>2020 and 2019</w:t>
              </w:r>
            </w:hyperlink>
          </w:p>
        </w:tc>
        <w:tc>
          <w:tcPr>
            <w:tcW w:w="980" w:type="dxa"/>
            <w:vAlign w:val="bottom"/>
          </w:tcPr>
          <w:p>
            <w:pPr>
              <w:jc w:val="right"/>
              <w:spacing w:after="0" w:line="190"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r>
      <w:tr>
        <w:trPr>
          <w:trHeight w:val="20"/>
        </w:trPr>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120" w:type="dxa"/>
            <w:vAlign w:val="bottom"/>
            <w:gridSpan w:val="12"/>
          </w:tcPr>
          <w:p>
            <w:pPr>
              <w:spacing w:after="0"/>
              <w:rPr>
                <w:rFonts w:ascii="Arial" w:cs="Arial" w:eastAsia="Arial" w:hAnsi="Arial"/>
                <w:sz w:val="18"/>
                <w:szCs w:val="18"/>
                <w:color w:val="0000FF"/>
                <w:w w:val="95"/>
              </w:rPr>
            </w:pPr>
            <w:hyperlink w:anchor="page4">
              <w:r>
                <w:rPr>
                  <w:rFonts w:ascii="Arial" w:cs="Arial" w:eastAsia="Arial" w:hAnsi="Arial"/>
                  <w:sz w:val="18"/>
                  <w:szCs w:val="18"/>
                  <w:u w:val="single" w:color="auto"/>
                  <w:color w:val="0000FF"/>
                  <w:w w:val="95"/>
                </w:rPr>
                <w:t>Condensed Consolidated Statements of Comprehensive Income/(Loss): For the three</w:t>
              </w:r>
              <w:r>
                <w:rPr>
                  <w:rFonts w:ascii="Arial" w:cs="Arial" w:eastAsia="Arial" w:hAnsi="Arial"/>
                  <w:sz w:val="18"/>
                  <w:szCs w:val="18"/>
                  <w:color w:val="0000FF"/>
                  <w:w w:val="95"/>
                </w:rPr>
                <w:t xml:space="preserve"> and six months ended June </w:t>
              </w:r>
            </w:hyperlink>
            <w:r>
              <w:rPr>
                <w:rFonts w:ascii="Arial" w:cs="Arial" w:eastAsia="Arial" w:hAnsi="Arial"/>
                <w:sz w:val="18"/>
                <w:szCs w:val="18"/>
                <w:color w:val="0000FF"/>
                <w:w w:val="95"/>
              </w:rPr>
              <w:t xml:space="preserve">30, </w:t>
            </w:r>
            <w:hyperlink w:anchor="page4">
              <w:r>
                <w:rPr>
                  <w:rFonts w:ascii="Arial" w:cs="Arial" w:eastAsia="Arial" w:hAnsi="Arial"/>
                  <w:sz w:val="18"/>
                  <w:szCs w:val="18"/>
                  <w:u w:val="single" w:color="auto"/>
                  <w:color w:val="0000FF"/>
                  <w:w w:val="95"/>
                </w:rPr>
                <w:t>2020 and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0"/>
        </w:trPr>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120" w:type="dxa"/>
            <w:vAlign w:val="bottom"/>
            <w:gridSpan w:val="12"/>
          </w:tcPr>
          <w:p>
            <w:pPr>
              <w:spacing w:after="0"/>
              <w:rPr>
                <w:rFonts w:ascii="Arial" w:cs="Arial" w:eastAsia="Arial" w:hAnsi="Arial"/>
                <w:sz w:val="18"/>
                <w:szCs w:val="18"/>
                <w:color w:val="0000FF"/>
                <w:w w:val="90"/>
              </w:rPr>
            </w:pPr>
            <w:hyperlink w:anchor="page5">
              <w:r>
                <w:rPr>
                  <w:rFonts w:ascii="Arial" w:cs="Arial" w:eastAsia="Arial" w:hAnsi="Arial"/>
                  <w:sz w:val="18"/>
                  <w:szCs w:val="18"/>
                  <w:u w:val="single" w:color="auto"/>
                  <w:color w:val="0000FF"/>
                  <w:w w:val="90"/>
                </w:rPr>
                <w:t>Condensed Consolidated Statements of Changes in Accumulated Other Comprehensive Income/(Loss): For the six</w:t>
              </w:r>
              <w:r>
                <w:rPr>
                  <w:rFonts w:ascii="Arial" w:cs="Arial" w:eastAsia="Arial" w:hAnsi="Arial"/>
                  <w:sz w:val="18"/>
                  <w:szCs w:val="18"/>
                  <w:color w:val="0000FF"/>
                  <w:w w:val="90"/>
                </w:rPr>
                <w:t xml:space="preserve"> months ended June 30,</w:t>
              </w:r>
            </w:hyperlink>
          </w:p>
        </w:tc>
        <w:tc>
          <w:tcPr>
            <w:tcW w:w="980" w:type="dxa"/>
            <w:vAlign w:val="bottom"/>
          </w:tcPr>
          <w:p>
            <w:pPr>
              <w:spacing w:after="0"/>
              <w:rPr>
                <w:sz w:val="18"/>
                <w:szCs w:val="18"/>
                <w:color w:val="auto"/>
              </w:rPr>
            </w:pPr>
          </w:p>
        </w:tc>
      </w:tr>
      <w:tr>
        <w:trPr>
          <w:trHeight w:val="156"/>
        </w:trPr>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Borders>
              <w:bottom w:val="single" w:sz="8" w:color="0000FF"/>
            </w:tcBorders>
            <w:gridSpan w:val="2"/>
          </w:tcPr>
          <w:p>
            <w:pPr>
              <w:spacing w:after="0" w:line="156"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2020 and 2019</w:t>
              </w:r>
            </w:hyperlink>
          </w:p>
        </w:tc>
        <w:tc>
          <w:tcPr>
            <w:tcW w:w="7080" w:type="dxa"/>
            <w:vAlign w:val="bottom"/>
            <w:gridSpan w:val="7"/>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line="156"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09"/>
        </w:trPr>
        <w:tc>
          <w:tcPr>
            <w:tcW w:w="120" w:type="dxa"/>
            <w:vAlign w:val="bottom"/>
          </w:tcPr>
          <w:p>
            <w:pPr>
              <w:spacing w:after="0"/>
              <w:rPr>
                <w:sz w:val="18"/>
                <w:szCs w:val="18"/>
                <w:color w:val="auto"/>
              </w:rPr>
            </w:pPr>
          </w:p>
        </w:tc>
        <w:tc>
          <w:tcPr>
            <w:tcW w:w="10120" w:type="dxa"/>
            <w:vAlign w:val="bottom"/>
            <w:gridSpan w:val="1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Statements of Cash Flows: For the six months ended June </w:t>
              </w:r>
            </w:hyperlink>
            <w:r>
              <w:rPr>
                <w:rFonts w:ascii="Arial" w:cs="Arial" w:eastAsia="Arial" w:hAnsi="Arial"/>
                <w:sz w:val="18"/>
                <w:szCs w:val="18"/>
                <w:color w:val="0000FF"/>
              </w:rPr>
              <w:t>30</w:t>
            </w:r>
            <w:hyperlink w:anchor="page5">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 and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20"/>
        </w:trPr>
        <w:tc>
          <w:tcPr>
            <w:tcW w:w="120" w:type="dxa"/>
            <w:vAlign w:val="bottom"/>
          </w:tcPr>
          <w:p>
            <w:pPr>
              <w:spacing w:after="0" w:line="20" w:lineRule="exact"/>
              <w:rPr>
                <w:sz w:val="1"/>
                <w:szCs w:val="1"/>
                <w:color w:val="auto"/>
              </w:rPr>
            </w:pPr>
          </w:p>
        </w:tc>
        <w:tc>
          <w:tcPr>
            <w:tcW w:w="596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120" w:type="dxa"/>
            <w:vAlign w:val="bottom"/>
            <w:gridSpan w:val="12"/>
          </w:tcPr>
          <w:p>
            <w:pPr>
              <w:spacing w:after="0"/>
              <w:rPr>
                <w:rFonts w:ascii="Arial" w:cs="Arial" w:eastAsia="Arial" w:hAnsi="Arial"/>
                <w:sz w:val="18"/>
                <w:szCs w:val="18"/>
                <w:color w:val="0000FF"/>
                <w:w w:val="96"/>
              </w:rPr>
            </w:pPr>
            <w:hyperlink w:anchor="page6">
              <w:r>
                <w:rPr>
                  <w:rFonts w:ascii="Arial" w:cs="Arial" w:eastAsia="Arial" w:hAnsi="Arial"/>
                  <w:sz w:val="18"/>
                  <w:szCs w:val="18"/>
                  <w:u w:val="single" w:color="auto"/>
                  <w:color w:val="0000FF"/>
                  <w:w w:val="96"/>
                </w:rPr>
                <w:t>Condensed Consolidated Statements of Changes in Partners’ Capital: For the three</w:t>
              </w:r>
              <w:r>
                <w:rPr>
                  <w:rFonts w:ascii="Arial" w:cs="Arial" w:eastAsia="Arial" w:hAnsi="Arial"/>
                  <w:sz w:val="18"/>
                  <w:szCs w:val="18"/>
                  <w:color w:val="0000FF"/>
                  <w:w w:val="96"/>
                </w:rPr>
                <w:t xml:space="preserve"> and six months ended June </w:t>
              </w:r>
            </w:hyperlink>
            <w:r>
              <w:rPr>
                <w:rFonts w:ascii="Arial" w:cs="Arial" w:eastAsia="Arial" w:hAnsi="Arial"/>
                <w:sz w:val="18"/>
                <w:szCs w:val="18"/>
                <w:color w:val="0000FF"/>
                <w:w w:val="96"/>
              </w:rPr>
              <w:t xml:space="preserve">30, </w:t>
            </w:r>
            <w:hyperlink w:anchor="page6">
              <w:r>
                <w:rPr>
                  <w:rFonts w:ascii="Arial" w:cs="Arial" w:eastAsia="Arial" w:hAnsi="Arial"/>
                  <w:sz w:val="18"/>
                  <w:szCs w:val="18"/>
                  <w:u w:val="single" w:color="auto"/>
                  <w:color w:val="0000FF"/>
                  <w:w w:val="96"/>
                </w:rPr>
                <w:t>2020 and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249"/>
        </w:trPr>
        <w:tc>
          <w:tcPr>
            <w:tcW w:w="120" w:type="dxa"/>
            <w:vAlign w:val="bottom"/>
          </w:tcPr>
          <w:p>
            <w:pPr>
              <w:spacing w:after="0"/>
              <w:rPr>
                <w:sz w:val="21"/>
                <w:szCs w:val="21"/>
                <w:color w:val="auto"/>
              </w:rPr>
            </w:pPr>
          </w:p>
        </w:tc>
        <w:tc>
          <w:tcPr>
            <w:tcW w:w="5960" w:type="dxa"/>
            <w:vAlign w:val="bottom"/>
            <w:gridSpan w:val="5"/>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the Condensed Consolidated Financial Statements:</w:t>
              </w:r>
            </w:hyperlink>
          </w:p>
        </w:tc>
        <w:tc>
          <w:tcPr>
            <w:tcW w:w="2200" w:type="dxa"/>
            <w:vAlign w:val="bottom"/>
            <w:tcBorders>
              <w:top w:val="single" w:sz="8" w:color="0000FF"/>
            </w:tcBorders>
            <w:gridSpan w:val="4"/>
          </w:tcPr>
          <w:p>
            <w:pPr>
              <w:spacing w:after="0"/>
              <w:rPr>
                <w:sz w:val="21"/>
                <w:szCs w:val="21"/>
                <w:color w:val="auto"/>
              </w:rPr>
            </w:pPr>
          </w:p>
        </w:tc>
        <w:tc>
          <w:tcPr>
            <w:tcW w:w="1960" w:type="dxa"/>
            <w:vAlign w:val="bottom"/>
            <w:gridSpan w:val="3"/>
          </w:tcPr>
          <w:p>
            <w:pPr>
              <w:spacing w:after="0"/>
              <w:rPr>
                <w:sz w:val="21"/>
                <w:szCs w:val="21"/>
                <w:color w:val="auto"/>
              </w:rPr>
            </w:pPr>
          </w:p>
        </w:tc>
        <w:tc>
          <w:tcPr>
            <w:tcW w:w="980" w:type="dxa"/>
            <w:vAlign w:val="bottom"/>
          </w:tcPr>
          <w:p>
            <w:pPr>
              <w:spacing w:after="0"/>
              <w:rPr>
                <w:sz w:val="21"/>
                <w:szCs w:val="21"/>
                <w:color w:val="auto"/>
              </w:rPr>
            </w:pPr>
          </w:p>
        </w:tc>
      </w:tr>
      <w:tr>
        <w:trPr>
          <w:trHeight w:val="229"/>
        </w:trPr>
        <w:tc>
          <w:tcPr>
            <w:tcW w:w="480" w:type="dxa"/>
            <w:vAlign w:val="bottom"/>
            <w:gridSpan w:val="3"/>
          </w:tcPr>
          <w:p>
            <w:pPr>
              <w:ind w:left="340"/>
              <w:spacing w:after="0"/>
              <w:rPr>
                <w:rFonts w:ascii="Arial" w:cs="Arial" w:eastAsia="Arial" w:hAnsi="Arial"/>
                <w:sz w:val="18"/>
                <w:szCs w:val="18"/>
                <w:u w:val="single" w:color="auto"/>
                <w:color w:val="0000FF"/>
                <w:w w:val="79"/>
              </w:rPr>
            </w:pPr>
            <w:hyperlink w:anchor="page9">
              <w:r>
                <w:rPr>
                  <w:rFonts w:ascii="Arial" w:cs="Arial" w:eastAsia="Arial" w:hAnsi="Arial"/>
                  <w:sz w:val="18"/>
                  <w:szCs w:val="18"/>
                  <w:u w:val="single" w:color="auto"/>
                  <w:color w:val="0000FF"/>
                  <w:w w:val="79"/>
                </w:rPr>
                <w:t>1.</w:t>
              </w:r>
            </w:hyperlink>
          </w:p>
        </w:tc>
        <w:tc>
          <w:tcPr>
            <w:tcW w:w="9760" w:type="dxa"/>
            <w:vAlign w:val="bottom"/>
            <w:gridSpan w:val="10"/>
          </w:tcPr>
          <w:p>
            <w:pPr>
              <w:ind w:left="2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Organization and Basis of Consolidation and Presentation</w:t>
              </w:r>
            </w:hyperlink>
          </w:p>
        </w:tc>
        <w:tc>
          <w:tcPr>
            <w:tcW w:w="98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9</w:t>
              </w:r>
            </w:hyperlink>
          </w:p>
        </w:tc>
      </w:tr>
      <w:tr>
        <w:trPr>
          <w:trHeight w:val="230"/>
        </w:trPr>
        <w:tc>
          <w:tcPr>
            <w:tcW w:w="480" w:type="dxa"/>
            <w:vAlign w:val="bottom"/>
            <w:gridSpan w:val="3"/>
          </w:tcPr>
          <w:p>
            <w:pPr>
              <w:ind w:left="340"/>
              <w:spacing w:after="0"/>
              <w:rPr>
                <w:rFonts w:ascii="Arial" w:cs="Arial" w:eastAsia="Arial" w:hAnsi="Arial"/>
                <w:sz w:val="18"/>
                <w:szCs w:val="18"/>
                <w:u w:val="single" w:color="auto"/>
                <w:color w:val="0000FF"/>
                <w:w w:val="79"/>
              </w:rPr>
            </w:pPr>
            <w:hyperlink w:anchor="page11">
              <w:r>
                <w:rPr>
                  <w:rFonts w:ascii="Arial" w:cs="Arial" w:eastAsia="Arial" w:hAnsi="Arial"/>
                  <w:sz w:val="18"/>
                  <w:szCs w:val="18"/>
                  <w:u w:val="single" w:color="auto"/>
                  <w:color w:val="0000FF"/>
                  <w:w w:val="79"/>
                </w:rPr>
                <w:t>2.</w:t>
              </w:r>
            </w:hyperlink>
          </w:p>
        </w:tc>
        <w:tc>
          <w:tcPr>
            <w:tcW w:w="9760" w:type="dxa"/>
            <w:vAlign w:val="bottom"/>
            <w:gridSpan w:val="10"/>
          </w:tcPr>
          <w:p>
            <w:pPr>
              <w:ind w:left="2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Summary of Significant Accounting Policies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11</w:t>
              </w:r>
            </w:hyperlink>
          </w:p>
        </w:tc>
      </w:tr>
      <w:tr>
        <w:trPr>
          <w:trHeight w:val="229"/>
        </w:trPr>
        <w:tc>
          <w:tcPr>
            <w:tcW w:w="480" w:type="dxa"/>
            <w:vAlign w:val="bottom"/>
            <w:gridSpan w:val="3"/>
          </w:tcPr>
          <w:p>
            <w:pPr>
              <w:ind w:left="340"/>
              <w:spacing w:after="0"/>
              <w:rPr>
                <w:rFonts w:ascii="Arial" w:cs="Arial" w:eastAsia="Arial" w:hAnsi="Arial"/>
                <w:sz w:val="18"/>
                <w:szCs w:val="18"/>
                <w:u w:val="single" w:color="auto"/>
                <w:color w:val="0000FF"/>
                <w:w w:val="79"/>
              </w:rPr>
            </w:pPr>
            <w:hyperlink w:anchor="page12">
              <w:r>
                <w:rPr>
                  <w:rFonts w:ascii="Arial" w:cs="Arial" w:eastAsia="Arial" w:hAnsi="Arial"/>
                  <w:sz w:val="18"/>
                  <w:szCs w:val="18"/>
                  <w:u w:val="single" w:color="auto"/>
                  <w:color w:val="0000FF"/>
                  <w:w w:val="79"/>
                </w:rPr>
                <w:t>3.</w:t>
              </w:r>
            </w:hyperlink>
          </w:p>
        </w:tc>
        <w:tc>
          <w:tcPr>
            <w:tcW w:w="9760" w:type="dxa"/>
            <w:vAlign w:val="bottom"/>
            <w:gridSpan w:val="10"/>
          </w:tcPr>
          <w:p>
            <w:pPr>
              <w:ind w:left="2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Revenues and Accounts Receivable</w:t>
              </w:r>
            </w:hyperlink>
          </w:p>
        </w:tc>
        <w:tc>
          <w:tcPr>
            <w:tcW w:w="980" w:type="dxa"/>
            <w:vAlign w:val="bottom"/>
          </w:tcPr>
          <w:p>
            <w:pPr>
              <w:jc w:val="right"/>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12</w:t>
              </w:r>
            </w:hyperlink>
          </w:p>
        </w:tc>
      </w:tr>
      <w:tr>
        <w:trPr>
          <w:trHeight w:val="229"/>
        </w:trPr>
        <w:tc>
          <w:tcPr>
            <w:tcW w:w="480" w:type="dxa"/>
            <w:vAlign w:val="bottom"/>
            <w:gridSpan w:val="3"/>
          </w:tcPr>
          <w:p>
            <w:pPr>
              <w:ind w:left="340"/>
              <w:spacing w:after="0"/>
              <w:rPr>
                <w:rFonts w:ascii="Arial" w:cs="Arial" w:eastAsia="Arial" w:hAnsi="Arial"/>
                <w:sz w:val="18"/>
                <w:szCs w:val="18"/>
                <w:u w:val="single" w:color="auto"/>
                <w:color w:val="0000FF"/>
                <w:w w:val="79"/>
              </w:rPr>
            </w:pPr>
            <w:hyperlink w:anchor="page16">
              <w:r>
                <w:rPr>
                  <w:rFonts w:ascii="Arial" w:cs="Arial" w:eastAsia="Arial" w:hAnsi="Arial"/>
                  <w:sz w:val="18"/>
                  <w:szCs w:val="18"/>
                  <w:u w:val="single" w:color="auto"/>
                  <w:color w:val="0000FF"/>
                  <w:w w:val="79"/>
                </w:rPr>
                <w:t>4.</w:t>
              </w:r>
            </w:hyperlink>
          </w:p>
        </w:tc>
        <w:tc>
          <w:tcPr>
            <w:tcW w:w="9760" w:type="dxa"/>
            <w:vAlign w:val="bottom"/>
            <w:gridSpan w:val="10"/>
          </w:tcPr>
          <w:p>
            <w:pPr>
              <w:ind w:left="2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Net Income/(Loss) Per Class A Share</w:t>
              </w:r>
            </w:hyperlink>
          </w:p>
        </w:tc>
        <w:tc>
          <w:tcPr>
            <w:tcW w:w="980" w:type="dxa"/>
            <w:vAlign w:val="bottom"/>
          </w:tcPr>
          <w:p>
            <w:pPr>
              <w:jc w:val="right"/>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16</w:t>
              </w:r>
            </w:hyperlink>
          </w:p>
        </w:tc>
      </w:tr>
      <w:tr>
        <w:trPr>
          <w:trHeight w:val="230"/>
        </w:trPr>
        <w:tc>
          <w:tcPr>
            <w:tcW w:w="480" w:type="dxa"/>
            <w:vAlign w:val="bottom"/>
            <w:gridSpan w:val="3"/>
          </w:tcPr>
          <w:p>
            <w:pPr>
              <w:ind w:left="340"/>
              <w:spacing w:after="0"/>
              <w:rPr>
                <w:rFonts w:ascii="Arial" w:cs="Arial" w:eastAsia="Arial" w:hAnsi="Arial"/>
                <w:sz w:val="18"/>
                <w:szCs w:val="18"/>
                <w:u w:val="single" w:color="auto"/>
                <w:color w:val="0000FF"/>
                <w:w w:val="79"/>
              </w:rPr>
            </w:pPr>
            <w:hyperlink w:anchor="page17">
              <w:r>
                <w:rPr>
                  <w:rFonts w:ascii="Arial" w:cs="Arial" w:eastAsia="Arial" w:hAnsi="Arial"/>
                  <w:sz w:val="18"/>
                  <w:szCs w:val="18"/>
                  <w:u w:val="single" w:color="auto"/>
                  <w:color w:val="0000FF"/>
                  <w:w w:val="79"/>
                </w:rPr>
                <w:t>5.</w:t>
              </w:r>
            </w:hyperlink>
          </w:p>
        </w:tc>
        <w:tc>
          <w:tcPr>
            <w:tcW w:w="9760" w:type="dxa"/>
            <w:vAlign w:val="bottom"/>
            <w:gridSpan w:val="10"/>
          </w:tcPr>
          <w:p>
            <w:pPr>
              <w:ind w:left="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Inventory, Linefill and Base Gas and Long-term Inventory</w:t>
              </w:r>
            </w:hyperlink>
          </w:p>
        </w:tc>
        <w:tc>
          <w:tcPr>
            <w:tcW w:w="980" w:type="dxa"/>
            <w:vAlign w:val="bottom"/>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18</w:t>
              </w:r>
            </w:hyperlink>
          </w:p>
        </w:tc>
      </w:tr>
      <w:tr>
        <w:trPr>
          <w:trHeight w:val="229"/>
        </w:trPr>
        <w:tc>
          <w:tcPr>
            <w:tcW w:w="480" w:type="dxa"/>
            <w:vAlign w:val="bottom"/>
            <w:gridSpan w:val="3"/>
          </w:tcPr>
          <w:p>
            <w:pPr>
              <w:ind w:left="340"/>
              <w:spacing w:after="0"/>
              <w:rPr>
                <w:rFonts w:ascii="Arial" w:cs="Arial" w:eastAsia="Arial" w:hAnsi="Arial"/>
                <w:sz w:val="18"/>
                <w:szCs w:val="18"/>
                <w:u w:val="single" w:color="auto"/>
                <w:color w:val="0000FF"/>
                <w:w w:val="79"/>
              </w:rPr>
            </w:pPr>
            <w:hyperlink w:anchor="page18">
              <w:r>
                <w:rPr>
                  <w:rFonts w:ascii="Arial" w:cs="Arial" w:eastAsia="Arial" w:hAnsi="Arial"/>
                  <w:sz w:val="18"/>
                  <w:szCs w:val="18"/>
                  <w:u w:val="single" w:color="auto"/>
                  <w:color w:val="0000FF"/>
                  <w:w w:val="79"/>
                </w:rPr>
                <w:t>6.</w:t>
              </w:r>
            </w:hyperlink>
          </w:p>
        </w:tc>
        <w:tc>
          <w:tcPr>
            <w:tcW w:w="9760" w:type="dxa"/>
            <w:vAlign w:val="bottom"/>
            <w:gridSpan w:val="10"/>
          </w:tcPr>
          <w:p>
            <w:pPr>
              <w:ind w:left="2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Goodwill</w:t>
              </w:r>
            </w:hyperlink>
          </w:p>
        </w:tc>
        <w:tc>
          <w:tcPr>
            <w:tcW w:w="980" w:type="dxa"/>
            <w:vAlign w:val="bottom"/>
          </w:tcPr>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19</w:t>
              </w:r>
            </w:hyperlink>
          </w:p>
        </w:tc>
      </w:tr>
      <w:tr>
        <w:trPr>
          <w:trHeight w:val="229"/>
        </w:trPr>
        <w:tc>
          <w:tcPr>
            <w:tcW w:w="480" w:type="dxa"/>
            <w:vAlign w:val="bottom"/>
            <w:gridSpan w:val="3"/>
          </w:tcPr>
          <w:p>
            <w:pPr>
              <w:ind w:left="340"/>
              <w:spacing w:after="0"/>
              <w:rPr>
                <w:rFonts w:ascii="Arial" w:cs="Arial" w:eastAsia="Arial" w:hAnsi="Arial"/>
                <w:sz w:val="18"/>
                <w:szCs w:val="18"/>
                <w:u w:val="single" w:color="auto"/>
                <w:color w:val="0000FF"/>
                <w:w w:val="79"/>
              </w:rPr>
            </w:pPr>
            <w:hyperlink w:anchor="page19">
              <w:r>
                <w:rPr>
                  <w:rFonts w:ascii="Arial" w:cs="Arial" w:eastAsia="Arial" w:hAnsi="Arial"/>
                  <w:sz w:val="18"/>
                  <w:szCs w:val="18"/>
                  <w:u w:val="single" w:color="auto"/>
                  <w:color w:val="0000FF"/>
                  <w:w w:val="79"/>
                </w:rPr>
                <w:t>7.</w:t>
              </w:r>
            </w:hyperlink>
          </w:p>
        </w:tc>
        <w:tc>
          <w:tcPr>
            <w:tcW w:w="9760" w:type="dxa"/>
            <w:vAlign w:val="bottom"/>
            <w:gridSpan w:val="10"/>
          </w:tcPr>
          <w:p>
            <w:pPr>
              <w:ind w:left="2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Investments in Unconsolidated Entities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20</w:t>
              </w:r>
            </w:hyperlink>
          </w:p>
        </w:tc>
      </w:tr>
      <w:tr>
        <w:trPr>
          <w:trHeight w:val="230"/>
        </w:trPr>
        <w:tc>
          <w:tcPr>
            <w:tcW w:w="480" w:type="dxa"/>
            <w:vAlign w:val="bottom"/>
            <w:gridSpan w:val="3"/>
          </w:tcPr>
          <w:p>
            <w:pPr>
              <w:ind w:left="340"/>
              <w:spacing w:after="0"/>
              <w:rPr>
                <w:rFonts w:ascii="Arial" w:cs="Arial" w:eastAsia="Arial" w:hAnsi="Arial"/>
                <w:sz w:val="18"/>
                <w:szCs w:val="18"/>
                <w:u w:val="single" w:color="auto"/>
                <w:color w:val="0000FF"/>
                <w:w w:val="79"/>
              </w:rPr>
            </w:pPr>
            <w:hyperlink w:anchor="page20">
              <w:r>
                <w:rPr>
                  <w:rFonts w:ascii="Arial" w:cs="Arial" w:eastAsia="Arial" w:hAnsi="Arial"/>
                  <w:sz w:val="18"/>
                  <w:szCs w:val="18"/>
                  <w:u w:val="single" w:color="auto"/>
                  <w:color w:val="0000FF"/>
                  <w:w w:val="79"/>
                </w:rPr>
                <w:t>8.</w:t>
              </w:r>
            </w:hyperlink>
          </w:p>
        </w:tc>
        <w:tc>
          <w:tcPr>
            <w:tcW w:w="9760" w:type="dxa"/>
            <w:vAlign w:val="bottom"/>
            <w:gridSpan w:val="10"/>
          </w:tcPr>
          <w:p>
            <w:pPr>
              <w:ind w:left="2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Debt</w:t>
              </w:r>
            </w:hyperlink>
          </w:p>
        </w:tc>
        <w:tc>
          <w:tcPr>
            <w:tcW w:w="980" w:type="dxa"/>
            <w:vAlign w:val="bottom"/>
          </w:tcPr>
          <w:p>
            <w:pPr>
              <w:jc w:val="right"/>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21</w:t>
              </w:r>
            </w:hyperlink>
          </w:p>
        </w:tc>
      </w:tr>
      <w:tr>
        <w:trPr>
          <w:trHeight w:val="229"/>
        </w:trPr>
        <w:tc>
          <w:tcPr>
            <w:tcW w:w="480" w:type="dxa"/>
            <w:vAlign w:val="bottom"/>
            <w:gridSpan w:val="3"/>
          </w:tcPr>
          <w:p>
            <w:pPr>
              <w:ind w:left="340"/>
              <w:spacing w:after="0"/>
              <w:rPr>
                <w:rFonts w:ascii="Arial" w:cs="Arial" w:eastAsia="Arial" w:hAnsi="Arial"/>
                <w:sz w:val="18"/>
                <w:szCs w:val="18"/>
                <w:u w:val="single" w:color="auto"/>
                <w:color w:val="0000FF"/>
                <w:w w:val="79"/>
              </w:rPr>
            </w:pPr>
            <w:hyperlink w:anchor="page22">
              <w:r>
                <w:rPr>
                  <w:rFonts w:ascii="Arial" w:cs="Arial" w:eastAsia="Arial" w:hAnsi="Arial"/>
                  <w:sz w:val="18"/>
                  <w:szCs w:val="18"/>
                  <w:u w:val="single" w:color="auto"/>
                  <w:color w:val="0000FF"/>
                  <w:w w:val="79"/>
                </w:rPr>
                <w:t>9.</w:t>
              </w:r>
            </w:hyperlink>
          </w:p>
        </w:tc>
        <w:tc>
          <w:tcPr>
            <w:tcW w:w="9760" w:type="dxa"/>
            <w:vAlign w:val="bottom"/>
            <w:gridSpan w:val="10"/>
          </w:tcPr>
          <w:p>
            <w:pPr>
              <w:ind w:left="2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Partners’ Capital and Distributions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22</w:t>
              </w:r>
            </w:hyperlink>
          </w:p>
        </w:tc>
      </w:tr>
      <w:tr>
        <w:trPr>
          <w:trHeight w:val="230"/>
        </w:trPr>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960" w:type="dxa"/>
            <w:vAlign w:val="bottom"/>
            <w:gridSpan w:val="11"/>
          </w:tcPr>
          <w:p>
            <w:pPr>
              <w:ind w:left="6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10. Derivatives and Risk Management Activities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24</w:t>
              </w:r>
            </w:hyperlink>
          </w:p>
        </w:tc>
      </w:tr>
      <w:tr>
        <w:trPr>
          <w:trHeight w:val="229"/>
        </w:trPr>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960" w:type="dxa"/>
            <w:vAlign w:val="bottom"/>
            <w:gridSpan w:val="11"/>
          </w:tcPr>
          <w:p>
            <w:pPr>
              <w:ind w:left="6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11. Related Party Transactions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29</w:t>
              </w:r>
            </w:hyperlink>
          </w:p>
        </w:tc>
      </w:tr>
      <w:tr>
        <w:trPr>
          <w:trHeight w:val="230"/>
        </w:trPr>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960" w:type="dxa"/>
            <w:vAlign w:val="bottom"/>
            <w:gridSpan w:val="11"/>
          </w:tcPr>
          <w:p>
            <w:pPr>
              <w:ind w:left="6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12. Commitments and Contingencies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31</w:t>
              </w:r>
            </w:hyperlink>
          </w:p>
        </w:tc>
      </w:tr>
      <w:tr>
        <w:trPr>
          <w:trHeight w:val="229"/>
        </w:trPr>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960" w:type="dxa"/>
            <w:vAlign w:val="bottom"/>
            <w:gridSpan w:val="11"/>
          </w:tcPr>
          <w:p>
            <w:pPr>
              <w:ind w:left="6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13. Operating Segments</w:t>
              </w:r>
            </w:hyperlink>
          </w:p>
        </w:tc>
        <w:tc>
          <w:tcPr>
            <w:tcW w:w="980" w:type="dxa"/>
            <w:vAlign w:val="bottom"/>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35</w:t>
              </w:r>
            </w:hyperlink>
          </w:p>
        </w:tc>
      </w:tr>
      <w:tr>
        <w:trPr>
          <w:trHeight w:val="230"/>
        </w:trPr>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960" w:type="dxa"/>
            <w:vAlign w:val="bottom"/>
            <w:gridSpan w:val="11"/>
          </w:tcPr>
          <w:p>
            <w:pPr>
              <w:ind w:left="6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14. Acquisitions, Divestitures and Asset Impairments</w:t>
              </w:r>
            </w:hyperlink>
          </w:p>
        </w:tc>
        <w:tc>
          <w:tcPr>
            <w:tcW w:w="98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r>
      <w:tr>
        <w:trPr>
          <w:trHeight w:val="499"/>
        </w:trPr>
        <w:tc>
          <w:tcPr>
            <w:tcW w:w="10240" w:type="dxa"/>
            <w:vAlign w:val="bottom"/>
            <w:gridSpan w:val="13"/>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2. MANAGEMENT’S DISCUSSION AND ANALYSIS OF FINANCIAL CONDITION AND RESULTS OF OPERATIONS</w:t>
              </w:r>
            </w:hyperlink>
          </w:p>
        </w:tc>
        <w:tc>
          <w:tcPr>
            <w:tcW w:w="98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41</w:t>
              </w:r>
            </w:hyperlink>
          </w:p>
        </w:tc>
      </w:tr>
      <w:tr>
        <w:trPr>
          <w:trHeight w:val="230"/>
        </w:trPr>
        <w:tc>
          <w:tcPr>
            <w:tcW w:w="10240" w:type="dxa"/>
            <w:vAlign w:val="bottom"/>
            <w:gridSpan w:val="13"/>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Item 3. QUANTITATIVE AND QUALITATIVE DISCLOSURES ABOUT MARKET RISK</w:t>
              </w:r>
            </w:hyperlink>
          </w:p>
        </w:tc>
        <w:tc>
          <w:tcPr>
            <w:tcW w:w="98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66</w:t>
              </w:r>
            </w:hyperlink>
          </w:p>
        </w:tc>
      </w:tr>
      <w:tr>
        <w:trPr>
          <w:trHeight w:val="230"/>
        </w:trPr>
        <w:tc>
          <w:tcPr>
            <w:tcW w:w="10240" w:type="dxa"/>
            <w:vAlign w:val="bottom"/>
            <w:gridSpan w:val="13"/>
          </w:tcPr>
          <w:p>
            <w:pPr>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4. CONTROLS AND PROCEDURES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r>
      <w:tr>
        <w:trPr>
          <w:trHeight w:val="499"/>
        </w:trPr>
        <w:tc>
          <w:tcPr>
            <w:tcW w:w="10240" w:type="dxa"/>
            <w:vAlign w:val="bottom"/>
            <w:gridSpan w:val="13"/>
          </w:tcPr>
          <w:p>
            <w:pPr>
              <w:spacing w:after="0"/>
              <w:rPr>
                <w:rFonts w:ascii="Arial" w:cs="Arial" w:eastAsia="Arial" w:hAnsi="Arial"/>
                <w:sz w:val="18"/>
                <w:szCs w:val="18"/>
                <w:b w:val="1"/>
                <w:bCs w:val="1"/>
                <w:u w:val="single" w:color="auto"/>
                <w:color w:val="0000FF"/>
              </w:rPr>
            </w:pPr>
            <w:hyperlink w:anchor="page68">
              <w:r>
                <w:rPr>
                  <w:rFonts w:ascii="Arial" w:cs="Arial" w:eastAsia="Arial" w:hAnsi="Arial"/>
                  <w:sz w:val="18"/>
                  <w:szCs w:val="18"/>
                  <w:b w:val="1"/>
                  <w:bCs w:val="1"/>
                  <w:u w:val="single" w:color="auto"/>
                  <w:color w:val="0000FF"/>
                </w:rPr>
                <w:t>PART II. OTHER INFORMATION</w:t>
              </w:r>
            </w:hyperlink>
          </w:p>
        </w:tc>
        <w:tc>
          <w:tcPr>
            <w:tcW w:w="980" w:type="dxa"/>
            <w:vAlign w:val="bottom"/>
          </w:tcPr>
          <w:p>
            <w:pPr>
              <w:spacing w:after="0"/>
              <w:rPr>
                <w:sz w:val="24"/>
                <w:szCs w:val="24"/>
                <w:color w:val="auto"/>
              </w:rPr>
            </w:pPr>
          </w:p>
        </w:tc>
      </w:tr>
      <w:tr>
        <w:trPr>
          <w:trHeight w:val="230"/>
        </w:trPr>
        <w:tc>
          <w:tcPr>
            <w:tcW w:w="10240" w:type="dxa"/>
            <w:vAlign w:val="bottom"/>
            <w:gridSpan w:val="13"/>
          </w:tcPr>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Item 1. LEGAL PROCEEDINGS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68</w:t>
              </w:r>
            </w:hyperlink>
          </w:p>
        </w:tc>
      </w:tr>
      <w:tr>
        <w:trPr>
          <w:trHeight w:val="230"/>
        </w:trPr>
        <w:tc>
          <w:tcPr>
            <w:tcW w:w="10240" w:type="dxa"/>
            <w:vAlign w:val="bottom"/>
            <w:gridSpan w:val="13"/>
          </w:tcPr>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Item 1A. RISK FACTORS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68</w:t>
              </w:r>
            </w:hyperlink>
          </w:p>
        </w:tc>
      </w:tr>
      <w:tr>
        <w:trPr>
          <w:trHeight w:val="229"/>
        </w:trPr>
        <w:tc>
          <w:tcPr>
            <w:tcW w:w="10240" w:type="dxa"/>
            <w:vAlign w:val="bottom"/>
            <w:gridSpan w:val="13"/>
          </w:tcPr>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Item 2. UNREGISTERED SALES OF EQUITY SECURITIES AND USE OF PROCEEDS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68</w:t>
              </w:r>
            </w:hyperlink>
          </w:p>
        </w:tc>
      </w:tr>
      <w:tr>
        <w:trPr>
          <w:trHeight w:val="230"/>
        </w:trPr>
        <w:tc>
          <w:tcPr>
            <w:tcW w:w="10240" w:type="dxa"/>
            <w:vAlign w:val="bottom"/>
            <w:gridSpan w:val="13"/>
          </w:tcPr>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Item 3. DEFAULTS UPON SENIOR SECURITIES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68</w:t>
              </w:r>
            </w:hyperlink>
          </w:p>
        </w:tc>
      </w:tr>
      <w:tr>
        <w:trPr>
          <w:trHeight w:val="230"/>
        </w:trPr>
        <w:tc>
          <w:tcPr>
            <w:tcW w:w="10240" w:type="dxa"/>
            <w:vAlign w:val="bottom"/>
            <w:gridSpan w:val="13"/>
          </w:tcPr>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Item 4. MINE SAFETY DISCLOSURES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68</w:t>
              </w:r>
            </w:hyperlink>
          </w:p>
        </w:tc>
      </w:tr>
      <w:tr>
        <w:trPr>
          <w:trHeight w:val="230"/>
        </w:trPr>
        <w:tc>
          <w:tcPr>
            <w:tcW w:w="10240" w:type="dxa"/>
            <w:vAlign w:val="bottom"/>
            <w:gridSpan w:val="13"/>
          </w:tcPr>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Item 5. OTHER INFORMATION</w:t>
              </w:r>
            </w:hyperlink>
          </w:p>
        </w:tc>
        <w:tc>
          <w:tcPr>
            <w:tcW w:w="980" w:type="dxa"/>
            <w:vAlign w:val="bottom"/>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68</w:t>
              </w:r>
            </w:hyperlink>
          </w:p>
        </w:tc>
      </w:tr>
      <w:tr>
        <w:trPr>
          <w:trHeight w:val="229"/>
        </w:trPr>
        <w:tc>
          <w:tcPr>
            <w:tcW w:w="10240" w:type="dxa"/>
            <w:vAlign w:val="bottom"/>
            <w:gridSpan w:val="13"/>
          </w:tcPr>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Item 6. EXHIBITS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68</w:t>
              </w:r>
            </w:hyperlink>
          </w:p>
        </w:tc>
      </w:tr>
      <w:tr>
        <w:trPr>
          <w:trHeight w:val="230"/>
        </w:trPr>
        <w:tc>
          <w:tcPr>
            <w:tcW w:w="10240" w:type="dxa"/>
            <w:vAlign w:val="bottom"/>
            <w:gridSpan w:val="13"/>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SIGNATURES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72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data)</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237"/>
        </w:trPr>
        <w:tc>
          <w:tcPr>
            <w:tcW w:w="8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gridSpan w:val="4"/>
          </w:tcPr>
          <w:p>
            <w:pPr>
              <w:jc w:val="right"/>
              <w:ind w:right="1035"/>
              <w:spacing w:after="0"/>
              <w:rPr>
                <w:sz w:val="20"/>
                <w:szCs w:val="20"/>
                <w:color w:val="auto"/>
              </w:rPr>
            </w:pPr>
            <w:r>
              <w:rPr>
                <w:rFonts w:ascii="Arial" w:cs="Arial" w:eastAsia="Arial" w:hAnsi="Arial"/>
                <w:sz w:val="14"/>
                <w:szCs w:val="14"/>
                <w:b w:val="1"/>
                <w:bCs w:val="1"/>
                <w:color w:val="auto"/>
              </w:rPr>
              <w:t>(unaudited)</w:t>
            </w:r>
          </w:p>
        </w:tc>
      </w:tr>
      <w:tr>
        <w:trPr>
          <w:trHeight w:val="242"/>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108"/>
        </w:trPr>
        <w:tc>
          <w:tcPr>
            <w:tcW w:w="8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47</w:t>
            </w:r>
          </w:p>
        </w:tc>
      </w:tr>
      <w:tr>
        <w:trPr>
          <w:trHeight w:val="31"/>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37</w:t>
            </w:r>
          </w:p>
        </w:tc>
      </w:tr>
      <w:tr>
        <w:trPr>
          <w:trHeight w:val="226"/>
        </w:trPr>
        <w:tc>
          <w:tcPr>
            <w:tcW w:w="8240" w:type="dxa"/>
            <w:vAlign w:val="bottom"/>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28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1,919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3,614</w:t>
            </w:r>
          </w:p>
        </w:tc>
      </w:tr>
      <w:tr>
        <w:trPr>
          <w:trHeight w:val="31"/>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662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604</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28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476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312</w:t>
            </w:r>
          </w:p>
        </w:tc>
      </w:tr>
      <w:tr>
        <w:trPr>
          <w:trHeight w:val="31"/>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3,163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4,614</w:t>
            </w:r>
          </w:p>
        </w:tc>
      </w:tr>
      <w:tr>
        <w:trPr>
          <w:trHeight w:val="88"/>
        </w:trPr>
        <w:tc>
          <w:tcPr>
            <w:tcW w:w="824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220" w:type="dxa"/>
            <w:vAlign w:val="bottom"/>
            <w:tcBorders>
              <w:top w:val="single" w:sz="8" w:color="auto"/>
            </w:tcBorders>
          </w:tcPr>
          <w:p>
            <w:pPr>
              <w:spacing w:after="0"/>
              <w:rPr>
                <w:sz w:val="7"/>
                <w:szCs w:val="7"/>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18,304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18,983</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Accumulated depreciation</w:t>
            </w:r>
          </w:p>
        </w:tc>
        <w:tc>
          <w:tcPr>
            <w:tcW w:w="28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(3,694)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(3,616)</w:t>
            </w:r>
          </w:p>
        </w:tc>
      </w:tr>
      <w:tr>
        <w:trPr>
          <w:trHeight w:val="31"/>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14,610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15,367</w:t>
            </w:r>
          </w:p>
        </w:tc>
      </w:tr>
      <w:tr>
        <w:trPr>
          <w:trHeight w:val="88"/>
        </w:trPr>
        <w:tc>
          <w:tcPr>
            <w:tcW w:w="824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220" w:type="dxa"/>
            <w:vAlign w:val="bottom"/>
            <w:tcBorders>
              <w:top w:val="single" w:sz="8" w:color="auto"/>
            </w:tcBorders>
          </w:tcPr>
          <w:p>
            <w:pPr>
              <w:spacing w:after="0"/>
              <w:rPr>
                <w:sz w:val="7"/>
                <w:szCs w:val="7"/>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OTHER ASSETS</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8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3,781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3,683</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2,540</w:t>
            </w:r>
          </w:p>
        </w:tc>
      </w:tr>
      <w:tr>
        <w:trPr>
          <w:trHeight w:val="226"/>
        </w:trPr>
        <w:tc>
          <w:tcPr>
            <w:tcW w:w="8240" w:type="dxa"/>
            <w:vAlign w:val="bottom"/>
          </w:tcPr>
          <w:p>
            <w:pPr>
              <w:ind w:left="20"/>
              <w:spacing w:after="0"/>
              <w:rPr>
                <w:sz w:val="20"/>
                <w:szCs w:val="20"/>
                <w:color w:val="auto"/>
              </w:rPr>
            </w:pPr>
            <w:r>
              <w:rPr>
                <w:rFonts w:ascii="Arial" w:cs="Arial" w:eastAsia="Arial" w:hAnsi="Arial"/>
                <w:sz w:val="17"/>
                <w:szCs w:val="17"/>
                <w:color w:val="auto"/>
              </w:rPr>
              <w:t>Deferred tax asset</w:t>
            </w:r>
          </w:p>
        </w:tc>
        <w:tc>
          <w:tcPr>
            <w:tcW w:w="28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1,442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1,280</w:t>
            </w:r>
          </w:p>
        </w:tc>
      </w:tr>
      <w:tr>
        <w:trPr>
          <w:trHeight w:val="31"/>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Linefill and base gas</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962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981</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Long-term operating lease right-of-use assets, net</w:t>
            </w:r>
          </w:p>
        </w:tc>
        <w:tc>
          <w:tcPr>
            <w:tcW w:w="28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416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466</w:t>
            </w:r>
          </w:p>
        </w:tc>
      </w:tr>
      <w:tr>
        <w:trPr>
          <w:trHeight w:val="31"/>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inventory</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182</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Other long-term assets, net</w:t>
            </w:r>
          </w:p>
        </w:tc>
        <w:tc>
          <w:tcPr>
            <w:tcW w:w="28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990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856</w:t>
            </w:r>
          </w:p>
        </w:tc>
      </w:tr>
      <w:tr>
        <w:trPr>
          <w:trHeight w:val="31"/>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25,489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29,969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8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108"/>
        </w:trPr>
        <w:tc>
          <w:tcPr>
            <w:tcW w:w="8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6"/>
        </w:trPr>
        <w:tc>
          <w:tcPr>
            <w:tcW w:w="8240" w:type="dxa"/>
            <w:vAlign w:val="bottom"/>
          </w:tcPr>
          <w:p>
            <w:pPr>
              <w:ind w:left="20"/>
              <w:spacing w:after="0"/>
              <w:rPr>
                <w:sz w:val="20"/>
                <w:szCs w:val="20"/>
                <w:color w:val="auto"/>
              </w:rPr>
            </w:pPr>
            <w:r>
              <w:rPr>
                <w:rFonts w:ascii="Arial" w:cs="Arial" w:eastAsia="Arial" w:hAnsi="Arial"/>
                <w:sz w:val="17"/>
                <w:szCs w:val="17"/>
                <w:color w:val="auto"/>
              </w:rPr>
              <w:t>Trade accounts payable</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2,138</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3,687</w:t>
            </w:r>
          </w:p>
        </w:tc>
      </w:tr>
      <w:tr>
        <w:trPr>
          <w:trHeight w:val="31"/>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debt</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504</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Other current liabilities</w:t>
            </w:r>
          </w:p>
        </w:tc>
        <w:tc>
          <w:tcPr>
            <w:tcW w:w="28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767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828</w:t>
            </w:r>
          </w:p>
        </w:tc>
      </w:tr>
      <w:tr>
        <w:trPr>
          <w:trHeight w:val="31"/>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3,634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5,019</w:t>
            </w:r>
          </w:p>
        </w:tc>
      </w:tr>
      <w:tr>
        <w:trPr>
          <w:trHeight w:val="88"/>
        </w:trPr>
        <w:tc>
          <w:tcPr>
            <w:tcW w:w="824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220" w:type="dxa"/>
            <w:vAlign w:val="bottom"/>
            <w:tcBorders>
              <w:top w:val="single" w:sz="8" w:color="auto"/>
            </w:tcBorders>
          </w:tcPr>
          <w:p>
            <w:pPr>
              <w:spacing w:after="0"/>
              <w:rPr>
                <w:sz w:val="7"/>
                <w:szCs w:val="7"/>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Senior notes, net</w:t>
            </w:r>
          </w:p>
        </w:tc>
        <w:tc>
          <w:tcPr>
            <w:tcW w:w="28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9,067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8,939</w:t>
            </w:r>
          </w:p>
        </w:tc>
      </w:tr>
      <w:tr>
        <w:trPr>
          <w:trHeight w:val="31"/>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long-term debt, net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248</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Long-term operating lease liabilities</w:t>
            </w:r>
          </w:p>
        </w:tc>
        <w:tc>
          <w:tcPr>
            <w:tcW w:w="28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356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387</w:t>
            </w:r>
          </w:p>
        </w:tc>
      </w:tr>
      <w:tr>
        <w:trPr>
          <w:trHeight w:val="31"/>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891</w:t>
            </w:r>
          </w:p>
        </w:tc>
      </w:tr>
      <w:tr>
        <w:trPr>
          <w:trHeight w:val="219"/>
        </w:trPr>
        <w:tc>
          <w:tcPr>
            <w:tcW w:w="8240" w:type="dxa"/>
            <w:vAlign w:val="bottom"/>
          </w:tcPr>
          <w:p>
            <w:pPr>
              <w:ind w:left="140"/>
              <w:spacing w:after="0"/>
              <w:rPr>
                <w:sz w:val="20"/>
                <w:szCs w:val="20"/>
                <w:color w:val="auto"/>
              </w:rPr>
            </w:pPr>
            <w:r>
              <w:rPr>
                <w:rFonts w:ascii="Arial" w:cs="Arial" w:eastAsia="Arial" w:hAnsi="Arial"/>
                <w:sz w:val="17"/>
                <w:szCs w:val="17"/>
                <w:color w:val="auto"/>
              </w:rPr>
              <w:t>Total long-term liabilities</w:t>
            </w: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10,602</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10,465</w:t>
            </w:r>
          </w:p>
        </w:tc>
      </w:tr>
      <w:tr>
        <w:trPr>
          <w:trHeight w:val="31"/>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88"/>
        </w:trPr>
        <w:tc>
          <w:tcPr>
            <w:tcW w:w="8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COMMITMENTS AND CONTINGENCIES (NOTE 12)</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1"/>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08"/>
        </w:trPr>
        <w:tc>
          <w:tcPr>
            <w:tcW w:w="82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220"/>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PARTNERS’ CAPITAL</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6"/>
        </w:trPr>
        <w:tc>
          <w:tcPr>
            <w:tcW w:w="8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Class A shareholders (184,260,178 and 182,138,592 shares outstanding,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1,465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2,155</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Noncontrolling interests</w:t>
            </w:r>
          </w:p>
        </w:tc>
        <w:tc>
          <w:tcPr>
            <w:tcW w:w="28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9,788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12,330</w:t>
            </w:r>
          </w:p>
        </w:tc>
      </w:tr>
      <w:tr>
        <w:trPr>
          <w:trHeight w:val="31"/>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partners’ capital</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11,253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14,485</w:t>
            </w:r>
          </w:p>
        </w:tc>
      </w:tr>
      <w:tr>
        <w:trPr>
          <w:trHeight w:val="219"/>
        </w:trPr>
        <w:tc>
          <w:tcPr>
            <w:tcW w:w="8240" w:type="dxa"/>
            <w:vAlign w:val="bottom"/>
          </w:tcPr>
          <w:p>
            <w:pPr>
              <w:ind w:left="140"/>
              <w:spacing w:after="0"/>
              <w:rPr>
                <w:sz w:val="20"/>
                <w:szCs w:val="20"/>
                <w:color w:val="auto"/>
              </w:rPr>
            </w:pPr>
            <w:r>
              <w:rPr>
                <w:rFonts w:ascii="Arial" w:cs="Arial" w:eastAsia="Arial" w:hAnsi="Arial"/>
                <w:sz w:val="17"/>
                <w:szCs w:val="17"/>
                <w:color w:val="auto"/>
              </w:rPr>
              <w:t>Total liabilities and partners’ capital</w:t>
            </w: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25,489</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29,969</w:t>
            </w:r>
          </w:p>
        </w:tc>
      </w:tr>
      <w:tr>
        <w:trPr>
          <w:trHeight w:val="31"/>
        </w:trPr>
        <w:tc>
          <w:tcPr>
            <w:tcW w:w="8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7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744"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34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72"/>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92"/>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center"/>
              <w:ind w:left="472"/>
              <w:spacing w:after="0"/>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2,925</w:t>
            </w:r>
          </w:p>
        </w:tc>
        <w:tc>
          <w:tcPr>
            <w:tcW w:w="12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7,914</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10,833</w:t>
            </w:r>
          </w:p>
        </w:tc>
        <w:tc>
          <w:tcPr>
            <w:tcW w:w="12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15,936</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segment revenues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Facilities segment revenues</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63"/>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3,225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8,253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11,494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16,628</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30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2,525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7,244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9,893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14,362</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 (Note 14)</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 losses (Note 6)</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2,515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840" w:type="dxa"/>
            <w:vAlign w:val="bottom"/>
          </w:tcPr>
          <w:p>
            <w:pPr>
              <w:ind w:left="1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3,017</w:t>
            </w: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7,804</w:t>
            </w: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14,062</w:t>
            </w: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15,467</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30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w w:val="96"/>
              </w:rPr>
              <w:t>Gain on/(impairment of) investments in unconsolidated entities, net (Note 7)</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175"/>
        </w:trPr>
        <w:tc>
          <w:tcPr>
            <w:tcW w:w="5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Interest expense (net of capitalized interest of $5, $11, $11 and $22,</w:t>
            </w: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income/(expense), net</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5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30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(2,696)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(expense)/benefit</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42"/>
        </w:trPr>
        <w:tc>
          <w:tcPr>
            <w:tcW w:w="5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30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(2,556)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(income)/loss attributable to noncontrolling interests</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1,991</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64"/>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INCOME/(LOSS) ATTRIBUTABLE TO PAGP</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BASIC NET INCOME/(LOSS) PER CLASS A SHARE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3"/>
                <w:szCs w:val="23"/>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3"/>
                <w:szCs w:val="23"/>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DILUTED NET INCOME/(LOSS) PER CLASS A SHARE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3"/>
                <w:szCs w:val="23"/>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3"/>
                <w:szCs w:val="23"/>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INCOME/(LOSS) (in millions)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34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r>
      <w:tr>
        <w:trPr>
          <w:trHeight w:val="196"/>
        </w:trPr>
        <w:tc>
          <w:tcPr>
            <w:tcW w:w="58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196"/>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7"/>
                <w:szCs w:val="17"/>
                <w:color w:val="auto"/>
              </w:rPr>
            </w:pPr>
          </w:p>
        </w:tc>
      </w:tr>
      <w:tr>
        <w:trPr>
          <w:trHeight w:val="256"/>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(2,556)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1,340</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Other comprehensive income/(loss)</w:t>
            </w:r>
          </w:p>
        </w:tc>
        <w:tc>
          <w:tcPr>
            <w:tcW w:w="300" w:type="dxa"/>
            <w:vAlign w:val="bottom"/>
          </w:tcPr>
          <w:p>
            <w:pPr>
              <w:spacing w:after="0"/>
              <w:rPr>
                <w:sz w:val="21"/>
                <w:szCs w:val="21"/>
                <w:color w:val="auto"/>
              </w:rPr>
            </w:pPr>
          </w:p>
        </w:tc>
        <w:tc>
          <w:tcPr>
            <w:tcW w:w="960" w:type="dxa"/>
            <w:vAlign w:val="bottom"/>
          </w:tcPr>
          <w:p>
            <w:pPr>
              <w:jc w:val="right"/>
              <w:ind w:right="58"/>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109</w:t>
            </w:r>
          </w:p>
        </w:tc>
      </w:tr>
      <w:tr>
        <w:trPr>
          <w:trHeight w:val="27"/>
        </w:trPr>
        <w:tc>
          <w:tcPr>
            <w:tcW w:w="5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1,449</w:t>
            </w:r>
          </w:p>
        </w:tc>
      </w:tr>
      <w:tr>
        <w:trPr>
          <w:trHeight w:val="243"/>
        </w:trPr>
        <w:tc>
          <w:tcPr>
            <w:tcW w:w="5840" w:type="dxa"/>
            <w:vAlign w:val="bottom"/>
          </w:tcPr>
          <w:p>
            <w:pPr>
              <w:ind w:left="80"/>
              <w:spacing w:after="0"/>
              <w:rPr>
                <w:sz w:val="20"/>
                <w:szCs w:val="20"/>
                <w:color w:val="auto"/>
              </w:rPr>
            </w:pPr>
            <w:r>
              <w:rPr>
                <w:rFonts w:ascii="Arial" w:cs="Arial" w:eastAsia="Arial" w:hAnsi="Arial"/>
                <w:sz w:val="18"/>
                <w:szCs w:val="18"/>
                <w:color w:val="auto"/>
              </w:rPr>
              <w:t>Comprehensive (income)/loss attributable to noncontrolling interests</w:t>
            </w:r>
          </w:p>
        </w:tc>
        <w:tc>
          <w:tcPr>
            <w:tcW w:w="30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8"/>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(1,211)</w:t>
            </w:r>
          </w:p>
        </w:tc>
      </w:tr>
      <w:tr>
        <w:trPr>
          <w:trHeight w:val="27"/>
        </w:trPr>
        <w:tc>
          <w:tcPr>
            <w:tcW w:w="5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 attributable to PAGP</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238</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Derivative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Translation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Instruments</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gridSpan w:val="5"/>
          </w:tcPr>
          <w:p>
            <w:pPr>
              <w:jc w:val="right"/>
              <w:ind w:right="562"/>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76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Unrealized loss on hedges</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period activity</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940" w:type="dxa"/>
            <w:vAlign w:val="bottom"/>
            <w:tcBorders>
              <w:top w:val="single" w:sz="8" w:color="auto"/>
            </w:tcBorders>
          </w:tcPr>
          <w:p>
            <w:pPr>
              <w:jc w:val="right"/>
              <w:ind w:right="76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Derivative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Translation</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Instruments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Adjustments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gridSpan w:val="5"/>
          </w:tcPr>
          <w:p>
            <w:pPr>
              <w:jc w:val="right"/>
              <w:ind w:right="602"/>
              <w:spacing w:after="0"/>
              <w:rPr>
                <w:sz w:val="20"/>
                <w:szCs w:val="20"/>
                <w:color w:val="auto"/>
              </w:rPr>
            </w:pPr>
            <w:r>
              <w:rPr>
                <w:rFonts w:ascii="Arial" w:cs="Arial" w:eastAsia="Arial" w:hAnsi="Arial"/>
                <w:sz w:val="14"/>
                <w:szCs w:val="14"/>
                <w:b w:val="1"/>
                <w:bCs w:val="1"/>
                <w:color w:val="auto"/>
              </w:rPr>
              <w:t>(unaudited)</w:t>
            </w:r>
          </w:p>
        </w:tc>
        <w:tc>
          <w:tcPr>
            <w:tcW w:w="4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(177)</w:t>
            </w: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(853)</w:t>
            </w:r>
          </w:p>
        </w:tc>
        <w:tc>
          <w:tcPr>
            <w:tcW w:w="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Unrealized loss on hedges</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period activity</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Balance at June 30, 2019</w:t>
            </w:r>
          </w:p>
        </w:tc>
        <w:tc>
          <w:tcPr>
            <w:tcW w:w="2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(692)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Borders>
              <w:top w:val="single" w:sz="8" w:color="auto"/>
            </w:tcBorders>
            <w:gridSpan w:val="2"/>
          </w:tcPr>
          <w:p>
            <w:pPr>
              <w:jc w:val="right"/>
              <w:ind w:right="782"/>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83"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13335</wp:posOffset>
            </wp:positionV>
            <wp:extent cx="1885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2019</w:t>
            </w:r>
          </w:p>
        </w:tc>
      </w:tr>
      <w:tr>
        <w:trPr>
          <w:trHeight w:val="196"/>
        </w:trPr>
        <w:tc>
          <w:tcPr>
            <w:tcW w:w="8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7"/>
                <w:szCs w:val="17"/>
                <w:color w:val="auto"/>
              </w:rPr>
            </w:pPr>
          </w:p>
        </w:tc>
      </w:tr>
      <w:tr>
        <w:trPr>
          <w:trHeight w:val="25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(2,556)</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1,340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Reconciliation of net income/(loss)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284</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(Gains)/losses on asset sales and asset impairments, net (Note 14)</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60"/>
              <w:spacing w:after="0"/>
              <w:rPr>
                <w:sz w:val="20"/>
                <w:szCs w:val="20"/>
                <w:color w:val="auto"/>
              </w:rPr>
            </w:pPr>
            <w:r>
              <w:rPr>
                <w:rFonts w:ascii="Arial" w:cs="Arial" w:eastAsia="Arial" w:hAnsi="Arial"/>
                <w:sz w:val="18"/>
                <w:szCs w:val="18"/>
                <w:color w:val="auto"/>
              </w:rPr>
              <w:t>Goodwill impairment losses (Note 6)</w:t>
            </w: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Equity-indexed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r>
      <w:tr>
        <w:trPr>
          <w:trHeight w:val="243"/>
        </w:trPr>
        <w:tc>
          <w:tcPr>
            <w:tcW w:w="8240" w:type="dxa"/>
            <w:vAlign w:val="bottom"/>
          </w:tcPr>
          <w:p>
            <w:pPr>
              <w:ind w:left="60"/>
              <w:spacing w:after="0"/>
              <w:rPr>
                <w:sz w:val="20"/>
                <w:szCs w:val="20"/>
                <w:color w:val="auto"/>
              </w:rPr>
            </w:pPr>
            <w:r>
              <w:rPr>
                <w:rFonts w:ascii="Arial" w:cs="Arial" w:eastAsia="Arial" w:hAnsi="Arial"/>
                <w:sz w:val="18"/>
                <w:szCs w:val="18"/>
                <w:color w:val="auto"/>
              </w:rPr>
              <w:t>Inventory valuation adjustments</w:t>
            </w: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Deferred income tax expense/(benefit)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r>
      <w:tr>
        <w:trPr>
          <w:trHeight w:val="243"/>
        </w:trPr>
        <w:tc>
          <w:tcPr>
            <w:tcW w:w="8240" w:type="dxa"/>
            <w:vAlign w:val="bottom"/>
          </w:tcPr>
          <w:p>
            <w:pPr>
              <w:ind w:left="60"/>
              <w:spacing w:after="0"/>
              <w:rPr>
                <w:sz w:val="20"/>
                <w:szCs w:val="20"/>
                <w:color w:val="auto"/>
              </w:rPr>
            </w:pPr>
            <w:r>
              <w:rPr>
                <w:rFonts w:ascii="Arial" w:cs="Arial" w:eastAsia="Arial" w:hAnsi="Arial"/>
                <w:sz w:val="18"/>
                <w:szCs w:val="18"/>
                <w:color w:val="auto"/>
              </w:rPr>
              <w:t>Loss on foreign currency revaluation</w:t>
            </w: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12</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Settlement of terminated interest rate hedging instruments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8240" w:type="dxa"/>
            <w:vAlign w:val="bottom"/>
          </w:tcPr>
          <w:p>
            <w:pPr>
              <w:ind w:left="60"/>
              <w:spacing w:after="0"/>
              <w:rPr>
                <w:sz w:val="20"/>
                <w:szCs w:val="20"/>
                <w:color w:val="auto"/>
              </w:rPr>
            </w:pPr>
            <w:r>
              <w:rPr>
                <w:rFonts w:ascii="Arial" w:cs="Arial" w:eastAsia="Arial" w:hAnsi="Arial"/>
                <w:sz w:val="18"/>
                <w:szCs w:val="18"/>
                <w:color w:val="auto"/>
              </w:rPr>
              <w:t>Change in fair value of Preferred Distribution Rate Reset Option (Note 10)</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Equity earnings in unconsolidated entities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43"/>
        </w:trPr>
        <w:tc>
          <w:tcPr>
            <w:tcW w:w="8240" w:type="dxa"/>
            <w:vAlign w:val="bottom"/>
          </w:tcPr>
          <w:p>
            <w:pPr>
              <w:ind w:left="60"/>
              <w:spacing w:after="0"/>
              <w:rPr>
                <w:sz w:val="20"/>
                <w:szCs w:val="20"/>
                <w:color w:val="auto"/>
              </w:rPr>
            </w:pPr>
            <w:r>
              <w:rPr>
                <w:rFonts w:ascii="Arial" w:cs="Arial" w:eastAsia="Arial" w:hAnsi="Arial"/>
                <w:sz w:val="18"/>
                <w:szCs w:val="18"/>
                <w:color w:val="auto"/>
              </w:rPr>
              <w:t>Distributions on earnings from unconsolidated entities</w:t>
            </w: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(Gain on)/impairment of investments in unconsolidated entities, net (Note 7)</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r>
      <w:tr>
        <w:trPr>
          <w:trHeight w:val="243"/>
        </w:trPr>
        <w:tc>
          <w:tcPr>
            <w:tcW w:w="8240" w:type="dxa"/>
            <w:vAlign w:val="bottom"/>
          </w:tcPr>
          <w:p>
            <w:pPr>
              <w:ind w:left="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12</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 net of acquisitions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w:t>
            </w:r>
          </w:p>
        </w:tc>
      </w:tr>
      <w:tr>
        <w:trPr>
          <w:trHeight w:val="237"/>
        </w:trPr>
        <w:tc>
          <w:tcPr>
            <w:tcW w:w="8240" w:type="dxa"/>
            <w:vAlign w:val="bottom"/>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1,468</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Cash paid in connection with acquisitions, net of cash acquired (Note 14)</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entities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Additions to property, equipment and other</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(642)</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 of assets (Note 14)</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Cash paid for purchases of linefill and base gas</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37"/>
        </w:trPr>
        <w:tc>
          <w:tcPr>
            <w:tcW w:w="8240" w:type="dxa"/>
            <w:vAlign w:val="bottom"/>
          </w:tcPr>
          <w:p>
            <w:pPr>
              <w:ind w:left="2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(978)</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borrowings/(repayments) under PAA commercial paper program (Note 8)</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218</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borrowings/(repayments) under PAA senior secured hedged inventory facility (Note 8)</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the issuance of PAA senior notes (Note 8)</w:t>
            </w: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Repayments of PAA senior notes (Note 8)</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Distributions paid to Class A shareholders (Note 9)</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paid to noncontrolling interests (Note 9)</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Sale of noncontrolling interest in a subsidiary</w:t>
            </w: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128</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w:t>
            </w:r>
          </w:p>
        </w:tc>
      </w:tr>
      <w:tr>
        <w:trPr>
          <w:trHeight w:val="236"/>
        </w:trPr>
        <w:tc>
          <w:tcPr>
            <w:tcW w:w="8240" w:type="dxa"/>
            <w:vAlign w:val="bottom"/>
          </w:tcPr>
          <w:p>
            <w:pPr>
              <w:ind w:left="28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translation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401</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w:t>
            </w:r>
          </w:p>
        </w:tc>
      </w:tr>
      <w:tr>
        <w:trPr>
          <w:trHeight w:val="236"/>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end of period</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470</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5"/>
        </w:trPr>
        <w:tc>
          <w:tcPr>
            <w:tcW w:w="82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Cash paid for:</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net of amounts capitalized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188</w:t>
            </w:r>
          </w:p>
        </w:tc>
      </w:tr>
      <w:tr>
        <w:trPr>
          <w:trHeight w:val="243"/>
        </w:trPr>
        <w:tc>
          <w:tcPr>
            <w:tcW w:w="8240" w:type="dxa"/>
            <w:vAlign w:val="bottom"/>
          </w:tcPr>
          <w:p>
            <w:pPr>
              <w:ind w:left="60"/>
              <w:spacing w:after="0"/>
              <w:rPr>
                <w:sz w:val="20"/>
                <w:szCs w:val="20"/>
                <w:color w:val="auto"/>
              </w:rPr>
            </w:pPr>
            <w:r>
              <w:rPr>
                <w:rFonts w:ascii="Arial" w:cs="Arial" w:eastAsia="Arial" w:hAnsi="Arial"/>
                <w:sz w:val="18"/>
                <w:szCs w:val="18"/>
                <w:color w:val="auto"/>
              </w:rPr>
              <w:t>Income taxes, net of amounts refunded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86</w:t>
            </w:r>
          </w:p>
        </w:tc>
      </w:tr>
    </w:tbl>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2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285"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4"/>
                <w:szCs w:val="14"/>
                <w:color w:val="auto"/>
              </w:rPr>
            </w:pPr>
          </w:p>
        </w:tc>
        <w:tc>
          <w:tcPr>
            <w:tcW w:w="1360" w:type="dxa"/>
            <w:vAlign w:val="bottom"/>
          </w:tcPr>
          <w:p>
            <w:pPr>
              <w:jc w:val="center"/>
              <w:ind w:right="11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7"/>
              </w:rPr>
              <w:t>Partners’ Capital</w:t>
            </w: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2,155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12,330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14,485</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(Note 9)</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2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w w:val="96"/>
              </w:rPr>
              <w:t>Change in ownership interest in connection with Exchange Right exercises (Note 9)</w:t>
            </w:r>
          </w:p>
        </w:tc>
        <w:tc>
          <w:tcPr>
            <w:tcW w:w="22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Contributions from noncontrolling interests (Note 9)</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9,788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11,253</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6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24"/>
                <w:szCs w:val="24"/>
                <w:color w:val="auto"/>
              </w:rPr>
            </w:pPr>
          </w:p>
        </w:tc>
        <w:tc>
          <w:tcPr>
            <w:tcW w:w="1360" w:type="dxa"/>
            <w:vAlign w:val="bottom"/>
          </w:tcPr>
          <w:p>
            <w:pPr>
              <w:jc w:val="center"/>
              <w:ind w:right="11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7"/>
              </w:rPr>
              <w:t>Partners’ Capital</w:t>
            </w: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1,457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9,729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11,186</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(Note 9)</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Contributions from noncontrolling interests (Note 9)</w:t>
            </w:r>
          </w:p>
        </w:tc>
        <w:tc>
          <w:tcPr>
            <w:tcW w:w="22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9,788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11,253</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PARTNERS’ CAPITAL</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Class A Shareholders</w:t>
            </w: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Partners’ Capital</w:t>
            </w: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15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5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11,473</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13,319</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5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Change in ownership interest in connection with Exchange Right exercises</w:t>
            </w:r>
          </w:p>
        </w:tc>
        <w:tc>
          <w:tcPr>
            <w:tcW w:w="5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noncontrolling interest in a subsidiary</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2019</w:t>
            </w:r>
          </w:p>
        </w:tc>
        <w:tc>
          <w:tcPr>
            <w:tcW w:w="5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12,306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14,342</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6460" w:type="dxa"/>
            <w:vAlign w:val="bottom"/>
          </w:tcPr>
          <w:p>
            <w:pPr>
              <w:spacing w:after="0"/>
              <w:rPr>
                <w:sz w:val="24"/>
                <w:szCs w:val="24"/>
                <w:color w:val="auto"/>
              </w:rPr>
            </w:pPr>
          </w:p>
        </w:tc>
        <w:tc>
          <w:tcPr>
            <w:tcW w:w="1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Class A Shareholders</w:t>
            </w:r>
          </w:p>
        </w:tc>
        <w:tc>
          <w:tcPr>
            <w:tcW w:w="20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Partners’ Capital</w:t>
            </w: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15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2019</w:t>
            </w:r>
          </w:p>
        </w:tc>
        <w:tc>
          <w:tcPr>
            <w:tcW w:w="5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1,955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12,067</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14,022</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5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Change in ownership interest in connection with Exchange Right exercises</w:t>
            </w:r>
          </w:p>
        </w:tc>
        <w:tc>
          <w:tcPr>
            <w:tcW w:w="5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noncontrolling interest in a subsidiary</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2019</w:t>
            </w:r>
          </w:p>
        </w:tc>
        <w:tc>
          <w:tcPr>
            <w:tcW w:w="5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12,306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14,342</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Plains GP Holdings, L.P. (“PAGP”) is a Delaware limited partnership formed in 2013 that has elected to be taxed as a corporation for United States federal income tax purposes. PAGP does not directly own any operating assets; as of June 30, 2020, its principal sources of cash flow are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7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of June 30, 2020, PAGP owned (i) a 100% managing member interest in Plains All American GP LLC (“GP LLC”), an entity that has also elected to be taxed as a corporation for United States federal income tax purposes and (ii) an approximate 75% limited partner interest in Plains AAP, L.P. (“AAP”) through our direct ownership of approximately 183.3 million Class A units of AAP (“AAP units”) and indirect ownership of approximately 1.0 million AAP units through GP LLC. GP LLC is a Delaware limited liability company that also holds the non-economic general partner interest in AAP. AAP is a Delaware limited partnership that, as of June 30, 2020, directly owned a limited partner interest in PAA through its ownership of approximately 248.4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primarily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13 for further discussion of our operating segments.</w:t>
      </w:r>
    </w:p>
    <w:p>
      <w:pPr>
        <w:spacing w:after="0" w:line="215"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the “Plains Entities” include us, our general partner, GP LLC, AAP, PAA GP and PAA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AOCI</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ASC</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ASU</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Bcf</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Btu</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CAD</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CODM</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EBITDA</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Earnings before interest, taxes, depreciation and amortization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EPA</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FASB</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GAAP</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Generally accepted accounting principles in the United States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ICE</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ISDA</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LIBOR</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LTIP</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Mcf</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MMbls</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Million barrels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NGL</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6"/>
              </w:rPr>
              <w:t>Natural gas liquids, including ethane, propane and butane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NYMEX</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SEC</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TWh</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USD</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WTI</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2019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w:t>
      </w:r>
    </w:p>
    <w:p>
      <w:pPr>
        <w:spacing w:after="0" w:line="20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condensed consolidated balance sheet data as of December 31, 2019 was derived from audited financial statements, but does not include all disclosures required by GAAP. The results of operations for the three and six months ended June 30, 2020 should not be taken as indicative of results to be expected for the entire year.</w:t>
      </w:r>
    </w:p>
    <w:p>
      <w:pPr>
        <w:spacing w:after="0" w:line="2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determined that our subsidiaries, PAA and AAP, are VIEs and should be consolidated by PAGP because:</w:t>
      </w:r>
    </w:p>
    <w:p>
      <w:pPr>
        <w:spacing w:after="0" w:line="252" w:lineRule="exact"/>
        <w:rPr>
          <w:sz w:val="20"/>
          <w:szCs w:val="20"/>
          <w:color w:val="auto"/>
        </w:rPr>
      </w:pPr>
    </w:p>
    <w:p>
      <w:pPr>
        <w:ind w:left="980" w:right="26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210"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97"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97"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With the exception of a deferred tax asset of $1.442 billion and $1.280 billion as of June 30, 2020 and December 31, 2019, respectively, substantially all assets and liabilities presented on PAGP’s Condensed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six months ended June 30, 2020 or the year ended December 31, 2019. See Note 17 to our Consolidated Financial Statements included in Part IV of our 2019 Annual Report on Form 10-K for information regarding the Omnibus Agreement entered into by the Plains Entities on November 15, 2016.</w:t>
      </w:r>
    </w:p>
    <w:p>
      <w:pPr>
        <w:spacing w:after="0" w:line="20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first quarter of 2020, the novel coronavirus (“COVID-19”) pandemic resulted in a swift and material decline in global crude oil demand, which contributed to an oversupply of crude oil that was exacerbated by increases in production from certain suppliers in the global oil markets. These macroeconomic and industry specific challenges resulted in a number of impairment charges recognized during the first half of 2020. See Note 6 and Note 14 for further discussion of these impairments.</w:t>
      </w:r>
    </w:p>
    <w:p>
      <w:pPr>
        <w:spacing w:after="0" w:line="21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Many uncertainties remain with respect to COVID-19, including uncertainty regarding the length of time the pandemic will continue, as well as the timing, pace and extent of an economic recovery in the United States, Canada and elsewhere, and how such uncertainties will impact the energy industry and our business. As a result, these matters may affect our estimates and assumptions on amounts reported in the financial statements and accompanying notes in the near term.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our Condensed Consolidated Balance Sheet that sum to the total of the amounts shown on our Condensed Consolidated Statement of Cash Flows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0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6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47</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020" w:type="dxa"/>
            <w:vAlign w:val="bottom"/>
          </w:tcPr>
          <w:p>
            <w:pPr>
              <w:jc w:val="right"/>
              <w:ind w:right="77"/>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37</w:t>
            </w:r>
          </w:p>
        </w:tc>
      </w:tr>
      <w:tr>
        <w:trPr>
          <w:trHeight w:val="27"/>
        </w:trPr>
        <w:tc>
          <w:tcPr>
            <w:tcW w:w="8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cash and cash equivalents and restricted cash</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84</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Except as discussed below and in our 2019 Annual Report on Form 10-K, there have been no new accounting pronouncements that have become effective or have been issued during the six months ended June 30, 2020 that are of significance or potential significance to 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Adopted During the Period</w:t>
      </w:r>
    </w:p>
    <w:p>
      <w:pPr>
        <w:spacing w:after="0" w:line="256"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We adopted the ASUs listed below effective January 1, 2020 and our adoption did not have a material impact on our financial position, results of operations or cash flows (see Note 2 to our Consolidated Financial Statements included in Part IV of our 2019 Annual Report on Form 10-K for additional information regarding these ASUs):</w:t>
      </w:r>
    </w:p>
    <w:p>
      <w:pPr>
        <w:spacing w:after="0" w:line="211" w:lineRule="exact"/>
        <w:rPr>
          <w:sz w:val="20"/>
          <w:szCs w:val="20"/>
          <w:color w:val="auto"/>
        </w:rPr>
      </w:pPr>
    </w:p>
    <w:p>
      <w:pPr>
        <w:ind w:left="820" w:right="80" w:hanging="164"/>
        <w:spacing w:after="0" w:line="277"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ASU 2019-04, Codification Improvements to Topic 326, Financial Instruments—Credit Losses, Topic 815, Derivatives and Hedging, and Topic 825, Financial Instruments;</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ASU 2018-17, Consolidation (Topic 810): Targeted Improvements to Related Party Guidance for Variable Interest Entities;</w:t>
      </w:r>
    </w:p>
    <w:p>
      <w:pPr>
        <w:spacing w:after="0" w:line="117" w:lineRule="exact"/>
        <w:rPr>
          <w:rFonts w:ascii="Arial" w:cs="Arial" w:eastAsia="Arial" w:hAnsi="Arial"/>
          <w:sz w:val="18"/>
          <w:szCs w:val="18"/>
          <w:color w:val="auto"/>
        </w:rPr>
      </w:pPr>
    </w:p>
    <w:p>
      <w:pPr>
        <w:ind w:left="820" w:right="100" w:hanging="164"/>
        <w:spacing w:after="0" w:line="308" w:lineRule="auto"/>
        <w:tabs>
          <w:tab w:leader="none" w:pos="815" w:val="left"/>
        </w:tabs>
        <w:numPr>
          <w:ilvl w:val="0"/>
          <w:numId w:val="4"/>
        </w:numPr>
        <w:rPr>
          <w:rFonts w:ascii="Arial" w:cs="Arial" w:eastAsia="Arial" w:hAnsi="Arial"/>
          <w:sz w:val="17"/>
          <w:szCs w:val="17"/>
          <w:color w:val="auto"/>
        </w:rPr>
      </w:pPr>
      <w:r>
        <w:rPr>
          <w:rFonts w:ascii="Arial" w:cs="Arial" w:eastAsia="Arial" w:hAnsi="Arial"/>
          <w:sz w:val="17"/>
          <w:szCs w:val="17"/>
          <w:color w:val="auto"/>
        </w:rPr>
        <w:t>ASU 2018-15, Intangibles—Goodwill and Other—Internal-Use Software (Subtopic 350-40): Customer’s Accounting for Implementation Costs Incurred in a Cloud Computing Arrangement That Is a Service Contract (a consensus of the FASB Emerging Issues Task Force);</w:t>
      </w:r>
    </w:p>
    <w:p>
      <w:pPr>
        <w:spacing w:after="0" w:line="38" w:lineRule="exact"/>
        <w:rPr>
          <w:rFonts w:ascii="Arial" w:cs="Arial" w:eastAsia="Arial" w:hAnsi="Arial"/>
          <w:sz w:val="17"/>
          <w:szCs w:val="17"/>
          <w:color w:val="auto"/>
        </w:rPr>
      </w:pPr>
    </w:p>
    <w:p>
      <w:pPr>
        <w:ind w:left="820" w:right="780" w:hanging="164"/>
        <w:spacing w:after="0" w:line="277"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ASU 2018-13, Fair Value Measurement (Topic 820): Disclosure Framework—Changes to the Disclosure Requirements for Fair Value Measurement; and</w:t>
      </w:r>
    </w:p>
    <w:p>
      <w:pPr>
        <w:spacing w:after="0" w:line="62" w:lineRule="exact"/>
        <w:rPr>
          <w:rFonts w:ascii="Arial" w:cs="Arial" w:eastAsia="Arial" w:hAnsi="Arial"/>
          <w:sz w:val="18"/>
          <w:szCs w:val="18"/>
          <w:color w:val="auto"/>
        </w:rPr>
      </w:pPr>
    </w:p>
    <w:p>
      <w:pPr>
        <w:ind w:left="820" w:right="140" w:hanging="164"/>
        <w:spacing w:after="0" w:line="277"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ASU 2016-13, Financial Instruments—Credit Losses (Topic 326): Measurement of Credit Losses on Financial Instruments (along with a series of related ASUs).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Issued During the Period</w:t>
      </w:r>
    </w:p>
    <w:p>
      <w:pPr>
        <w:spacing w:after="0" w:line="256" w:lineRule="exact"/>
        <w:rPr>
          <w:sz w:val="20"/>
          <w:szCs w:val="20"/>
          <w:color w:val="auto"/>
        </w:rPr>
      </w:pPr>
    </w:p>
    <w:p>
      <w:pPr>
        <w:ind w:right="120" w:firstLine="648"/>
        <w:spacing w:after="0" w:line="279" w:lineRule="auto"/>
        <w:rPr>
          <w:sz w:val="20"/>
          <w:szCs w:val="20"/>
          <w:color w:val="auto"/>
        </w:rPr>
      </w:pPr>
      <w:r>
        <w:rPr>
          <w:rFonts w:ascii="Arial" w:cs="Arial" w:eastAsia="Arial" w:hAnsi="Arial"/>
          <w:sz w:val="16"/>
          <w:szCs w:val="16"/>
          <w:color w:val="auto"/>
        </w:rPr>
        <w:t xml:space="preserve">In March 2020, the FASB issued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which provides optional expedients and exceptions for applying GAAP to contracts, hedging relationships and other transactions that reference</w:t>
      </w:r>
      <w:r>
        <w:rPr>
          <w:rFonts w:ascii="Arial" w:cs="Arial" w:eastAsia="Arial" w:hAnsi="Arial"/>
          <w:sz w:val="16"/>
          <w:szCs w:val="16"/>
          <w:i w:val="1"/>
          <w:iCs w:val="1"/>
          <w:color w:val="auto"/>
        </w:rPr>
        <w:t xml:space="preserve"> </w:t>
      </w:r>
      <w:r>
        <w:rPr>
          <w:rFonts w:ascii="Arial" w:cs="Arial" w:eastAsia="Arial" w:hAnsi="Arial"/>
          <w:sz w:val="16"/>
          <w:szCs w:val="16"/>
          <w:color w:val="auto"/>
        </w:rPr>
        <w:t>LIBOR or another reference rate expected to be discontinued because of reference rate reform. This guidance is effective prospectively upon issuance through December 31, 2022 and may be applied from the beginning of an interim period that includes the issuance date of this ASU. We are currently evaluating the effect that this guidance will have on our financial position, results of operations and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We disaggregate our revenues by segment and type of activity under ASC Topic 606, </w:t>
      </w:r>
      <w:r>
        <w:rPr>
          <w:rFonts w:ascii="Arial" w:cs="Arial" w:eastAsia="Arial" w:hAnsi="Arial"/>
          <w:sz w:val="18"/>
          <w:szCs w:val="18"/>
          <w:i w:val="1"/>
          <w:iCs w:val="1"/>
          <w:color w:val="auto"/>
        </w:rPr>
        <w:t>Revenues from Contracts with Customers</w:t>
      </w:r>
      <w:r>
        <w:rPr>
          <w:rFonts w:ascii="Arial" w:cs="Arial" w:eastAsia="Arial" w:hAnsi="Arial"/>
          <w:sz w:val="18"/>
          <w:szCs w:val="18"/>
          <w:color w:val="auto"/>
        </w:rPr>
        <w:t xml:space="preserve"> (“Topic 606”). These categories depict how the nature, amount, timing and uncertainty of revenues and cash flows are affected by economic factors. See Note 3 to our Consolidated Financial Statements included in Part IV of our 2019 Annual Report on Form 10-K for additional information regarding our types of revenues and policies for revenue recognition.</w:t>
      </w:r>
    </w:p>
    <w:p>
      <w:pPr>
        <w:spacing w:after="0" w:line="214"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The following tables present our Supply and Logistics, Transportation and Facilities segment revenues from contracts with customers disaggregated by type of activity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4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15"/>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4"/>
              </w:rPr>
              <w:t>Supply and Logistics segment revenues from contracts with customers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Crude oil transactions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9"/>
              <w:spacing w:after="0"/>
              <w:rPr>
                <w:sz w:val="20"/>
                <w:szCs w:val="20"/>
                <w:color w:val="auto"/>
              </w:rPr>
            </w:pPr>
            <w:r>
              <w:rPr>
                <w:rFonts w:ascii="Arial" w:cs="Arial" w:eastAsia="Arial" w:hAnsi="Arial"/>
                <w:sz w:val="18"/>
                <w:szCs w:val="18"/>
                <w:color w:val="auto"/>
              </w:rPr>
              <w:t>2,928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7,595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9"/>
              <w:spacing w:after="0"/>
              <w:rPr>
                <w:sz w:val="20"/>
                <w:szCs w:val="20"/>
                <w:color w:val="auto"/>
              </w:rPr>
            </w:pPr>
            <w:r>
              <w:rPr>
                <w:rFonts w:ascii="Arial" w:cs="Arial" w:eastAsia="Arial" w:hAnsi="Arial"/>
                <w:sz w:val="18"/>
                <w:szCs w:val="18"/>
                <w:color w:val="auto"/>
              </w:rPr>
              <w:t>10,251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14,532</w:t>
            </w: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NGL and other transactions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1,178</w:t>
            </w:r>
          </w:p>
        </w:tc>
      </w:tr>
      <w:tr>
        <w:trPr>
          <w:trHeight w:val="264"/>
        </w:trPr>
        <w:tc>
          <w:tcPr>
            <w:tcW w:w="5840" w:type="dxa"/>
            <w:vAlign w:val="bottom"/>
          </w:tcPr>
          <w:p>
            <w:pPr>
              <w:ind w:left="20"/>
              <w:spacing w:after="0"/>
              <w:rPr>
                <w:sz w:val="20"/>
                <w:szCs w:val="20"/>
                <w:color w:val="auto"/>
              </w:rPr>
            </w:pPr>
            <w:r>
              <w:rPr>
                <w:rFonts w:ascii="Arial" w:cs="Arial" w:eastAsia="Arial" w:hAnsi="Arial"/>
                <w:sz w:val="18"/>
                <w:szCs w:val="18"/>
                <w:color w:val="auto"/>
                <w:w w:val="95"/>
              </w:rPr>
              <w:t>Total Supply and Logistics segment revenues from contracts with customers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rPr>
              <w:t>3,055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7,864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rPr>
              <w:t>10,806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15,710</w:t>
            </w:r>
          </w:p>
        </w:tc>
      </w:tr>
      <w:tr>
        <w:trPr>
          <w:trHeight w:val="20"/>
        </w:trPr>
        <w:tc>
          <w:tcPr>
            <w:tcW w:w="5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18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w w:val="95"/>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276"/>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58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Transportation segment revenues from contracts with customers</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3"/>
        </w:trPr>
        <w:tc>
          <w:tcPr>
            <w:tcW w:w="5860" w:type="dxa"/>
            <w:vAlign w:val="bottom"/>
          </w:tcPr>
          <w:p>
            <w:pPr>
              <w:ind w:left="120"/>
              <w:spacing w:after="0"/>
              <w:rPr>
                <w:sz w:val="20"/>
                <w:szCs w:val="20"/>
                <w:color w:val="auto"/>
              </w:rPr>
            </w:pPr>
            <w:r>
              <w:rPr>
                <w:rFonts w:ascii="Arial" w:cs="Arial" w:eastAsia="Arial" w:hAnsi="Arial"/>
                <w:sz w:val="18"/>
                <w:szCs w:val="18"/>
                <w:color w:val="auto"/>
              </w:rPr>
              <w:t>Tariff activities:</w:t>
            </w: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Crude oil pipelines</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3"/>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971</w:t>
            </w:r>
          </w:p>
        </w:tc>
      </w:tr>
      <w:tr>
        <w:trPr>
          <w:trHeight w:val="243"/>
        </w:trPr>
        <w:tc>
          <w:tcPr>
            <w:tcW w:w="5860" w:type="dxa"/>
            <w:vAlign w:val="bottom"/>
          </w:tcPr>
          <w:p>
            <w:pPr>
              <w:ind w:left="220"/>
              <w:spacing w:after="0"/>
              <w:rPr>
                <w:sz w:val="20"/>
                <w:szCs w:val="20"/>
                <w:color w:val="auto"/>
              </w:rPr>
            </w:pPr>
            <w:r>
              <w:rPr>
                <w:rFonts w:ascii="Arial" w:cs="Arial" w:eastAsia="Arial" w:hAnsi="Arial"/>
                <w:sz w:val="18"/>
                <w:szCs w:val="18"/>
                <w:color w:val="auto"/>
              </w:rPr>
              <w:t>NGL pipelines</w:t>
            </w:r>
          </w:p>
        </w:tc>
        <w:tc>
          <w:tcPr>
            <w:tcW w:w="820" w:type="dxa"/>
            <w:vAlign w:val="bottom"/>
          </w:tcPr>
          <w:p>
            <w:pPr>
              <w:spacing w:after="0"/>
              <w:rPr>
                <w:sz w:val="21"/>
                <w:szCs w:val="21"/>
                <w:color w:val="auto"/>
              </w:rPr>
            </w:pPr>
          </w:p>
        </w:tc>
        <w:tc>
          <w:tcPr>
            <w:tcW w:w="460" w:type="dxa"/>
            <w:vAlign w:val="bottom"/>
          </w:tcPr>
          <w:p>
            <w:pPr>
              <w:jc w:val="right"/>
              <w:ind w:right="7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50</w:t>
            </w:r>
          </w:p>
        </w:tc>
      </w:tr>
      <w:tr>
        <w:trPr>
          <w:trHeight w:val="27"/>
        </w:trPr>
        <w:tc>
          <w:tcPr>
            <w:tcW w:w="58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tariff activities</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3"/>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969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1,021</w:t>
            </w:r>
          </w:p>
        </w:tc>
      </w:tr>
      <w:tr>
        <w:trPr>
          <w:trHeight w:val="243"/>
        </w:trPr>
        <w:tc>
          <w:tcPr>
            <w:tcW w:w="5860" w:type="dxa"/>
            <w:vAlign w:val="bottom"/>
          </w:tcPr>
          <w:p>
            <w:pPr>
              <w:ind w:left="120"/>
              <w:spacing w:after="0"/>
              <w:rPr>
                <w:sz w:val="20"/>
                <w:szCs w:val="20"/>
                <w:color w:val="auto"/>
              </w:rPr>
            </w:pPr>
            <w:r>
              <w:rPr>
                <w:rFonts w:ascii="Arial" w:cs="Arial" w:eastAsia="Arial" w:hAnsi="Arial"/>
                <w:sz w:val="18"/>
                <w:szCs w:val="18"/>
                <w:color w:val="auto"/>
              </w:rPr>
              <w:t>Trucking</w:t>
            </w:r>
          </w:p>
        </w:tc>
        <w:tc>
          <w:tcPr>
            <w:tcW w:w="820" w:type="dxa"/>
            <w:vAlign w:val="bottom"/>
          </w:tcPr>
          <w:p>
            <w:pPr>
              <w:spacing w:after="0"/>
              <w:rPr>
                <w:sz w:val="21"/>
                <w:szCs w:val="21"/>
                <w:color w:val="auto"/>
              </w:rPr>
            </w:pPr>
          </w:p>
        </w:tc>
        <w:tc>
          <w:tcPr>
            <w:tcW w:w="460" w:type="dxa"/>
            <w:vAlign w:val="bottom"/>
          </w:tcPr>
          <w:p>
            <w:pPr>
              <w:jc w:val="right"/>
              <w:ind w:right="7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74</w:t>
            </w:r>
          </w:p>
        </w:tc>
      </w:tr>
      <w:tr>
        <w:trPr>
          <w:trHeight w:val="27"/>
        </w:trPr>
        <w:tc>
          <w:tcPr>
            <w:tcW w:w="58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Transportation segment revenues from contracts with customers</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3"/>
              </w:rPr>
              <w:t>453</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551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1,095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5"/>
        </w:trPr>
        <w:tc>
          <w:tcPr>
            <w:tcW w:w="5860" w:type="dxa"/>
            <w:vAlign w:val="bottom"/>
          </w:tcPr>
          <w:p>
            <w:pPr>
              <w:spacing w:after="0"/>
              <w:rPr>
                <w:sz w:val="24"/>
                <w:szCs w:val="24"/>
                <w:color w:val="auto"/>
              </w:rPr>
            </w:pPr>
          </w:p>
        </w:tc>
        <w:tc>
          <w:tcPr>
            <w:tcW w:w="218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w w:val="95"/>
              </w:rPr>
              <w:t>Three Months Ended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276"/>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58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3"/>
        </w:trPr>
        <w:tc>
          <w:tcPr>
            <w:tcW w:w="5860" w:type="dxa"/>
            <w:vAlign w:val="bottom"/>
          </w:tcPr>
          <w:p>
            <w:pPr>
              <w:ind w:left="120"/>
              <w:spacing w:after="0"/>
              <w:rPr>
                <w:sz w:val="20"/>
                <w:szCs w:val="20"/>
                <w:color w:val="auto"/>
              </w:rPr>
            </w:pPr>
            <w:r>
              <w:rPr>
                <w:rFonts w:ascii="Arial" w:cs="Arial" w:eastAsia="Arial" w:hAnsi="Arial"/>
                <w:sz w:val="18"/>
                <w:szCs w:val="18"/>
                <w:color w:val="auto"/>
              </w:rPr>
              <w:t>Crude oil, NGL and other terminalling and storage</w:t>
            </w:r>
          </w:p>
        </w:tc>
        <w:tc>
          <w:tcPr>
            <w:tcW w:w="820" w:type="dxa"/>
            <w:vAlign w:val="bottom"/>
          </w:tcPr>
          <w:p>
            <w:pPr>
              <w:jc w:val="right"/>
              <w:ind w:right="61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73"/>
              <w:spacing w:after="0"/>
              <w:rPr>
                <w:sz w:val="20"/>
                <w:szCs w:val="20"/>
                <w:color w:val="auto"/>
              </w:rPr>
            </w:pPr>
            <w:r>
              <w:rPr>
                <w:rFonts w:ascii="Arial" w:cs="Arial" w:eastAsia="Arial" w:hAnsi="Arial"/>
                <w:sz w:val="18"/>
                <w:szCs w:val="18"/>
                <w:color w:val="auto"/>
                <w:w w:val="93"/>
              </w:rPr>
              <w:t>176</w:t>
            </w:r>
          </w:p>
        </w:tc>
        <w:tc>
          <w:tcPr>
            <w:tcW w:w="100" w:type="dxa"/>
            <w:vAlign w:val="bottom"/>
          </w:tcPr>
          <w:p>
            <w:pPr>
              <w:spacing w:after="0"/>
              <w:rPr>
                <w:sz w:val="21"/>
                <w:szCs w:val="21"/>
                <w:color w:val="auto"/>
              </w:rPr>
            </w:pPr>
          </w:p>
        </w:tc>
        <w:tc>
          <w:tcPr>
            <w:tcW w:w="800" w:type="dxa"/>
            <w:vAlign w:val="bottom"/>
          </w:tcPr>
          <w:p>
            <w:pPr>
              <w:jc w:val="right"/>
              <w:ind w:right="59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w w:val="93"/>
              </w:rPr>
              <w:t>177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349</w:t>
            </w:r>
          </w:p>
        </w:tc>
      </w:tr>
      <w:tr>
        <w:trPr>
          <w:trHeight w:val="27"/>
        </w:trPr>
        <w:tc>
          <w:tcPr>
            <w:tcW w:w="5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NGL and natural gas processing and fractionation</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175</w:t>
            </w:r>
          </w:p>
        </w:tc>
      </w:tr>
      <w:tr>
        <w:trPr>
          <w:trHeight w:val="243"/>
        </w:trPr>
        <w:tc>
          <w:tcPr>
            <w:tcW w:w="5860" w:type="dxa"/>
            <w:vAlign w:val="bottom"/>
          </w:tcPr>
          <w:p>
            <w:pPr>
              <w:ind w:left="120"/>
              <w:spacing w:after="0"/>
              <w:rPr>
                <w:sz w:val="20"/>
                <w:szCs w:val="20"/>
                <w:color w:val="auto"/>
              </w:rPr>
            </w:pPr>
            <w:r>
              <w:rPr>
                <w:rFonts w:ascii="Arial" w:cs="Arial" w:eastAsia="Arial" w:hAnsi="Arial"/>
                <w:sz w:val="18"/>
                <w:szCs w:val="18"/>
                <w:color w:val="auto"/>
              </w:rPr>
              <w:t>Rail load / unload</w:t>
            </w:r>
          </w:p>
        </w:tc>
        <w:tc>
          <w:tcPr>
            <w:tcW w:w="820" w:type="dxa"/>
            <w:vAlign w:val="bottom"/>
          </w:tcPr>
          <w:p>
            <w:pPr>
              <w:spacing w:after="0"/>
              <w:rPr>
                <w:sz w:val="21"/>
                <w:szCs w:val="21"/>
                <w:color w:val="auto"/>
              </w:rPr>
            </w:pPr>
          </w:p>
        </w:tc>
        <w:tc>
          <w:tcPr>
            <w:tcW w:w="460" w:type="dxa"/>
            <w:vAlign w:val="bottom"/>
          </w:tcPr>
          <w:p>
            <w:pPr>
              <w:jc w:val="right"/>
              <w:ind w:right="7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39</w:t>
            </w:r>
          </w:p>
        </w:tc>
      </w:tr>
      <w:tr>
        <w:trPr>
          <w:trHeight w:val="27"/>
        </w:trPr>
        <w:tc>
          <w:tcPr>
            <w:tcW w:w="58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Facilities segment revenues from contracts with customers</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3"/>
              </w:rPr>
              <w:t>264</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283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563</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i w:val="1"/>
          <w:iCs w:val="1"/>
          <w:color w:val="auto"/>
        </w:rPr>
        <w:t xml:space="preserve">Reconciliation to Total Revenues of Reportable Segments. </w:t>
      </w:r>
      <w:r>
        <w:rPr>
          <w:rFonts w:ascii="Arial" w:cs="Arial" w:eastAsia="Arial" w:hAnsi="Arial"/>
          <w:sz w:val="16"/>
          <w:szCs w:val="16"/>
          <w:color w:val="auto"/>
        </w:rPr>
        <w:t>The following tables present the reconciliation of our revenues from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segment revenues and total revenues as disclosed in our Condensed Consolidated Statements of Operations (in millions):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June 30, 2020</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1"/>
              </w:rPr>
              <w:t>Logistics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3,055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4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2,925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37"/>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June 30, 2019</w:t>
            </w:r>
          </w:p>
        </w:tc>
        <w:tc>
          <w:tcPr>
            <w:tcW w:w="1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1"/>
              </w:rPr>
              <w:t>Logistics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7,864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4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7,915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8,765</w:t>
            </w:r>
          </w:p>
        </w:tc>
        <w:tc>
          <w:tcPr>
            <w:tcW w:w="0" w:type="dxa"/>
            <w:vAlign w:val="bottom"/>
          </w:tcPr>
          <w:p>
            <w:pPr>
              <w:spacing w:after="0"/>
              <w:rPr>
                <w:sz w:val="1"/>
                <w:szCs w:val="1"/>
                <w:color w:val="auto"/>
              </w:rPr>
            </w:pPr>
          </w:p>
        </w:tc>
      </w:tr>
      <w:tr>
        <w:trPr>
          <w:trHeight w:val="237"/>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Six Months Ended June 30, 2020</w:t>
            </w:r>
          </w:p>
        </w:tc>
        <w:tc>
          <w:tcPr>
            <w:tcW w:w="1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1"/>
              </w:rPr>
              <w:t>Logistics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10,806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12,401</w:t>
            </w:r>
          </w:p>
        </w:tc>
        <w:tc>
          <w:tcPr>
            <w:tcW w:w="0" w:type="dxa"/>
            <w:vAlign w:val="bottom"/>
          </w:tcPr>
          <w:p>
            <w:pPr>
              <w:spacing w:after="0"/>
              <w:rPr>
                <w:sz w:val="1"/>
                <w:szCs w:val="1"/>
                <w:color w:val="auto"/>
              </w:rPr>
            </w:pP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4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10,834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12,459</w:t>
            </w:r>
          </w:p>
        </w:tc>
        <w:tc>
          <w:tcPr>
            <w:tcW w:w="0" w:type="dxa"/>
            <w:vAlign w:val="bottom"/>
          </w:tcPr>
          <w:p>
            <w:pPr>
              <w:spacing w:after="0"/>
              <w:rPr>
                <w:sz w:val="1"/>
                <w:szCs w:val="1"/>
                <w:color w:val="auto"/>
              </w:rPr>
            </w:pPr>
          </w:p>
        </w:tc>
      </w:tr>
      <w:tr>
        <w:trPr>
          <w:trHeight w:val="237"/>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11,494</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Six Months Ended June 30, 2019</w:t>
            </w:r>
          </w:p>
        </w:tc>
        <w:tc>
          <w:tcPr>
            <w:tcW w:w="1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1"/>
              </w:rPr>
              <w:t>Logistics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15,710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17,368</w:t>
            </w:r>
          </w:p>
        </w:tc>
        <w:tc>
          <w:tcPr>
            <w:tcW w:w="0" w:type="dxa"/>
            <w:vAlign w:val="bottom"/>
          </w:tcPr>
          <w:p>
            <w:pPr>
              <w:spacing w:after="0"/>
              <w:rPr>
                <w:sz w:val="1"/>
                <w:szCs w:val="1"/>
                <w:color w:val="auto"/>
              </w:rPr>
            </w:pP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4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1,115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15,938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37"/>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5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16,628</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transport or throughput a minimum volume over an</w:t>
      </w:r>
      <w:r>
        <w:rPr>
          <w:rFonts w:ascii="Arial" w:cs="Arial" w:eastAsia="Arial" w:hAnsi="Arial"/>
          <w:sz w:val="17"/>
          <w:szCs w:val="17"/>
          <w:i w:val="1"/>
          <w:iCs w:val="1"/>
          <w:color w:val="auto"/>
        </w:rPr>
        <w:t xml:space="preserve"> </w:t>
      </w:r>
      <w:r>
        <w:rPr>
          <w:rFonts w:ascii="Arial" w:cs="Arial" w:eastAsia="Arial" w:hAnsi="Arial"/>
          <w:sz w:val="17"/>
          <w:szCs w:val="17"/>
          <w:color w:val="auto"/>
        </w:rPr>
        <w:t>agreed upon period. At June 30, 2020 and December 31, 2019, counterparty deficiencies associated with contracts with customers and buy/sell arrangements that include minimum volume commitments for which we have remaining performance obligations and the customers still have the ability to meet their obligations totaled $50 million and $42 million, respectively. Billed counterparty deficiencies of $19 million and $22 million at June 30, 2020 and December 31, 2019, respectively, were recorded as a liability. Unbilled counterparty deficiencies of $31 million and $20 million at June 30, 2020 and December 31, 2019, respectively, were not reflected in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i w:val="1"/>
          <w:iCs w:val="1"/>
          <w:color w:val="auto"/>
        </w:rPr>
        <w:t>Contract Balances</w:t>
      </w:r>
      <w:r>
        <w:rPr>
          <w:rFonts w:ascii="Arial" w:cs="Arial" w:eastAsia="Arial" w:hAnsi="Arial"/>
          <w:sz w:val="18"/>
          <w:szCs w:val="18"/>
          <w:color w:val="auto"/>
        </w:rPr>
        <w:t>. Our contract balances consist of amounts received associated with services or sales for which we have not yet completed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performance obligation. The following table presents the change in the Topic 606 contract liability balance during the six months ended June 30, 2020 (in millions):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Contract Liabilities</w:t>
            </w:r>
          </w:p>
        </w:tc>
      </w:tr>
      <w:tr>
        <w:trPr>
          <w:trHeight w:val="295"/>
        </w:trPr>
        <w:tc>
          <w:tcPr>
            <w:tcW w:w="9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center"/>
              <w:ind w:left="1054"/>
              <w:spacing w:after="0"/>
              <w:rPr>
                <w:sz w:val="20"/>
                <w:szCs w:val="20"/>
                <w:color w:val="auto"/>
              </w:rPr>
            </w:pPr>
            <w:r>
              <w:rPr>
                <w:rFonts w:ascii="Arial" w:cs="Arial" w:eastAsia="Arial" w:hAnsi="Arial"/>
                <w:sz w:val="18"/>
                <w:szCs w:val="18"/>
                <w:color w:val="auto"/>
                <w:w w:val="86"/>
              </w:rPr>
              <w:t>354</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220" w:type="dxa"/>
            <w:vAlign w:val="bottom"/>
          </w:tcPr>
          <w:p>
            <w:pPr>
              <w:ind w:left="100"/>
              <w:spacing w:after="0"/>
              <w:rPr>
                <w:sz w:val="20"/>
                <w:szCs w:val="20"/>
                <w:color w:val="auto"/>
              </w:rPr>
            </w:pPr>
            <w:r>
              <w:rPr>
                <w:rFonts w:ascii="Arial" w:cs="Arial" w:eastAsia="Arial" w:hAnsi="Arial"/>
                <w:sz w:val="18"/>
                <w:szCs w:val="18"/>
                <w:color w:val="auto"/>
              </w:rPr>
              <w:t>Amounts recognized as revenue</w:t>
            </w:r>
          </w:p>
        </w:tc>
        <w:tc>
          <w:tcPr>
            <w:tcW w:w="240" w:type="dxa"/>
            <w:vAlign w:val="bottom"/>
          </w:tcPr>
          <w:p>
            <w:pPr>
              <w:spacing w:after="0"/>
              <w:rPr>
                <w:sz w:val="18"/>
                <w:szCs w:val="18"/>
                <w:color w:val="auto"/>
              </w:rPr>
            </w:pPr>
          </w:p>
        </w:tc>
        <w:tc>
          <w:tcPr>
            <w:tcW w:w="1720" w:type="dxa"/>
            <w:vAlign w:val="bottom"/>
          </w:tcPr>
          <w:p>
            <w:pPr>
              <w:jc w:val="center"/>
              <w:ind w:left="1034"/>
              <w:spacing w:after="0"/>
              <w:rPr>
                <w:sz w:val="20"/>
                <w:szCs w:val="20"/>
                <w:color w:val="auto"/>
              </w:rPr>
            </w:pPr>
            <w:r>
              <w:rPr>
                <w:rFonts w:ascii="Arial" w:cs="Arial" w:eastAsia="Arial" w:hAnsi="Arial"/>
                <w:sz w:val="18"/>
                <w:szCs w:val="18"/>
                <w:color w:val="auto"/>
                <w:w w:val="95"/>
              </w:rPr>
              <w:t>(245)</w:t>
            </w:r>
          </w:p>
        </w:tc>
      </w:tr>
      <w:tr>
        <w:trPr>
          <w:trHeight w:val="27"/>
        </w:trPr>
        <w:tc>
          <w:tcPr>
            <w:tcW w:w="9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9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center"/>
              <w:ind w:left="1054"/>
              <w:spacing w:after="0"/>
              <w:rPr>
                <w:sz w:val="20"/>
                <w:szCs w:val="20"/>
                <w:color w:val="auto"/>
              </w:rPr>
            </w:pPr>
            <w:r>
              <w:rPr>
                <w:rFonts w:ascii="Arial" w:cs="Arial" w:eastAsia="Arial" w:hAnsi="Arial"/>
                <w:sz w:val="18"/>
                <w:szCs w:val="18"/>
                <w:color w:val="auto"/>
                <w:w w:val="86"/>
              </w:rPr>
              <w:t>193</w:t>
            </w:r>
          </w:p>
        </w:tc>
      </w:tr>
      <w:tr>
        <w:trPr>
          <w:trHeight w:val="264"/>
        </w:trPr>
        <w:tc>
          <w:tcPr>
            <w:tcW w:w="922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center"/>
              <w:ind w:left="1054"/>
              <w:spacing w:after="0"/>
              <w:rPr>
                <w:sz w:val="20"/>
                <w:szCs w:val="20"/>
                <w:color w:val="auto"/>
              </w:rPr>
            </w:pPr>
            <w:r>
              <w:rPr>
                <w:rFonts w:ascii="Arial" w:cs="Arial" w:eastAsia="Arial" w:hAnsi="Arial"/>
                <w:sz w:val="18"/>
                <w:szCs w:val="18"/>
                <w:color w:val="auto"/>
                <w:w w:val="86"/>
              </w:rPr>
              <w:t>302</w:t>
            </w:r>
          </w:p>
        </w:tc>
      </w:tr>
      <w:tr>
        <w:trPr>
          <w:trHeight w:val="20"/>
        </w:trPr>
        <w:tc>
          <w:tcPr>
            <w:tcW w:w="9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20" w:hanging="652"/>
        <w:spacing w:after="0" w:line="227" w:lineRule="auto"/>
        <w:tabs>
          <w:tab w:leader="none" w:pos="64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Includes approximately $155 million associated with crude oil sales agreements that are entered into in conjunction with storage arrangements and future inventory exchanges. Such amount is expected to be recognized as revenue in the third quarter of 2020.</w:t>
      </w:r>
    </w:p>
    <w:p>
      <w:pPr>
        <w:spacing w:after="0" w:line="28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Topic 606 requires a presentation of information about partially and wholly unsatisfied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under contracts that exist as of the end of the period. The information includes the amount of consideration allocated to those remaining performance obligations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These contracts are all within the scope of Topic 606. The following table presents the amount of consideration associated with remaining performance obligations for the population of contracts with external customers meeting the presentation requirements as of June 30, 2020 (in millions):</w:t>
      </w:r>
    </w:p>
    <w:p>
      <w:pPr>
        <w:spacing w:after="0" w:line="237" w:lineRule="exact"/>
        <w:rPr>
          <w:sz w:val="20"/>
          <w:szCs w:val="20"/>
          <w:color w:val="auto"/>
        </w:rPr>
      </w:pPr>
    </w:p>
    <w:tbl>
      <w:tblPr>
        <w:tblLayout w:type="fixed"/>
        <w:tblInd w:w="4380" w:type="dxa"/>
        <w:tblCellMar>
          <w:top w:w="0" w:type="dxa"/>
          <w:left w:w="0" w:type="dxa"/>
          <w:bottom w:w="0" w:type="dxa"/>
          <w:right w:w="0" w:type="dxa"/>
        </w:tblCellMar>
      </w:tblPr>
      <w:tr>
        <w:trPr>
          <w:trHeight w:val="161"/>
        </w:trPr>
        <w:tc>
          <w:tcPr>
            <w:tcW w:w="1140" w:type="dxa"/>
            <w:vAlign w:val="bottom"/>
          </w:tcPr>
          <w:p>
            <w:pPr>
              <w:jc w:val="center"/>
              <w:ind w:right="228"/>
              <w:spacing w:after="0"/>
              <w:rPr>
                <w:sz w:val="20"/>
                <w:szCs w:val="20"/>
                <w:color w:val="auto"/>
              </w:rPr>
            </w:pPr>
            <w:r>
              <w:rPr>
                <w:rFonts w:ascii="Arial" w:cs="Arial" w:eastAsia="Arial" w:hAnsi="Arial"/>
                <w:sz w:val="14"/>
                <w:szCs w:val="14"/>
                <w:b w:val="1"/>
                <w:bCs w:val="1"/>
                <w:color w:val="auto"/>
                <w:w w:val="93"/>
              </w:rPr>
              <w:t>Remainder of</w:t>
            </w:r>
          </w:p>
        </w:tc>
        <w:tc>
          <w:tcPr>
            <w:tcW w:w="10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1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1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0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1000" w:type="dxa"/>
            <w:vAlign w:val="bottom"/>
          </w:tcPr>
          <w:p>
            <w:pPr>
              <w:jc w:val="center"/>
              <w:ind w:left="288"/>
              <w:spacing w:after="0"/>
              <w:rPr>
                <w:sz w:val="20"/>
                <w:szCs w:val="20"/>
                <w:color w:val="auto"/>
              </w:rPr>
            </w:pPr>
            <w:r>
              <w:rPr>
                <w:rFonts w:ascii="Arial" w:cs="Arial" w:eastAsia="Arial" w:hAnsi="Arial"/>
                <w:sz w:val="14"/>
                <w:szCs w:val="14"/>
                <w:b w:val="1"/>
                <w:bCs w:val="1"/>
                <w:color w:val="auto"/>
                <w:w w:val="93"/>
              </w:rPr>
              <w:t>2025 and</w:t>
            </w:r>
          </w:p>
        </w:tc>
        <w:tc>
          <w:tcPr>
            <w:tcW w:w="0" w:type="dxa"/>
            <w:vAlign w:val="bottom"/>
          </w:tcPr>
          <w:p>
            <w:pPr>
              <w:spacing w:after="0"/>
              <w:rPr>
                <w:sz w:val="1"/>
                <w:szCs w:val="1"/>
                <w:color w:val="auto"/>
              </w:rPr>
            </w:pPr>
          </w:p>
        </w:tc>
      </w:tr>
      <w:tr>
        <w:trPr>
          <w:trHeight w:val="186"/>
        </w:trPr>
        <w:tc>
          <w:tcPr>
            <w:tcW w:w="1140" w:type="dxa"/>
            <w:vAlign w:val="bottom"/>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2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0" w:type="dxa"/>
            <w:vAlign w:val="bottom"/>
          </w:tcPr>
          <w:p>
            <w:pPr>
              <w:jc w:val="center"/>
              <w:ind w:left="268"/>
              <w:spacing w:after="0"/>
              <w:rPr>
                <w:sz w:val="20"/>
                <w:szCs w:val="20"/>
                <w:color w:val="auto"/>
              </w:rPr>
            </w:pPr>
            <w:r>
              <w:rPr>
                <w:rFonts w:ascii="Arial" w:cs="Arial" w:eastAsia="Arial" w:hAnsi="Arial"/>
                <w:sz w:val="14"/>
                <w:szCs w:val="14"/>
                <w:b w:val="1"/>
                <w:bCs w:val="1"/>
                <w:color w:val="auto"/>
                <w:w w:val="96"/>
              </w:rPr>
              <w:t>Thereafter</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5" w:right="359" w:bottom="1440" w:gutter="0" w:footer="0" w:header="0"/>
        </w:sectPr>
      </w:pPr>
    </w:p>
    <w:tbl>
      <w:tblPr>
        <w:tblLayout w:type="fixed"/>
        <w:tblInd w:w="80" w:type="dxa"/>
        <w:tblCellMar>
          <w:top w:w="0" w:type="dxa"/>
          <w:left w:w="0" w:type="dxa"/>
          <w:bottom w:w="0" w:type="dxa"/>
          <w:right w:w="0" w:type="dxa"/>
        </w:tblCellMar>
      </w:tblPr>
      <w:tr>
        <w:trPr>
          <w:trHeight w:val="187"/>
        </w:trPr>
        <w:tc>
          <w:tcPr>
            <w:tcW w:w="4160" w:type="dxa"/>
            <w:vAlign w:val="bottom"/>
          </w:tcPr>
          <w:p>
            <w:pPr>
              <w:spacing w:after="0" w:line="188" w:lineRule="exact"/>
              <w:rPr>
                <w:sz w:val="20"/>
                <w:szCs w:val="20"/>
                <w:color w:val="auto"/>
              </w:rPr>
            </w:pPr>
            <w:r>
              <w:rPr>
                <w:rFonts w:ascii="Arial" w:cs="Arial" w:eastAsia="Arial" w:hAnsi="Arial"/>
                <w:sz w:val="18"/>
                <w:szCs w:val="18"/>
                <w:color w:val="auto"/>
              </w:rPr>
              <w:t>Pipeline revenues supported by minimum volume</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9"/>
        </w:trPr>
        <w:tc>
          <w:tcPr>
            <w:tcW w:w="4160" w:type="dxa"/>
            <w:vAlign w:val="bottom"/>
          </w:tcPr>
          <w:p>
            <w:pPr>
              <w:ind w:left="160"/>
              <w:spacing w:after="0"/>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3"/>
                <w:szCs w:val="23"/>
                <w:color w:val="auto"/>
                <w:vertAlign w:val="superscript"/>
              </w:rPr>
              <w:t>(1)</w:t>
            </w:r>
          </w:p>
        </w:tc>
        <w:tc>
          <w:tcPr>
            <w:tcW w:w="1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w w:val="89"/>
              </w:rPr>
              <w:t>Storage, terminalling and throughput agreement revenues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160" w:type="dxa"/>
            <w:vAlign w:val="bottom"/>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24599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170"/>
              <w:spacing w:after="0"/>
              <w:rPr>
                <w:sz w:val="20"/>
                <w:szCs w:val="20"/>
                <w:color w:val="auto"/>
              </w:rPr>
            </w:pPr>
            <w:r>
              <w:rPr>
                <w:rFonts w:ascii="Arial" w:cs="Arial" w:eastAsia="Arial" w:hAnsi="Arial"/>
                <w:sz w:val="18"/>
                <w:szCs w:val="18"/>
                <w:color w:val="auto"/>
              </w:rPr>
              <w:t>78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580</w:t>
            </w:r>
          </w:p>
        </w:tc>
      </w:tr>
      <w:tr>
        <w:trPr>
          <w:trHeight w:val="270"/>
        </w:trPr>
        <w:tc>
          <w:tcPr>
            <w:tcW w:w="540" w:type="dxa"/>
            <w:vAlign w:val="bottom"/>
          </w:tcPr>
          <w:p>
            <w:pPr>
              <w:jc w:val="right"/>
              <w:ind w:right="170"/>
              <w:spacing w:after="0"/>
              <w:rPr>
                <w:sz w:val="20"/>
                <w:szCs w:val="20"/>
                <w:color w:val="auto"/>
              </w:rPr>
            </w:pPr>
            <w:r>
              <w:rPr>
                <w:rFonts w:ascii="Arial" w:cs="Arial" w:eastAsia="Arial" w:hAnsi="Arial"/>
                <w:sz w:val="18"/>
                <w:szCs w:val="18"/>
                <w:color w:val="auto"/>
                <w:w w:val="86"/>
              </w:rPr>
              <w:t>216</w:t>
            </w:r>
          </w:p>
        </w:tc>
        <w:tc>
          <w:tcPr>
            <w:tcW w:w="360" w:type="dxa"/>
            <w:vAlign w:val="bottom"/>
          </w:tcPr>
          <w:p>
            <w:pPr>
              <w:spacing w:after="0"/>
              <w:rPr>
                <w:sz w:val="23"/>
                <w:szCs w:val="23"/>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416</w:t>
            </w:r>
          </w:p>
        </w:tc>
      </w:tr>
      <w:tr>
        <w:trPr>
          <w:trHeight w:val="27"/>
        </w:trPr>
        <w:tc>
          <w:tcPr>
            <w:tcW w:w="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jc w:val="right"/>
              <w:ind w:right="170"/>
              <w:spacing w:after="0"/>
              <w:rPr>
                <w:sz w:val="20"/>
                <w:szCs w:val="20"/>
                <w:color w:val="auto"/>
              </w:rPr>
            </w:pPr>
            <w:r>
              <w:rPr>
                <w:rFonts w:ascii="Arial" w:cs="Arial" w:eastAsia="Arial" w:hAnsi="Arial"/>
                <w:sz w:val="18"/>
                <w:szCs w:val="18"/>
                <w:color w:val="auto"/>
                <w:w w:val="86"/>
              </w:rPr>
              <w:t>294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996</w:t>
            </w:r>
          </w:p>
        </w:tc>
      </w:tr>
      <w:tr>
        <w:trPr>
          <w:trHeight w:val="27"/>
        </w:trPr>
        <w:tc>
          <w:tcPr>
            <w:tcW w:w="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-3071495</wp:posOffset>
            </wp:positionH>
            <wp:positionV relativeFrom="paragraph">
              <wp:posOffset>-213995</wp:posOffset>
            </wp:positionV>
            <wp:extent cx="7063740"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63740" cy="214630"/>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-642620</wp:posOffset>
            </wp:positionV>
            <wp:extent cx="7063740" cy="257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6374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540"/>
            <w:col w:w="6320"/>
          </w:cols>
          <w:pgMar w:left="320" w:top="125" w:right="359" w:bottom="1440" w:gutter="0" w:footer="0" w:header="0"/>
          <w:type w:val="continuous"/>
        </w:sectPr>
      </w:pPr>
    </w:p>
    <w:p>
      <w:pPr>
        <w:spacing w:after="0" w:line="305" w:lineRule="exact"/>
        <w:rPr>
          <w:sz w:val="20"/>
          <w:szCs w:val="20"/>
          <w:color w:val="auto"/>
        </w:rPr>
      </w:pPr>
    </w:p>
    <w:p>
      <w:pPr>
        <w:ind w:left="640" w:hanging="632"/>
        <w:spacing w:after="0"/>
        <w:tabs>
          <w:tab w:leader="none" w:pos="64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Topic 606 or do not meet the requirements for presentation as remaining performance obligations under Topic 606. The following are examples of contracts that are not included in the table above because they are not within the scope of Topic 606 or do not meet the Topic 606 requirements for presentation:</w:t>
      </w:r>
    </w:p>
    <w:p>
      <w:pPr>
        <w:spacing w:after="0" w:line="188" w:lineRule="exact"/>
        <w:rPr>
          <w:sz w:val="20"/>
          <w:szCs w:val="20"/>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Acreage dedications;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and Logistics buy/sell arrangements with future committed volumes;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other Supply and Logistics contracts, due to the election of practical expedients related to variable consideration and short-term contracts;</w:t>
      </w:r>
    </w:p>
    <w:p>
      <w:pPr>
        <w:spacing w:after="0" w:line="140" w:lineRule="exact"/>
        <w:rPr>
          <w:rFonts w:ascii="Arial" w:cs="Arial" w:eastAsia="Arial" w:hAnsi="Arial"/>
          <w:sz w:val="16"/>
          <w:szCs w:val="16"/>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During the first quarter of 2020, macroeconomic and geopolitical conditions including the collapse of oil prices driven by both the decrease in demand caused by the COVID-19 pandemic and excess supply has caused liquidity issues impacting many energy companies, which in turn has increased the potential credit risks associated with certain counterparties with which we do business.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8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June 30, 2020 and December 31, 2019, substantially all of our trade accounts receivable were less than 30 days past their scheduled invoice date. Our expected credit losses are immaterial. Although we consider our credit procedures to be adequate to mitigate any significant credit losses, given the sharp decline in demand for crude oil and the drop in prices, the actual amount of current and future credit losses could vary significantly from estimated amounts.</w:t>
      </w:r>
    </w:p>
    <w:p>
      <w:pPr>
        <w:spacing w:after="0" w:line="21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92"/>
        </w:trPr>
        <w:tc>
          <w:tcPr>
            <w:tcW w:w="8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336"/>
              <w:spacing w:after="0"/>
              <w:rPr>
                <w:sz w:val="20"/>
                <w:szCs w:val="20"/>
                <w:color w:val="auto"/>
              </w:rPr>
            </w:pPr>
            <w:r>
              <w:rPr>
                <w:rFonts w:ascii="Arial" w:cs="Arial" w:eastAsia="Arial" w:hAnsi="Arial"/>
                <w:sz w:val="18"/>
                <w:szCs w:val="18"/>
                <w:color w:val="auto"/>
                <w:w w:val="93"/>
              </w:rPr>
              <w:t>1,588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center"/>
              <w:ind w:left="494"/>
              <w:spacing w:after="0"/>
              <w:rPr>
                <w:sz w:val="20"/>
                <w:szCs w:val="20"/>
                <w:color w:val="auto"/>
              </w:rPr>
            </w:pPr>
            <w:r>
              <w:rPr>
                <w:rFonts w:ascii="Arial" w:cs="Arial" w:eastAsia="Arial" w:hAnsi="Arial"/>
                <w:sz w:val="18"/>
                <w:szCs w:val="18"/>
                <w:color w:val="auto"/>
                <w:w w:val="93"/>
              </w:rPr>
              <w:t>3,381</w:t>
            </w:r>
          </w:p>
        </w:tc>
        <w:tc>
          <w:tcPr>
            <w:tcW w:w="0" w:type="dxa"/>
            <w:vAlign w:val="bottom"/>
          </w:tcPr>
          <w:p>
            <w:pPr>
              <w:spacing w:after="0"/>
              <w:rPr>
                <w:sz w:val="1"/>
                <w:szCs w:val="1"/>
                <w:color w:val="auto"/>
              </w:rPr>
            </w:pPr>
          </w:p>
        </w:tc>
      </w:tr>
      <w:tr>
        <w:trPr>
          <w:trHeight w:val="270"/>
        </w:trPr>
        <w:tc>
          <w:tcPr>
            <w:tcW w:w="8200" w:type="dxa"/>
            <w:vAlign w:val="bottom"/>
          </w:tcPr>
          <w:p>
            <w:pPr>
              <w:ind w:left="20"/>
              <w:spacing w:after="0"/>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1160" w:type="dxa"/>
            <w:vAlign w:val="bottom"/>
          </w:tcPr>
          <w:p>
            <w:pPr>
              <w:jc w:val="center"/>
              <w:ind w:left="336"/>
              <w:spacing w:after="0"/>
              <w:rPr>
                <w:sz w:val="20"/>
                <w:szCs w:val="20"/>
                <w:color w:val="auto"/>
              </w:rPr>
            </w:pPr>
            <w:r>
              <w:rPr>
                <w:rFonts w:ascii="Arial" w:cs="Arial" w:eastAsia="Arial" w:hAnsi="Arial"/>
                <w:sz w:val="18"/>
                <w:szCs w:val="18"/>
                <w:color w:val="auto"/>
                <w:w w:val="93"/>
              </w:rPr>
              <w:t>1,891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center"/>
              <w:ind w:left="494"/>
              <w:spacing w:after="0"/>
              <w:rPr>
                <w:sz w:val="20"/>
                <w:szCs w:val="20"/>
                <w:color w:val="auto"/>
              </w:rPr>
            </w:pPr>
            <w:r>
              <w:rPr>
                <w:rFonts w:ascii="Arial" w:cs="Arial" w:eastAsia="Arial" w:hAnsi="Arial"/>
                <w:sz w:val="18"/>
                <w:szCs w:val="18"/>
                <w:color w:val="auto"/>
                <w:w w:val="93"/>
              </w:rPr>
              <w:t>3,576</w:t>
            </w:r>
          </w:p>
        </w:tc>
        <w:tc>
          <w:tcPr>
            <w:tcW w:w="0" w:type="dxa"/>
            <w:vAlign w:val="bottom"/>
          </w:tcPr>
          <w:p>
            <w:pPr>
              <w:spacing w:after="0"/>
              <w:rPr>
                <w:sz w:val="1"/>
                <w:szCs w:val="1"/>
                <w:color w:val="auto"/>
              </w:rPr>
            </w:pPr>
          </w:p>
        </w:tc>
      </w:tr>
      <w:tr>
        <w:trPr>
          <w:trHeight w:val="27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center"/>
              <w:ind w:left="316"/>
              <w:spacing w:after="0"/>
              <w:rPr>
                <w:sz w:val="20"/>
                <w:szCs w:val="20"/>
                <w:color w:val="auto"/>
              </w:rPr>
            </w:pPr>
            <w:r>
              <w:rPr>
                <w:rFonts w:ascii="Arial" w:cs="Arial" w:eastAsia="Arial" w:hAnsi="Arial"/>
                <w:sz w:val="18"/>
                <w:szCs w:val="18"/>
                <w:color w:val="auto"/>
                <w:w w:val="91"/>
              </w:rPr>
              <w:t>(1,560)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center"/>
              <w:ind w:left="474"/>
              <w:spacing w:after="0"/>
              <w:rPr>
                <w:sz w:val="20"/>
                <w:szCs w:val="20"/>
                <w:color w:val="auto"/>
              </w:rPr>
            </w:pPr>
            <w:r>
              <w:rPr>
                <w:rFonts w:ascii="Arial" w:cs="Arial" w:eastAsia="Arial" w:hAnsi="Arial"/>
                <w:sz w:val="18"/>
                <w:szCs w:val="18"/>
                <w:color w:val="auto"/>
                <w:w w:val="91"/>
              </w:rPr>
              <w:t>(3,343)</w:t>
            </w:r>
          </w:p>
        </w:tc>
        <w:tc>
          <w:tcPr>
            <w:tcW w:w="0" w:type="dxa"/>
            <w:vAlign w:val="bottom"/>
          </w:tcPr>
          <w:p>
            <w:pPr>
              <w:spacing w:after="0"/>
              <w:rPr>
                <w:sz w:val="1"/>
                <w:szCs w:val="1"/>
                <w:color w:val="auto"/>
              </w:rPr>
            </w:pPr>
          </w:p>
        </w:tc>
      </w:tr>
      <w:tr>
        <w:trPr>
          <w:trHeight w:val="263"/>
        </w:trPr>
        <w:tc>
          <w:tcPr>
            <w:tcW w:w="8200" w:type="dxa"/>
            <w:vAlign w:val="bottom"/>
          </w:tcPr>
          <w:p>
            <w:pPr>
              <w:ind w:left="120"/>
              <w:spacing w:after="0"/>
              <w:rPr>
                <w:sz w:val="20"/>
                <w:szCs w:val="20"/>
                <w:color w:val="auto"/>
              </w:rPr>
            </w:pPr>
            <w:r>
              <w:rPr>
                <w:rFonts w:ascii="Arial" w:cs="Arial" w:eastAsia="Arial" w:hAnsi="Arial"/>
                <w:sz w:val="18"/>
                <w:szCs w:val="18"/>
                <w:color w:val="auto"/>
              </w:rPr>
              <w:t>Trade accounts receivable and other receivables,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center"/>
              <w:ind w:left="336"/>
              <w:spacing w:after="0"/>
              <w:rPr>
                <w:sz w:val="20"/>
                <w:szCs w:val="20"/>
                <w:color w:val="auto"/>
              </w:rPr>
            </w:pPr>
            <w:r>
              <w:rPr>
                <w:rFonts w:ascii="Arial" w:cs="Arial" w:eastAsia="Arial" w:hAnsi="Arial"/>
                <w:sz w:val="18"/>
                <w:szCs w:val="18"/>
                <w:color w:val="auto"/>
                <w:w w:val="93"/>
              </w:rPr>
              <w:t>1,919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center"/>
              <w:ind w:left="494"/>
              <w:spacing w:after="0"/>
              <w:rPr>
                <w:sz w:val="20"/>
                <w:szCs w:val="20"/>
                <w:color w:val="auto"/>
              </w:rPr>
            </w:pPr>
            <w:r>
              <w:rPr>
                <w:rFonts w:ascii="Arial" w:cs="Arial" w:eastAsia="Arial" w:hAnsi="Arial"/>
                <w:sz w:val="18"/>
                <w:szCs w:val="18"/>
                <w:color w:val="auto"/>
                <w:w w:val="93"/>
              </w:rPr>
              <w:t>3,614</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40" w:hanging="632"/>
        <w:spacing w:after="0"/>
        <w:tabs>
          <w:tab w:leader="none" w:pos="640"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Topic 606.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Income/(Loss) Per Class A Share</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Basic net income/(loss) per Class A share is determined by dividing net income/(loss)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spacing w:after="0" w:line="184"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Diluted net income/(loss) per Class A share is determined by dividing net income/(loss) attributable to PAGP by the diluted weighted average number of Class A shares outstanding during the period. For purposes of calculating diluted net income per Class A share, both the net income/(loss) attributable to PAGP and the diluted weighted average number of Class A shares outstanding consider the impact of possible future exchanges of (i) AAP units and the associated Class B shares into our Class A shares and (ii) certain Class B units of AAP (referred to herein as “AAP Management Units”)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12 to our Consolidated Financial Statements included in Part IV of our 2019 Annual Report on Form 10-K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 See Note 18 to our Consolidated Financial Statements included in Part IV of our 2019 Annual Report on Form 10-K for information regarding PAGP LTIP awards.</w:t>
      </w:r>
    </w:p>
    <w:p>
      <w:pPr>
        <w:spacing w:after="0" w:line="21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On a weighted-average basis, for the three months ended June 30, 2020 and 2019, the possible exchange of 63 million and 112 million AAP units, respectively, and for the six months ended June 30, 2020 and 2019, the possible exchange of 64 million and 116 million AAP units, respectively, would not have had a dilutive effect on basic net income/(loss) per Class A share. For the three months ended June 30, 2020, the possible exchange of 1 million AAP Management Units, and for the six months ended June 30, 2020 and 2019, the possible exchange of 1 million and 2 million AAP Management Units, respectively, would not have had a dilutive effect on basic net income/(loss) per Class A share on a weighted-average basis. For the three and six months ended June 30, 2020, our PAGP LTIP awards were antidilutive. For the three and six months ended June 30, 2019, our PAGP LTIP awards were dilutive; however, there were less than 0.1 million dilutive LTIP awards for each period, which did not change the presentation of diluted weighted average Class A shares outstanding or diluted net income/(loss) per Class A share.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sets forth the computation of basic and diluted net income/(loss) per Class A share (in millions, except per share data):</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16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Income/(Loss) per Class A Share</w:t>
            </w:r>
          </w:p>
        </w:tc>
        <w:tc>
          <w:tcPr>
            <w:tcW w:w="7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80"/>
              <w:spacing w:after="0"/>
              <w:rPr>
                <w:sz w:val="20"/>
                <w:szCs w:val="20"/>
                <w:color w:val="auto"/>
              </w:rPr>
            </w:pPr>
            <w:r>
              <w:rPr>
                <w:rFonts w:ascii="Arial" w:cs="Arial" w:eastAsia="Arial" w:hAnsi="Arial"/>
                <w:sz w:val="18"/>
                <w:szCs w:val="18"/>
                <w:color w:val="auto"/>
              </w:rPr>
              <w:t>Net income/(loss) attributable to PAGP</w:t>
            </w: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 weighted average Class A shares outstanding</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57"/>
        </w:trPr>
        <w:tc>
          <w:tcPr>
            <w:tcW w:w="5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5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 net income/(loss) per Class A share</w:t>
            </w:r>
          </w:p>
        </w:tc>
        <w:tc>
          <w:tcPr>
            <w:tcW w:w="780" w:type="dxa"/>
            <w:vAlign w:val="bottom"/>
            <w:tcBorders>
              <w:bottom w:val="single" w:sz="8" w:color="CCEEFF"/>
            </w:tcBorders>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1"/>
              </w:rPr>
              <w:t>0.09</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1"/>
              </w:rPr>
              <w:t>0.41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Income/(Loss) per Class A Share</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80"/>
              <w:spacing w:after="0"/>
              <w:rPr>
                <w:sz w:val="20"/>
                <w:szCs w:val="20"/>
                <w:color w:val="auto"/>
              </w:rPr>
            </w:pPr>
            <w:r>
              <w:rPr>
                <w:rFonts w:ascii="Arial" w:cs="Arial" w:eastAsia="Arial" w:hAnsi="Arial"/>
                <w:sz w:val="18"/>
                <w:szCs w:val="18"/>
                <w:color w:val="auto"/>
              </w:rPr>
              <w:t>Net income/(loss) attributable to PAGP</w:t>
            </w: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Incremental net income attributable to PAGP resulting from assumed</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exchange of AAP Management Units</w:t>
            </w:r>
          </w:p>
        </w:tc>
        <w:tc>
          <w:tcPr>
            <w:tcW w:w="7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40" w:type="dxa"/>
            <w:vAlign w:val="bottom"/>
          </w:tcPr>
          <w:p>
            <w:pPr>
              <w:ind w:left="80"/>
              <w:spacing w:after="0"/>
              <w:rPr>
                <w:sz w:val="20"/>
                <w:szCs w:val="20"/>
                <w:color w:val="auto"/>
              </w:rPr>
            </w:pPr>
            <w:r>
              <w:rPr>
                <w:rFonts w:ascii="Arial" w:cs="Arial" w:eastAsia="Arial" w:hAnsi="Arial"/>
                <w:sz w:val="18"/>
                <w:szCs w:val="18"/>
                <w:color w:val="auto"/>
                <w:w w:val="92"/>
              </w:rPr>
              <w:t>Net income/(loss) attributable to PAGP including incremental net income from</w:t>
            </w:r>
          </w:p>
        </w:tc>
        <w:tc>
          <w:tcPr>
            <w:tcW w:w="780" w:type="dxa"/>
            <w:vAlign w:val="bottom"/>
            <w:tcBorders>
              <w:top w:val="single" w:sz="8" w:color="auto"/>
            </w:tcBorders>
            <w:vMerge w:val="restart"/>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780" w:type="dxa"/>
            <w:vAlign w:val="bottom"/>
            <w:tcBorders>
              <w:top w:val="single" w:sz="8" w:color="auto"/>
            </w:tcBorders>
            <w:vMerge w:val="restart"/>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5"/>
        </w:trPr>
        <w:tc>
          <w:tcPr>
            <w:tcW w:w="5840" w:type="dxa"/>
            <w:vAlign w:val="bottom"/>
          </w:tcPr>
          <w:p>
            <w:pPr>
              <w:ind w:left="80"/>
              <w:spacing w:after="0"/>
              <w:rPr>
                <w:sz w:val="20"/>
                <w:szCs w:val="20"/>
                <w:color w:val="auto"/>
              </w:rPr>
            </w:pPr>
            <w:r>
              <w:rPr>
                <w:rFonts w:ascii="Arial" w:cs="Arial" w:eastAsia="Arial" w:hAnsi="Arial"/>
                <w:sz w:val="18"/>
                <w:szCs w:val="18"/>
                <w:color w:val="auto"/>
              </w:rPr>
              <w:t>assumed exchange of AAP Management Units</w:t>
            </w:r>
          </w:p>
        </w:tc>
        <w:tc>
          <w:tcPr>
            <w:tcW w:w="78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80"/>
              <w:spacing w:after="0"/>
              <w:rPr>
                <w:sz w:val="20"/>
                <w:szCs w:val="20"/>
                <w:color w:val="auto"/>
              </w:rPr>
            </w:pPr>
            <w:r>
              <w:rPr>
                <w:rFonts w:ascii="Arial" w:cs="Arial" w:eastAsia="Arial" w:hAnsi="Arial"/>
                <w:sz w:val="18"/>
                <w:szCs w:val="18"/>
                <w:color w:val="auto"/>
              </w:rPr>
              <w:t>Basic weighted average Class A shares outstanding</w:t>
            </w:r>
          </w:p>
        </w:tc>
        <w:tc>
          <w:tcPr>
            <w:tcW w:w="780" w:type="dxa"/>
            <w:vAlign w:val="bottom"/>
          </w:tcPr>
          <w:p>
            <w:pPr>
              <w:spacing w:after="0"/>
              <w:rPr>
                <w:sz w:val="21"/>
                <w:szCs w:val="21"/>
                <w:color w:val="auto"/>
              </w:rPr>
            </w:pP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2"/>
              </w:rPr>
              <w:t>Dilutive shares resulting from assumed exchange of AAP Management Units</w:t>
            </w:r>
          </w:p>
        </w:tc>
        <w:tc>
          <w:tcPr>
            <w:tcW w:w="7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40" w:type="dxa"/>
            <w:vAlign w:val="bottom"/>
          </w:tcPr>
          <w:p>
            <w:pPr>
              <w:ind w:left="80"/>
              <w:spacing w:after="0"/>
              <w:rPr>
                <w:sz w:val="20"/>
                <w:szCs w:val="20"/>
                <w:color w:val="auto"/>
              </w:rPr>
            </w:pPr>
            <w:r>
              <w:rPr>
                <w:rFonts w:ascii="Arial" w:cs="Arial" w:eastAsia="Arial" w:hAnsi="Arial"/>
                <w:sz w:val="18"/>
                <w:szCs w:val="18"/>
                <w:color w:val="auto"/>
              </w:rPr>
              <w:t>Diluted weighted average Class A shares outstanding</w:t>
            </w:r>
          </w:p>
        </w:tc>
        <w:tc>
          <w:tcPr>
            <w:tcW w:w="7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80"/>
              <w:spacing w:after="0"/>
              <w:rPr>
                <w:sz w:val="20"/>
                <w:szCs w:val="20"/>
                <w:color w:val="auto"/>
              </w:rPr>
            </w:pPr>
            <w:r>
              <w:rPr>
                <w:rFonts w:ascii="Arial" w:cs="Arial" w:eastAsia="Arial" w:hAnsi="Arial"/>
                <w:sz w:val="18"/>
                <w:szCs w:val="18"/>
                <w:color w:val="auto"/>
              </w:rPr>
              <w:t>Diluted net income/(loss) per Class A share</w:t>
            </w: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w w:val="91"/>
              </w:rPr>
              <w:t>0.09</w:t>
            </w:r>
          </w:p>
        </w:tc>
        <w:tc>
          <w:tcPr>
            <w:tcW w:w="120" w:type="dxa"/>
            <w:vAlign w:val="bottom"/>
          </w:tcPr>
          <w:p>
            <w:pPr>
              <w:spacing w:after="0"/>
              <w:rPr>
                <w:sz w:val="21"/>
                <w:szCs w:val="21"/>
                <w:color w:val="auto"/>
              </w:rPr>
            </w:pP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w w:val="91"/>
              </w:rPr>
              <w:t>0.40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Volumes</w:t>
            </w: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Unit of</w:t>
            </w:r>
          </w:p>
        </w:tc>
        <w:tc>
          <w:tcPr>
            <w:tcW w:w="120" w:type="dxa"/>
            <w:vAlign w:val="bottom"/>
          </w:tcPr>
          <w:p>
            <w:pPr>
              <w:spacing w:after="0"/>
              <w:rPr>
                <w:sz w:val="14"/>
                <w:szCs w:val="14"/>
                <w:color w:val="auto"/>
              </w:rPr>
            </w:pPr>
          </w:p>
        </w:tc>
        <w:tc>
          <w:tcPr>
            <w:tcW w:w="720" w:type="dxa"/>
            <w:vAlign w:val="bottom"/>
          </w:tcPr>
          <w:p>
            <w:pPr>
              <w:jc w:val="right"/>
              <w:ind w:right="53"/>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Price/</w:t>
            </w:r>
          </w:p>
        </w:tc>
        <w:tc>
          <w:tcPr>
            <w:tcW w:w="8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Volumes</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4"/>
                <w:szCs w:val="14"/>
                <w:color w:val="auto"/>
              </w:rPr>
            </w:pPr>
          </w:p>
        </w:tc>
        <w:tc>
          <w:tcPr>
            <w:tcW w:w="740" w:type="dxa"/>
            <w:vAlign w:val="bottom"/>
          </w:tcPr>
          <w:p>
            <w:pPr>
              <w:jc w:val="right"/>
              <w:ind w:right="73"/>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Price/</w:t>
            </w:r>
          </w:p>
        </w:tc>
        <w:tc>
          <w:tcPr>
            <w:tcW w:w="0" w:type="dxa"/>
            <w:vAlign w:val="bottom"/>
          </w:tcPr>
          <w:p>
            <w:pPr>
              <w:spacing w:after="0"/>
              <w:rPr>
                <w:sz w:val="1"/>
                <w:szCs w:val="1"/>
                <w:color w:val="auto"/>
              </w:rPr>
            </w:pPr>
          </w:p>
        </w:tc>
      </w:tr>
      <w:tr>
        <w:trPr>
          <w:trHeight w:val="188"/>
        </w:trPr>
        <w:tc>
          <w:tcPr>
            <w:tcW w:w="29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720" w:type="dxa"/>
            <w:vAlign w:val="bottom"/>
          </w:tcPr>
          <w:p>
            <w:pPr>
              <w:jc w:val="right"/>
              <w:ind w:right="15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 xml:space="preserve">Unit </w:t>
            </w:r>
            <w:r>
              <w:rPr>
                <w:rFonts w:ascii="Arial" w:cs="Arial" w:eastAsia="Arial" w:hAnsi="Arial"/>
                <w:sz w:val="9"/>
                <w:szCs w:val="9"/>
                <w:b w:val="1"/>
                <w:bCs w:val="1"/>
                <w:color w:val="auto"/>
                <w:w w:val="99"/>
              </w:rPr>
              <w:t>(1)</w:t>
            </w:r>
          </w:p>
        </w:tc>
        <w:tc>
          <w:tcPr>
            <w:tcW w:w="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 xml:space="preserve">Unit </w:t>
            </w:r>
            <w:r>
              <w:rPr>
                <w:rFonts w:ascii="Arial" w:cs="Arial" w:eastAsia="Arial" w:hAnsi="Arial"/>
                <w:sz w:val="9"/>
                <w:szCs w:val="9"/>
                <w:b w:val="1"/>
                <w:bCs w:val="1"/>
                <w:color w:val="auto"/>
                <w:w w:val="94"/>
              </w:rPr>
              <w:t>(1)</w:t>
            </w:r>
          </w:p>
        </w:tc>
        <w:tc>
          <w:tcPr>
            <w:tcW w:w="0" w:type="dxa"/>
            <w:vAlign w:val="bottom"/>
          </w:tcPr>
          <w:p>
            <w:pPr>
              <w:spacing w:after="0"/>
              <w:rPr>
                <w:sz w:val="1"/>
                <w:szCs w:val="1"/>
                <w:color w:val="auto"/>
              </w:rPr>
            </w:pPr>
          </w:p>
        </w:tc>
      </w:tr>
      <w:tr>
        <w:trPr>
          <w:trHeight w:val="231"/>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Inventory</w:t>
            </w: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20,306</w:t>
            </w:r>
          </w:p>
        </w:tc>
        <w:tc>
          <w:tcPr>
            <w:tcW w:w="120" w:type="dxa"/>
            <w:vAlign w:val="bottom"/>
          </w:tcPr>
          <w:p>
            <w:pPr>
              <w:spacing w:after="0"/>
              <w:rPr>
                <w:sz w:val="21"/>
                <w:szCs w:val="21"/>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512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25.21</w:t>
            </w:r>
          </w:p>
        </w:tc>
        <w:tc>
          <w:tcPr>
            <w:tcW w:w="140" w:type="dxa"/>
            <w:vAlign w:val="bottom"/>
            <w:tcBorders>
              <w:right w:val="single" w:sz="8" w:color="auto"/>
            </w:tcBorders>
          </w:tcPr>
          <w:p>
            <w:pPr>
              <w:spacing w:after="0"/>
              <w:rPr>
                <w:sz w:val="21"/>
                <w:szCs w:val="21"/>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8"/>
                <w:szCs w:val="18"/>
                <w:color w:val="auto"/>
              </w:rPr>
              <w:t>8,613</w:t>
            </w:r>
          </w:p>
        </w:tc>
        <w:tc>
          <w:tcPr>
            <w:tcW w:w="10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450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10,923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12.82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7,574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1"/>
                <w:szCs w:val="21"/>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center"/>
              <w:ind w:right="9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Inventory subtotal</w:t>
            </w: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Linefill and base gas</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14,491</w:t>
            </w:r>
          </w:p>
        </w:tc>
        <w:tc>
          <w:tcPr>
            <w:tcW w:w="120" w:type="dxa"/>
            <w:vAlign w:val="bottom"/>
          </w:tcPr>
          <w:p>
            <w:pPr>
              <w:spacing w:after="0"/>
              <w:rPr>
                <w:sz w:val="21"/>
                <w:szCs w:val="21"/>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21"/>
                <w:szCs w:val="21"/>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810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55.90</w:t>
            </w:r>
          </w:p>
        </w:tc>
        <w:tc>
          <w:tcPr>
            <w:tcW w:w="140" w:type="dxa"/>
            <w:vAlign w:val="bottom"/>
            <w:tcBorders>
              <w:right w:val="single" w:sz="8" w:color="auto"/>
            </w:tcBorders>
          </w:tcPr>
          <w:p>
            <w:pPr>
              <w:spacing w:after="0"/>
              <w:rPr>
                <w:sz w:val="21"/>
                <w:szCs w:val="21"/>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8"/>
                <w:szCs w:val="18"/>
                <w:color w:val="auto"/>
              </w:rPr>
              <w:t>14,316</w:t>
            </w:r>
          </w:p>
        </w:tc>
        <w:tc>
          <w:tcPr>
            <w:tcW w:w="10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826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1,645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25.53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25,576</w:t>
            </w:r>
          </w:p>
        </w:tc>
        <w:tc>
          <w:tcPr>
            <w:tcW w:w="120" w:type="dxa"/>
            <w:vAlign w:val="bottom"/>
          </w:tcPr>
          <w:p>
            <w:pPr>
              <w:spacing w:after="0"/>
              <w:rPr>
                <w:sz w:val="21"/>
                <w:szCs w:val="21"/>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20" w:type="dxa"/>
            <w:vAlign w:val="bottom"/>
          </w:tcPr>
          <w:p>
            <w:pPr>
              <w:spacing w:after="0"/>
              <w:rPr>
                <w:sz w:val="21"/>
                <w:szCs w:val="21"/>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110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4.30</w:t>
            </w:r>
          </w:p>
        </w:tc>
        <w:tc>
          <w:tcPr>
            <w:tcW w:w="140" w:type="dxa"/>
            <w:vAlign w:val="bottom"/>
            <w:tcBorders>
              <w:right w:val="single" w:sz="8" w:color="auto"/>
            </w:tcBorders>
          </w:tcPr>
          <w:p>
            <w:pPr>
              <w:spacing w:after="0"/>
              <w:rPr>
                <w:sz w:val="21"/>
                <w:szCs w:val="21"/>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8"/>
                <w:szCs w:val="18"/>
                <w:color w:val="auto"/>
              </w:rPr>
              <w:t>24,976</w:t>
            </w:r>
          </w:p>
        </w:tc>
        <w:tc>
          <w:tcPr>
            <w:tcW w:w="10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Linefill and base gas subtotal</w:t>
            </w: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inventory</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2,747</w:t>
            </w:r>
          </w:p>
        </w:tc>
        <w:tc>
          <w:tcPr>
            <w:tcW w:w="120" w:type="dxa"/>
            <w:vAlign w:val="bottom"/>
          </w:tcPr>
          <w:p>
            <w:pPr>
              <w:spacing w:after="0"/>
              <w:rPr>
                <w:sz w:val="21"/>
                <w:szCs w:val="21"/>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21"/>
                <w:szCs w:val="21"/>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104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37.86</w:t>
            </w:r>
          </w:p>
        </w:tc>
        <w:tc>
          <w:tcPr>
            <w:tcW w:w="140" w:type="dxa"/>
            <w:vAlign w:val="bottom"/>
            <w:tcBorders>
              <w:right w:val="single" w:sz="8" w:color="auto"/>
            </w:tcBorders>
          </w:tcPr>
          <w:p>
            <w:pPr>
              <w:spacing w:after="0"/>
              <w:rPr>
                <w:sz w:val="21"/>
                <w:szCs w:val="21"/>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152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1,579</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13.30</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1,707</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36"/>
        </w:trPr>
        <w:tc>
          <w:tcPr>
            <w:tcW w:w="2940" w:type="dxa"/>
            <w:vAlign w:val="bottom"/>
          </w:tcPr>
          <w:p>
            <w:pPr>
              <w:ind w:left="120"/>
              <w:spacing w:after="0"/>
              <w:rPr>
                <w:sz w:val="20"/>
                <w:szCs w:val="20"/>
                <w:color w:val="auto"/>
              </w:rPr>
            </w:pPr>
            <w:r>
              <w:rPr>
                <w:rFonts w:ascii="Arial" w:cs="Arial" w:eastAsia="Arial" w:hAnsi="Arial"/>
                <w:sz w:val="18"/>
                <w:szCs w:val="18"/>
                <w:color w:val="auto"/>
              </w:rPr>
              <w:t>Long-term inventory subtotal</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360" w:hanging="652"/>
        <w:spacing w:after="0" w:line="227" w:lineRule="auto"/>
        <w:tabs>
          <w:tab w:leader="none" w:pos="64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Condensed Consolidated Statements of Operations. We recorded a charge of $232 million during the first quarter of 2020 related to the write-down of our crude oil and NGL inventory, of which $40 million was associated with our long-term inventory, due to declines in prices. A portion of this inventory valuation adjustment was offset by the recognition of gains on derivative instruments being utilized to hedge future sales of our crude oil and NGL inventory. Such gains were recorded to “Supply and Logistics segment revenues” in our accompanying Consolidated Statement of Operations. See Note 10 for discussion of our derivative and risk management activities.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During the first quarter of 2020, we recorded impairment losses related to goodwill. Our market capitalization declined significantly during the first quarter driven by current macroeconomic and geopolitical conditions including the collapse of oil prices driven by both the decrease in demand caused by the COVID-19 pandemic and excess supply as well as changing market conditions and expected lower crude oil production in certain regions, resulting in expected decreases in future cash flows for certain of our assets. In addition, the uncertainty related to oil demand continues to have a significant impact on the investment and operating plans of our primary customers. Based on these events, we concluded that a triggering event occurred which required us to perform a quantitative impairment test as of March 31, 2020, utilizing a discounted cash flow approach. We applied a discount rate of approximately 14% in the determination of the fair value of each of our reporting units, which represents our estimate of the cost of capital of a theoretical market participant. The fair values of the reporting units are Level 3 measurements in the fair value hierarchy and were based on various inputs, as discussed below. The discounted cash flows for each reporting unit were based on six years of projected cash flows and terminal values that we believe would be applied by a theoretical market participant in similar market transactions. The discounted cash flows for the respective reporting units utilized various other assumptions, including, but not limited to (i) volumes (based on historical information and estimates of future drilling and completion activity, as well as expectations of future demand recovery), (ii) tariff and storage rates, (iii) future commodity prices (based on relevant indices and applicable quality and location differentials), and (iv) estimated fixed and variable costs. We used a range of cash flows for the discounted cash flow calculations, based on differing potential market scenarios but for each of the reporting units, the ultimate outcome of the impairment test was unchanged by the various points within the range of cash flows. Based upon the results of the impairment test, we concluded that the carrying value of each of our reporting units exceeded their respective fair values, resulting in a goodwill impairment charge for the entire goodwill balance for each reporting unit.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are reflected in the following table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Supply and Logistics</w:t>
            </w:r>
          </w:p>
        </w:tc>
        <w:tc>
          <w:tcPr>
            <w:tcW w:w="280" w:type="dxa"/>
            <w:vAlign w:val="bottom"/>
          </w:tcPr>
          <w:p>
            <w:pPr>
              <w:spacing w:after="0"/>
              <w:rPr>
                <w:sz w:val="16"/>
                <w:szCs w:val="16"/>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295"/>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1,052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982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506</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2,540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40" w:type="dxa"/>
            <w:vAlign w:val="bottom"/>
          </w:tcPr>
          <w:p>
            <w:pPr>
              <w:ind w:left="120"/>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w:t>
            </w: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Goodwill, gross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2,524</w:t>
            </w: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Impairments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(2,515)</w:t>
            </w:r>
          </w:p>
        </w:tc>
      </w:tr>
      <w:tr>
        <w:trPr>
          <w:trHeight w:val="243"/>
        </w:trPr>
        <w:tc>
          <w:tcPr>
            <w:tcW w:w="504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(2,524)</w:t>
            </w:r>
          </w:p>
        </w:tc>
      </w:tr>
      <w:tr>
        <w:trPr>
          <w:trHeight w:val="263"/>
        </w:trPr>
        <w:tc>
          <w:tcPr>
            <w:tcW w:w="504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r>
      <w:tr>
        <w:trPr>
          <w:trHeight w:val="21"/>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7—Investments in Unconsolidated Entities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unconsolidated entities consisted of the following (in millions, except percentage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Ownership</w:t>
            </w:r>
          </w:p>
        </w:tc>
        <w:tc>
          <w:tcPr>
            <w:tcW w:w="220" w:type="dxa"/>
            <w:vAlign w:val="bottom"/>
          </w:tcPr>
          <w:p>
            <w:pPr>
              <w:spacing w:after="0"/>
              <w:rPr>
                <w:sz w:val="14"/>
                <w:szCs w:val="14"/>
                <w:color w:val="auto"/>
              </w:rPr>
            </w:pPr>
          </w:p>
        </w:tc>
        <w:tc>
          <w:tcPr>
            <w:tcW w:w="224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Investment Balance</w:t>
            </w:r>
          </w:p>
        </w:tc>
        <w:tc>
          <w:tcPr>
            <w:tcW w:w="0" w:type="dxa"/>
            <w:vAlign w:val="bottom"/>
          </w:tcPr>
          <w:p>
            <w:pPr>
              <w:spacing w:after="0"/>
              <w:rPr>
                <w:sz w:val="1"/>
                <w:szCs w:val="1"/>
                <w:color w:val="auto"/>
              </w:rPr>
            </w:pPr>
          </w:p>
        </w:tc>
      </w:tr>
      <w:tr>
        <w:trPr>
          <w:trHeight w:val="54"/>
        </w:trPr>
        <w:tc>
          <w:tcPr>
            <w:tcW w:w="4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260" w:type="dxa"/>
            <w:vAlign w:val="bottom"/>
            <w:gridSpan w:val="2"/>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92"/>
              </w:rPr>
              <w:t>Interest at June</w:t>
            </w: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4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gridSpan w:val="2"/>
            <w:vMerge w:val="restart"/>
          </w:tcPr>
          <w:p>
            <w:pPr>
              <w:ind w:left="120"/>
              <w:spacing w:after="0" w:line="147"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4"/>
                <w:szCs w:val="4"/>
                <w:color w:val="auto"/>
              </w:rPr>
            </w:pPr>
          </w:p>
        </w:tc>
        <w:tc>
          <w:tcPr>
            <w:tcW w:w="1040" w:type="dxa"/>
            <w:vAlign w:val="bottom"/>
            <w:vMerge w:val="restart"/>
          </w:tcPr>
          <w:p>
            <w:pPr>
              <w:jc w:val="right"/>
              <w:ind w:right="72"/>
              <w:spacing w:after="0" w:line="147"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94"/>
        </w:trPr>
        <w:tc>
          <w:tcPr>
            <w:tcW w:w="4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280" w:type="dxa"/>
            <w:vAlign w:val="bottom"/>
            <w:gridSpan w:val="2"/>
            <w:vMerge w:val="restart"/>
          </w:tcPr>
          <w:p>
            <w:pPr>
              <w:jc w:val="center"/>
              <w:ind w:left="12"/>
              <w:spacing w:after="0" w:line="149" w:lineRule="exact"/>
              <w:rPr>
                <w:sz w:val="20"/>
                <w:szCs w:val="20"/>
                <w:color w:val="auto"/>
              </w:rPr>
            </w:pPr>
            <w:r>
              <w:rPr>
                <w:rFonts w:ascii="Arial" w:cs="Arial" w:eastAsia="Arial" w:hAnsi="Arial"/>
                <w:sz w:val="14"/>
                <w:szCs w:val="14"/>
                <w:b w:val="1"/>
                <w:bCs w:val="1"/>
                <w:color w:val="auto"/>
                <w:w w:val="92"/>
              </w:rPr>
              <w:t>30,</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Entity </w:t>
            </w:r>
            <w:r>
              <w:rPr>
                <w:rFonts w:ascii="Arial" w:cs="Arial" w:eastAsia="Arial" w:hAnsi="Arial"/>
                <w:sz w:val="9"/>
                <w:szCs w:val="9"/>
                <w:b w:val="1"/>
                <w:bCs w:val="1"/>
                <w:color w:val="auto"/>
              </w:rPr>
              <w:t>(1)</w:t>
            </w:r>
          </w:p>
        </w:tc>
        <w:tc>
          <w:tcPr>
            <w:tcW w:w="100" w:type="dxa"/>
            <w:vAlign w:val="bottom"/>
            <w:vMerge w:val="restart"/>
          </w:tcPr>
          <w:p>
            <w:pPr>
              <w:spacing w:after="0"/>
              <w:rPr>
                <w:sz w:val="4"/>
                <w:szCs w:val="4"/>
                <w:color w:val="auto"/>
              </w:rPr>
            </w:pP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2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2"/>
        </w:trPr>
        <w:tc>
          <w:tcPr>
            <w:tcW w:w="4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BridgeTex Pipeline Company, LLC</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0"/>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Cactus II Pipeline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7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Capline Pipeline Company LLC</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12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0"/>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Diamond Pipeline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Eagle Ford Pipeline LLC</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175"/>
        </w:trPr>
        <w:tc>
          <w:tcPr>
            <w:tcW w:w="5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Eagle Ford Terminals Corpus Christi LLC (“Eagle</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2"/>
              </w:rPr>
              <w:t>Crude Oil Terminal and Dock</w:t>
            </w:r>
          </w:p>
        </w:tc>
        <w:tc>
          <w:tcPr>
            <w:tcW w:w="1280" w:type="dxa"/>
            <w:vAlign w:val="bottom"/>
            <w:gridSpan w:val="2"/>
            <w:vMerge w:val="restart"/>
          </w:tcPr>
          <w:p>
            <w:pPr>
              <w:jc w:val="center"/>
              <w:ind w:left="12"/>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restart"/>
          </w:tcPr>
          <w:p>
            <w:pPr>
              <w:jc w:val="right"/>
              <w:ind w:right="73"/>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ind w:right="72"/>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Ford Terminals”)</w:t>
            </w:r>
          </w:p>
        </w:tc>
        <w:tc>
          <w:tcPr>
            <w:tcW w:w="240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 Oak Pipeline LLC (“Red Oak”)</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Saddlehorn Pipeline Company, LLC (“Saddlehorn”)</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STACK Pipeline LLC</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0"/>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White Cliffs Pipeline,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Wink to Webster Pipeline LLC</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(3)</w:t>
            </w:r>
          </w:p>
        </w:tc>
        <w:tc>
          <w:tcPr>
            <w:tcW w:w="12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5000" w:type="dxa"/>
            <w:vAlign w:val="bottom"/>
            <w:gridSpan w:val="2"/>
          </w:tcPr>
          <w:p>
            <w:pPr>
              <w:ind w:left="60"/>
              <w:spacing w:after="0"/>
              <w:rPr>
                <w:sz w:val="20"/>
                <w:szCs w:val="20"/>
                <w:color w:val="auto"/>
              </w:rPr>
            </w:pPr>
            <w:r>
              <w:rPr>
                <w:rFonts w:ascii="Arial" w:cs="Arial" w:eastAsia="Arial" w:hAnsi="Arial"/>
                <w:sz w:val="18"/>
                <w:szCs w:val="18"/>
                <w:color w:val="auto"/>
              </w:rPr>
              <w:t>Other investments</w:t>
            </w:r>
          </w:p>
        </w:tc>
        <w:tc>
          <w:tcPr>
            <w:tcW w:w="2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investments in unconsolidated entities</w:t>
            </w:r>
          </w:p>
        </w:tc>
        <w:tc>
          <w:tcPr>
            <w:tcW w:w="2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3,781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20" w:right="980" w:hanging="11"/>
        <w:spacing w:after="0" w:line="277" w:lineRule="auto"/>
        <w:rPr>
          <w:sz w:val="20"/>
          <w:szCs w:val="20"/>
          <w:color w:val="auto"/>
        </w:rPr>
      </w:pPr>
      <w:r>
        <w:rPr>
          <w:rFonts w:ascii="Arial" w:cs="Arial" w:eastAsia="Arial" w:hAnsi="Arial"/>
          <w:sz w:val="18"/>
          <w:szCs w:val="18"/>
          <w:color w:val="auto"/>
        </w:rPr>
        <w:t>Except for Eagle Ford Terminals, which is reported in our Facilities segment, the financial results from the entities are reported in our Transportation segment.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Capline pipeline was taken out of service pending the reversal of the pipeline system.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Asset is currently under construction and has not yet been placed in service.</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Impairments</w:t>
      </w:r>
    </w:p>
    <w:p>
      <w:pPr>
        <w:spacing w:after="0" w:line="252" w:lineRule="exact"/>
        <w:rPr>
          <w:sz w:val="20"/>
          <w:szCs w:val="20"/>
          <w:color w:val="auto"/>
        </w:rPr>
      </w:pPr>
    </w:p>
    <w:p>
      <w:pPr>
        <w:ind w:right="240" w:firstLine="648"/>
        <w:spacing w:after="0" w:line="271" w:lineRule="auto"/>
        <w:rPr>
          <w:sz w:val="20"/>
          <w:szCs w:val="20"/>
          <w:color w:val="auto"/>
        </w:rPr>
      </w:pPr>
      <w:r>
        <w:rPr>
          <w:rFonts w:ascii="Arial" w:cs="Arial" w:eastAsia="Arial" w:hAnsi="Arial"/>
          <w:sz w:val="17"/>
          <w:szCs w:val="17"/>
          <w:color w:val="auto"/>
        </w:rPr>
        <w:t>In March 2020, the partners of Red Oak announced they were deferring the Red Oak pipeline project and suspending actions that would require additional capital spending on the project, and that they would re-evaluate demand for the project in light of recent market developments. During the second quarter, PAA determined that it would not proceed with the project as previously contemplated, and determined that there was an other-than-temporary impairment of its investment in Red Oak. PAA wrote its investment in Red Oak down to the estimated residual value of its share of the net assets. In addition, during the first quarter of 2020, PAA recorded a write-down of certain of its investments included in “Other investments” in the table above due to an other-than-temporary impairment related to a decline in market conditions. As a result of these write-downs, during the three and six months ended June 30, 2020, we recognized losses of $69 million and $112 million, respectively. These losses are reflected in “Gain on/(impairment of) investments in unconsolidated entities, net” on our Condensed Consolidated Statement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Saddlehorn. </w:t>
      </w:r>
      <w:r>
        <w:rPr>
          <w:rFonts w:ascii="Arial" w:cs="Arial" w:eastAsia="Arial" w:hAnsi="Arial"/>
          <w:sz w:val="18"/>
          <w:szCs w:val="18"/>
          <w:color w:val="auto"/>
        </w:rPr>
        <w:t>In February 2020, we sold a 10% ownership interest in Saddlehorn for proceeds of approximately $78 million, including working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adjustments, and have retained a 30% ownership interest. We recorded a gain of approximately $21 million related to this sale, which is included in “Gain on/(impairment of) investments in unconsolidated entities” on our Condensed Consolidated Statement of Operations. We continue to account for our remaining interest under the equity method of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4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SHORT-TERM DEBT</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440" w:type="dxa"/>
            <w:vAlign w:val="bottom"/>
          </w:tcPr>
          <w:p>
            <w:pPr>
              <w:ind w:left="20"/>
              <w:spacing w:after="0"/>
              <w:rPr>
                <w:sz w:val="20"/>
                <w:szCs w:val="20"/>
                <w:color w:val="auto"/>
              </w:rPr>
            </w:pPr>
            <w:r>
              <w:rPr>
                <w:rFonts w:ascii="Arial" w:cs="Arial" w:eastAsia="Arial" w:hAnsi="Arial"/>
                <w:sz w:val="18"/>
                <w:szCs w:val="18"/>
                <w:color w:val="auto"/>
              </w:rPr>
              <w:t xml:space="preserve">PAA commercial paper notes, bearing a weighted-average interest rate of 2.2% </w:t>
            </w:r>
            <w:r>
              <w:rPr>
                <w:rFonts w:ascii="Arial" w:cs="Arial" w:eastAsia="Arial" w:hAnsi="Arial"/>
                <w:sz w:val="23"/>
                <w:szCs w:val="23"/>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PAA senior secured hedged inventory facility, bearing a weighted-average interest rate of 2.7%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PAA senior notes: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5.00% senior notes due February 2021</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jc w:val="center"/>
              <w:ind w:right="6390"/>
              <w:spacing w:after="0"/>
              <w:rPr>
                <w:sz w:val="20"/>
                <w:szCs w:val="20"/>
                <w:color w:val="auto"/>
              </w:rPr>
            </w:pPr>
            <w:r>
              <w:rPr>
                <w:rFonts w:ascii="Arial" w:cs="Arial" w:eastAsia="Arial" w:hAnsi="Arial"/>
                <w:sz w:val="18"/>
                <w:szCs w:val="18"/>
                <w:color w:val="auto"/>
                <w:w w:val="90"/>
              </w:rPr>
              <w:t>Total short-term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57"/>
        </w:trPr>
        <w:tc>
          <w:tcPr>
            <w:tcW w:w="8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20"/>
              <w:spacing w:after="0"/>
              <w:rPr>
                <w:sz w:val="20"/>
                <w:szCs w:val="20"/>
                <w:color w:val="auto"/>
              </w:rPr>
            </w:pPr>
            <w:r>
              <w:rPr>
                <w:rFonts w:ascii="Arial" w:cs="Arial" w:eastAsia="Arial" w:hAnsi="Arial"/>
                <w:sz w:val="18"/>
                <w:szCs w:val="18"/>
                <w:color w:val="auto"/>
              </w:rPr>
              <w:t xml:space="preserve">PAA senior notes, net of unamortized discounts and debt issuance costs of $66 and $61, respectively </w:t>
            </w:r>
            <w:r>
              <w:rPr>
                <w:rFonts w:ascii="Arial" w:cs="Arial" w:eastAsia="Arial" w:hAnsi="Arial"/>
                <w:sz w:val="23"/>
                <w:szCs w:val="23"/>
                <w:color w:val="auto"/>
                <w:vertAlign w:val="superscript"/>
              </w:rPr>
              <w:t>(2)</w:t>
            </w:r>
          </w:p>
        </w:tc>
        <w:tc>
          <w:tcPr>
            <w:tcW w:w="260" w:type="dxa"/>
            <w:vAlign w:val="bottom"/>
          </w:tcPr>
          <w:p>
            <w:pPr>
              <w:spacing w:after="0"/>
              <w:rPr>
                <w:sz w:val="23"/>
                <w:szCs w:val="23"/>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9,067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PAA GO Zone term loans, net of debt issuance costs of $1 and $1, respectively, bearing a weighted-average interest</w:t>
            </w:r>
          </w:p>
        </w:tc>
        <w:tc>
          <w:tcPr>
            <w:tcW w:w="2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 of 1.3% and 2.6%, respectively</w:t>
            </w:r>
          </w:p>
        </w:tc>
        <w:tc>
          <w:tcPr>
            <w:tcW w:w="2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shd w:val="clear" w:color="auto" w:fill="CCEEFF"/>
          </w:tcPr>
          <w:p>
            <w:pPr>
              <w:jc w:val="center"/>
              <w:ind w:right="6430"/>
              <w:spacing w:after="0"/>
              <w:rPr>
                <w:sz w:val="20"/>
                <w:szCs w:val="20"/>
                <w:color w:val="auto"/>
              </w:rPr>
            </w:pPr>
            <w:r>
              <w:rPr>
                <w:rFonts w:ascii="Arial" w:cs="Arial" w:eastAsia="Arial" w:hAnsi="Arial"/>
                <w:sz w:val="18"/>
                <w:szCs w:val="18"/>
                <w:color w:val="auto"/>
                <w:w w:val="91"/>
              </w:rPr>
              <w:t>Total long-term debt</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9,393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9,187</w:t>
            </w:r>
          </w:p>
        </w:tc>
        <w:tc>
          <w:tcPr>
            <w:tcW w:w="0" w:type="dxa"/>
            <w:vAlign w:val="bottom"/>
          </w:tcPr>
          <w:p>
            <w:pPr>
              <w:spacing w:after="0"/>
              <w:rPr>
                <w:sz w:val="1"/>
                <w:szCs w:val="1"/>
                <w:color w:val="auto"/>
              </w:rPr>
            </w:pPr>
          </w:p>
        </w:tc>
      </w:tr>
      <w:tr>
        <w:trPr>
          <w:trHeight w:val="263"/>
        </w:trPr>
        <w:tc>
          <w:tcPr>
            <w:tcW w:w="8440" w:type="dxa"/>
            <w:vAlign w:val="bottom"/>
          </w:tcPr>
          <w:p>
            <w:pPr>
              <w:jc w:val="center"/>
              <w:ind w:right="6330"/>
              <w:spacing w:after="0"/>
              <w:rPr>
                <w:sz w:val="20"/>
                <w:szCs w:val="20"/>
                <w:color w:val="auto"/>
              </w:rPr>
            </w:pPr>
            <w:r>
              <w:rPr>
                <w:rFonts w:ascii="Arial" w:cs="Arial" w:eastAsia="Arial" w:hAnsi="Arial"/>
                <w:sz w:val="18"/>
                <w:szCs w:val="18"/>
                <w:color w:val="auto"/>
                <w:w w:val="86"/>
              </w:rPr>
              <w:t xml:space="preserve">Total debt </w:t>
            </w:r>
            <w:r>
              <w:rPr>
                <w:rFonts w:ascii="Arial" w:cs="Arial" w:eastAsia="Arial" w:hAnsi="Arial"/>
                <w:sz w:val="23"/>
                <w:szCs w:val="23"/>
                <w:color w:val="auto"/>
                <w:w w:val="86"/>
                <w:vertAlign w:val="superscript"/>
              </w:rPr>
              <w:t>(3)</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10,122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9,691</w:t>
            </w: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220" w:hanging="11"/>
        <w:spacing w:after="0" w:line="263" w:lineRule="auto"/>
        <w:rPr>
          <w:sz w:val="20"/>
          <w:szCs w:val="20"/>
          <w:color w:val="auto"/>
        </w:rPr>
      </w:pPr>
      <w:r>
        <w:rPr>
          <w:rFonts w:ascii="Arial" w:cs="Arial" w:eastAsia="Arial" w:hAnsi="Arial"/>
          <w:sz w:val="18"/>
          <w:szCs w:val="18"/>
          <w:color w:val="auto"/>
        </w:rPr>
        <w:t>We classified these PAA commercial paper notes and credit facility borrowings as short-term as of December 31, 2019, as these notes and borrowings were primarily designated as working capital borrowings, were required to be repaid within one year and were primarily for hedged NGL and crude oil inventory and NYMEX and ICE margin deposits.</w:t>
      </w:r>
    </w:p>
    <w:p>
      <w:pPr>
        <w:spacing w:after="0" w:line="76" w:lineRule="exact"/>
        <w:rPr>
          <w:sz w:val="20"/>
          <w:szCs w:val="20"/>
          <w:color w:val="auto"/>
        </w:rPr>
      </w:pPr>
    </w:p>
    <w:p>
      <w:pPr>
        <w:ind w:right="320" w:hanging="11"/>
        <w:spacing w:after="0" w:line="263" w:lineRule="auto"/>
        <w:rPr>
          <w:sz w:val="20"/>
          <w:szCs w:val="20"/>
          <w:color w:val="auto"/>
        </w:rPr>
      </w:pPr>
      <w:r>
        <w:rPr>
          <w:rFonts w:ascii="Arial" w:cs="Arial" w:eastAsia="Arial" w:hAnsi="Arial"/>
          <w:sz w:val="18"/>
          <w:szCs w:val="18"/>
          <w:color w:val="auto"/>
        </w:rPr>
        <w:t>During the six months ended June 30, 2020, PAA repurchased $17 million of its outstanding senior notes on the open market and recognized a gain of $3 million on these transactions, which is included in “Other income/(expense), net” on our Condensed Consolidated Statement of Operations.</w:t>
      </w:r>
    </w:p>
    <w:p>
      <w:pPr>
        <w:spacing w:after="0" w:line="76" w:lineRule="exact"/>
        <w:rPr>
          <w:sz w:val="20"/>
          <w:szCs w:val="20"/>
          <w:color w:val="auto"/>
        </w:rPr>
      </w:pPr>
    </w:p>
    <w:p>
      <w:pPr>
        <w:ind w:hanging="11"/>
        <w:spacing w:after="0" w:line="291" w:lineRule="auto"/>
        <w:rPr>
          <w:sz w:val="20"/>
          <w:szCs w:val="20"/>
          <w:color w:val="auto"/>
        </w:rPr>
      </w:pPr>
      <w:r>
        <w:rPr>
          <w:rFonts w:ascii="Arial" w:cs="Arial" w:eastAsia="Arial" w:hAnsi="Arial"/>
          <w:sz w:val="16"/>
          <w:szCs w:val="16"/>
          <w:color w:val="auto"/>
        </w:rPr>
        <w:t>PAA’s fixed-rate senior notes had a face value of approximately $9.7 billion and $9.0 billion as of June 30, 2020 and December 31, 2019, respectively. We estimated the aggregate fair value of these notes as of June 30, 2020 and December 31, 2019 to be approximately $9.7 billion and $9.3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credit facilities, commercial paper program and GO Zone term loans approximates fair value as interest rates reflect current market rates. The fair value estimates for PAA’s senior notes, credit facilities, commercial paper program and GO Zone term loans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20"/>
            <w:col w:w="10560"/>
          </w:cols>
          <w:pgMar w:left="320" w:top="125" w:right="359" w:bottom="1440" w:gutter="0" w:footer="0" w:header="0"/>
          <w:type w:val="continuous"/>
        </w:sectPr>
      </w:pP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Senior Notes</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June 2020, PAA completed the offering of $750 million, 3.80% senior notes due September 2030 at a public offering price of 99.794%. Interest payments are due on March 15 and September 15 of each year, commencing on September 15, 2020.</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Total borrowings under the PAA credit facilities and commercial paper program for the six months ended June 30, 2020 and 2019 were approximately $12.6 billion and $4.1 billion, respectively. Total repayments under the PAA credit facilities and commercial paper program were approximately $13.0 billion and $3.8 billion for the six months ended June 30, 2020 and 2019,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including hedging-related margin obligations, and construction activities. At June 30, 2020 and December 31, 2019, we had outstanding letters of credit of $112 million and $157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Class A shares, Class B shares and Class C shares: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2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 Shares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B Shares</w:t>
            </w:r>
          </w:p>
        </w:tc>
        <w:tc>
          <w:tcPr>
            <w:tcW w:w="1420" w:type="dxa"/>
            <w:vAlign w:val="bottom"/>
          </w:tcPr>
          <w:p>
            <w:pPr>
              <w:jc w:val="right"/>
              <w:ind w:right="172"/>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94"/>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4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182,138,592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2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65,785,702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549,538,139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40" w:type="dxa"/>
            <w:vAlign w:val="bottom"/>
            <w:vMerge w:val="continue"/>
          </w:tcPr>
          <w:p>
            <w:pPr>
              <w:spacing w:after="0"/>
              <w:rPr>
                <w:sz w:val="21"/>
                <w:szCs w:val="21"/>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559,768</w:t>
            </w:r>
          </w:p>
        </w:tc>
        <w:tc>
          <w:tcPr>
            <w:tcW w:w="120" w:type="dxa"/>
            <w:vAlign w:val="bottom"/>
          </w:tcPr>
          <w:p>
            <w:pPr>
              <w:spacing w:after="0"/>
              <w:rPr>
                <w:sz w:val="21"/>
                <w:szCs w:val="21"/>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2,101,487</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(2,101,487)</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tcPr>
          <w:p>
            <w:pPr>
              <w:ind w:left="140"/>
              <w:spacing w:after="0"/>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(1,206,599)</w:t>
            </w:r>
          </w:p>
        </w:tc>
        <w:tc>
          <w:tcPr>
            <w:tcW w:w="120" w:type="dxa"/>
            <w:vAlign w:val="bottom"/>
          </w:tcPr>
          <w:p>
            <w:pPr>
              <w:spacing w:after="0"/>
              <w:rPr>
                <w:sz w:val="23"/>
                <w:szCs w:val="23"/>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1,206,599</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24,431</w:t>
            </w:r>
          </w:p>
        </w:tc>
        <w:tc>
          <w:tcPr>
            <w:tcW w:w="0" w:type="dxa"/>
            <w:vAlign w:val="bottom"/>
          </w:tcPr>
          <w:p>
            <w:pPr>
              <w:spacing w:after="0"/>
              <w:rPr>
                <w:sz w:val="1"/>
                <w:szCs w:val="1"/>
                <w:color w:val="auto"/>
              </w:rPr>
            </w:pP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color w:val="auto"/>
              </w:rPr>
              <w:t>Outstanding at March 31, 2020</w:t>
            </w:r>
          </w:p>
        </w:tc>
        <w:tc>
          <w:tcPr>
            <w:tcW w:w="14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184,240,079</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63,037,384</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550,769,169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35,349</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tcPr>
          <w:p>
            <w:pPr>
              <w:ind w:left="140"/>
              <w:spacing w:after="0"/>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(40,679)</w:t>
            </w:r>
          </w:p>
        </w:tc>
        <w:tc>
          <w:tcPr>
            <w:tcW w:w="120" w:type="dxa"/>
            <w:vAlign w:val="bottom"/>
          </w:tcPr>
          <w:p>
            <w:pPr>
              <w:spacing w:after="0"/>
              <w:rPr>
                <w:sz w:val="23"/>
                <w:szCs w:val="23"/>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40,679</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20,099</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27,292</w:t>
            </w:r>
          </w:p>
        </w:tc>
        <w:tc>
          <w:tcPr>
            <w:tcW w:w="0" w:type="dxa"/>
            <w:vAlign w:val="bottom"/>
          </w:tcPr>
          <w:p>
            <w:pPr>
              <w:spacing w:after="0"/>
              <w:rPr>
                <w:sz w:val="1"/>
                <w:szCs w:val="1"/>
                <w:color w:val="auto"/>
              </w:rPr>
            </w:pP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color w:val="auto"/>
              </w:rPr>
              <w:t>Outstanding at June 30, 2020</w:t>
            </w:r>
          </w:p>
        </w:tc>
        <w:tc>
          <w:tcPr>
            <w:tcW w:w="14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184,260,178</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63,032,054</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550,837,140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6740" w:type="dxa"/>
            <w:vAlign w:val="bottom"/>
          </w:tcPr>
          <w:p>
            <w:pPr>
              <w:spacing w:after="0"/>
              <w:rPr>
                <w:sz w:val="24"/>
                <w:szCs w:val="24"/>
                <w:color w:val="auto"/>
              </w:rPr>
            </w:pPr>
          </w:p>
        </w:tc>
        <w:tc>
          <w:tcPr>
            <w:tcW w:w="152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 Shares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B Shares</w:t>
            </w:r>
          </w:p>
        </w:tc>
        <w:tc>
          <w:tcPr>
            <w:tcW w:w="1420" w:type="dxa"/>
            <w:vAlign w:val="bottom"/>
          </w:tcPr>
          <w:p>
            <w:pPr>
              <w:jc w:val="right"/>
              <w:ind w:right="172"/>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6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4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159,485,588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119,604,338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516,938,280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40" w:type="dxa"/>
            <w:vAlign w:val="bottom"/>
            <w:vMerge w:val="continue"/>
          </w:tcPr>
          <w:p>
            <w:pPr>
              <w:spacing w:after="0"/>
              <w:rPr>
                <w:sz w:val="21"/>
                <w:szCs w:val="21"/>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(91,672)</w:t>
            </w:r>
          </w:p>
        </w:tc>
        <w:tc>
          <w:tcPr>
            <w:tcW w:w="120" w:type="dxa"/>
            <w:vAlign w:val="bottom"/>
          </w:tcPr>
          <w:p>
            <w:pPr>
              <w:spacing w:after="0"/>
              <w:rPr>
                <w:sz w:val="21"/>
                <w:szCs w:val="21"/>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91,672</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226,814</w:t>
            </w:r>
          </w:p>
        </w:tc>
        <w:tc>
          <w:tcPr>
            <w:tcW w:w="0" w:type="dxa"/>
            <w:vAlign w:val="bottom"/>
          </w:tcPr>
          <w:p>
            <w:pPr>
              <w:spacing w:after="0"/>
              <w:rPr>
                <w:sz w:val="1"/>
                <w:szCs w:val="1"/>
                <w:color w:val="auto"/>
              </w:rPr>
            </w:pP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color w:val="auto"/>
              </w:rPr>
              <w:t>Outstanding at March 31, 2019</w:t>
            </w:r>
          </w:p>
        </w:tc>
        <w:tc>
          <w:tcPr>
            <w:tcW w:w="14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159,485,588</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119,512,666</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517,256,766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7,331,745</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(7,331,745)</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tcPr>
          <w:p>
            <w:pPr>
              <w:ind w:left="140"/>
              <w:spacing w:after="0"/>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(12,193,771)</w:t>
            </w:r>
          </w:p>
        </w:tc>
        <w:tc>
          <w:tcPr>
            <w:tcW w:w="120" w:type="dxa"/>
            <w:vAlign w:val="bottom"/>
          </w:tcPr>
          <w:p>
            <w:pPr>
              <w:spacing w:after="0"/>
              <w:rPr>
                <w:sz w:val="23"/>
                <w:szCs w:val="23"/>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12,193,771</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603,456</w:t>
            </w:r>
          </w:p>
        </w:tc>
        <w:tc>
          <w:tcPr>
            <w:tcW w:w="0" w:type="dxa"/>
            <w:vAlign w:val="bottom"/>
          </w:tcPr>
          <w:p>
            <w:pPr>
              <w:spacing w:after="0"/>
              <w:rPr>
                <w:sz w:val="1"/>
                <w:szCs w:val="1"/>
                <w:color w:val="auto"/>
              </w:rPr>
            </w:pP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color w:val="auto"/>
              </w:rPr>
              <w:t>Outstanding at June 30, 2019</w:t>
            </w:r>
          </w:p>
        </w:tc>
        <w:tc>
          <w:tcPr>
            <w:tcW w:w="14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166,817,333</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99,987,150</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530,053,993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320" w:hanging="652"/>
        <w:spacing w:after="0" w:line="227" w:lineRule="auto"/>
        <w:tabs>
          <w:tab w:leader="none" w:pos="64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See Note 12 to our Consolidated Financial Statements included in Part IV of our 2019 Annual Report on Form 10-K for information regarding conversions of AAP Management Units, Exchange Rights and Redemption Rights.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details distributions to our Class A shareholders paid during or pertaining to the first six months of 2020 (in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2020" w:type="dxa"/>
            <w:vAlign w:val="bottom"/>
          </w:tcPr>
          <w:p>
            <w:pPr>
              <w:jc w:val="right"/>
              <w:ind w:right="217"/>
              <w:spacing w:after="0"/>
              <w:rPr>
                <w:sz w:val="20"/>
                <w:szCs w:val="20"/>
                <w:color w:val="auto"/>
              </w:rPr>
            </w:pPr>
            <w:r>
              <w:rPr>
                <w:rFonts w:ascii="Arial" w:cs="Arial" w:eastAsia="Arial" w:hAnsi="Arial"/>
                <w:sz w:val="14"/>
                <w:szCs w:val="14"/>
                <w:b w:val="1"/>
                <w:bCs w:val="1"/>
                <w:color w:val="auto"/>
              </w:rPr>
              <w:t>Distributions to</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tcPr>
          <w:p>
            <w:pPr>
              <w:jc w:val="right"/>
              <w:ind w:right="637"/>
              <w:spacing w:after="0"/>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192"/>
        </w:trPr>
        <w:tc>
          <w:tcPr>
            <w:tcW w:w="5960" w:type="dxa"/>
            <w:vAlign w:val="bottom"/>
            <w:gridSpan w:val="2"/>
            <w:vMerge w:val="continue"/>
          </w:tcPr>
          <w:p>
            <w:pPr>
              <w:spacing w:after="0"/>
              <w:rPr>
                <w:sz w:val="16"/>
                <w:szCs w:val="16"/>
                <w:color w:val="auto"/>
              </w:rPr>
            </w:pPr>
          </w:p>
        </w:tc>
        <w:tc>
          <w:tcPr>
            <w:tcW w:w="2020" w:type="dxa"/>
            <w:vAlign w:val="bottom"/>
          </w:tcPr>
          <w:p>
            <w:pPr>
              <w:jc w:val="right"/>
              <w:ind w:right="37"/>
              <w:spacing w:after="0"/>
              <w:rPr>
                <w:sz w:val="20"/>
                <w:szCs w:val="20"/>
                <w:color w:val="auto"/>
              </w:rPr>
            </w:pPr>
            <w:r>
              <w:rPr>
                <w:rFonts w:ascii="Arial" w:cs="Arial" w:eastAsia="Arial" w:hAnsi="Arial"/>
                <w:sz w:val="14"/>
                <w:szCs w:val="14"/>
                <w:b w:val="1"/>
                <w:bCs w:val="1"/>
                <w:color w:val="auto"/>
              </w:rPr>
              <w:t>Class A Shareholders</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tcPr>
          <w:p>
            <w:pPr>
              <w:jc w:val="right"/>
              <w:ind w:right="737"/>
              <w:spacing w:after="0"/>
              <w:rPr>
                <w:sz w:val="20"/>
                <w:szCs w:val="20"/>
                <w:color w:val="auto"/>
              </w:rPr>
            </w:pPr>
            <w:r>
              <w:rPr>
                <w:rFonts w:ascii="Arial" w:cs="Arial" w:eastAsia="Arial" w:hAnsi="Arial"/>
                <w:sz w:val="14"/>
                <w:szCs w:val="14"/>
                <w:b w:val="1"/>
                <w:bCs w:val="1"/>
                <w:color w:val="auto"/>
              </w:rPr>
              <w:t>Class A Share</w:t>
            </w:r>
          </w:p>
        </w:tc>
        <w:tc>
          <w:tcPr>
            <w:tcW w:w="0" w:type="dxa"/>
            <w:vAlign w:val="bottom"/>
          </w:tcPr>
          <w:p>
            <w:pPr>
              <w:spacing w:after="0"/>
              <w:rPr>
                <w:sz w:val="1"/>
                <w:szCs w:val="1"/>
                <w:color w:val="auto"/>
              </w:rPr>
            </w:pPr>
          </w:p>
        </w:tc>
      </w:tr>
      <w:tr>
        <w:trPr>
          <w:trHeight w:val="270"/>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August 14, 2020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23"/>
                <w:szCs w:val="23"/>
                <w:color w:val="auto"/>
              </w:rPr>
            </w:pPr>
          </w:p>
        </w:tc>
        <w:tc>
          <w:tcPr>
            <w:tcW w:w="2020" w:type="dxa"/>
            <w:vAlign w:val="bottom"/>
            <w:tcBorders>
              <w:top w:val="single" w:sz="8" w:color="auto"/>
            </w:tcBorders>
            <w:shd w:val="clear" w:color="auto" w:fill="CCEEFF"/>
          </w:tcPr>
          <w:p>
            <w:pPr>
              <w:jc w:val="right"/>
              <w:ind w:right="1837"/>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May 15, 2020</w:t>
            </w:r>
          </w:p>
        </w:tc>
        <w:tc>
          <w:tcPr>
            <w:tcW w:w="2020" w:type="dxa"/>
            <w:vAlign w:val="bottom"/>
          </w:tcPr>
          <w:p>
            <w:pPr>
              <w:jc w:val="right"/>
              <w:ind w:right="1837"/>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ind w:right="57"/>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14, 2020</w:t>
            </w:r>
          </w:p>
        </w:tc>
        <w:tc>
          <w:tcPr>
            <w:tcW w:w="2020" w:type="dxa"/>
            <w:vAlign w:val="bottom"/>
            <w:shd w:val="clear" w:color="auto" w:fill="CCEEFF"/>
          </w:tcPr>
          <w:p>
            <w:pPr>
              <w:jc w:val="right"/>
              <w:ind w:right="1837"/>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7"/>
        </w:trPr>
        <w:tc>
          <w:tcPr>
            <w:tcW w:w="5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Payable to shareholders of record at the close of business on July 31, 2020 for the period from April 1, 2020 through June 30,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of June 30, 2020, noncontrolling interests in our subsidiaries consisted of (i) limited partner interests in PAA including a 69% interest in PAA’s common units and PAA’s Series A preferred units combined and 100% of PAA’s Series B preferred units, (ii) an approximate 25% limited partner interest in AAP and (iii) a 33% interest in Red River Pipeline Company LLC (“Red River LLC”).</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During the six months ended June 30, 2020, we received $10 million of contributions from noncontrolling interests in Red River LLC related to the Red River pipeline capacity expansion and paid distributions of $4 million.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PAA Series A Preferred Unit Distributions</w:t>
      </w:r>
      <w:r>
        <w:rPr>
          <w:rFonts w:ascii="Arial" w:cs="Arial" w:eastAsia="Arial" w:hAnsi="Arial"/>
          <w:sz w:val="18"/>
          <w:szCs w:val="18"/>
          <w:color w:val="auto"/>
        </w:rPr>
        <w:t>. The following table details distributions to PAA’s Series A preferred unitholders paid during or</w:t>
      </w:r>
      <w:r>
        <w:rPr>
          <w:rFonts w:ascii="Arial" w:cs="Arial" w:eastAsia="Arial" w:hAnsi="Arial"/>
          <w:sz w:val="18"/>
          <w:szCs w:val="18"/>
          <w:i w:val="1"/>
          <w:iCs w:val="1"/>
          <w:color w:val="auto"/>
        </w:rPr>
        <w:t xml:space="preserve"> </w:t>
      </w:r>
      <w:r>
        <w:rPr>
          <w:rFonts w:ascii="Arial" w:cs="Arial" w:eastAsia="Arial" w:hAnsi="Arial"/>
          <w:sz w:val="18"/>
          <w:szCs w:val="18"/>
          <w:color w:val="auto"/>
        </w:rPr>
        <w:t>pertaining to the first six months of 2020 (in millions, except per unit data):</w:t>
      </w:r>
    </w:p>
    <w:p>
      <w:pPr>
        <w:spacing w:after="0" w:line="243"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Series A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23495</wp:posOffset>
            </wp:positionV>
            <wp:extent cx="21431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8040" w:val="left"/>
          <w:tab w:leader="none" w:pos="9740" w:val="left"/>
        </w:tabs>
        <w:rPr>
          <w:sz w:val="20"/>
          <w:szCs w:val="20"/>
          <w:color w:val="auto"/>
        </w:rPr>
      </w:pPr>
      <w:r>
        <w:rPr>
          <w:rFonts w:ascii="Arial" w:cs="Arial" w:eastAsia="Arial" w:hAnsi="Arial"/>
          <w:sz w:val="14"/>
          <w:szCs w:val="14"/>
          <w:b w:val="1"/>
          <w:bCs w:val="1"/>
          <w:color w:val="auto"/>
        </w:rPr>
        <w:t>Distribution Payment Date</w:t>
      </w:r>
      <w:r>
        <w:rPr>
          <w:sz w:val="20"/>
          <w:szCs w:val="20"/>
          <w:color w:val="auto"/>
        </w:rPr>
        <w:tab/>
      </w:r>
      <w:r>
        <w:rPr>
          <w:rFonts w:ascii="Arial" w:cs="Arial" w:eastAsia="Arial" w:hAnsi="Arial"/>
          <w:sz w:val="14"/>
          <w:szCs w:val="14"/>
          <w:b w:val="1"/>
          <w:bCs w:val="1"/>
          <w:color w:val="auto"/>
        </w:rPr>
        <w:t>Cash Distribution</w:t>
      </w:r>
      <w:r>
        <w:rPr>
          <w:sz w:val="20"/>
          <w:szCs w:val="20"/>
          <w:color w:val="auto"/>
        </w:rPr>
        <w:tab/>
      </w:r>
      <w:r>
        <w:rPr>
          <w:rFonts w:ascii="Arial" w:cs="Arial" w:eastAsia="Arial" w:hAnsi="Arial"/>
          <w:sz w:val="13"/>
          <w:szCs w:val="13"/>
          <w:b w:val="1"/>
          <w:bCs w:val="1"/>
          <w:color w:val="auto"/>
        </w:rPr>
        <w:t>Distribution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522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6285" cy="52260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4600" w:type="dxa"/>
            <w:vAlign w:val="bottom"/>
          </w:tcPr>
          <w:p>
            <w:pPr>
              <w:spacing w:after="0"/>
              <w:rPr>
                <w:sz w:val="20"/>
                <w:szCs w:val="20"/>
                <w:color w:val="auto"/>
              </w:rPr>
            </w:pPr>
            <w:r>
              <w:rPr>
                <w:rFonts w:ascii="Arial" w:cs="Arial" w:eastAsia="Arial" w:hAnsi="Arial"/>
                <w:sz w:val="18"/>
                <w:szCs w:val="18"/>
                <w:color w:val="auto"/>
              </w:rPr>
              <w:t xml:space="preserve">August 14, 2020 </w:t>
            </w:r>
            <w:r>
              <w:rPr>
                <w:rFonts w:ascii="Arial" w:cs="Arial" w:eastAsia="Arial" w:hAnsi="Arial"/>
                <w:sz w:val="23"/>
                <w:szCs w:val="23"/>
                <w:color w:val="auto"/>
                <w:vertAlign w:val="superscript"/>
              </w:rPr>
              <w:t>(1)</w:t>
            </w:r>
          </w:p>
        </w:tc>
        <w:tc>
          <w:tcPr>
            <w:tcW w:w="38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May 15, 2020</w:t>
            </w:r>
          </w:p>
        </w:tc>
        <w:tc>
          <w:tcPr>
            <w:tcW w:w="38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4600" w:type="dxa"/>
            <w:vAlign w:val="bottom"/>
          </w:tcPr>
          <w:p>
            <w:pPr>
              <w:spacing w:after="0"/>
              <w:rPr>
                <w:sz w:val="20"/>
                <w:szCs w:val="20"/>
                <w:color w:val="auto"/>
              </w:rPr>
            </w:pPr>
            <w:r>
              <w:rPr>
                <w:rFonts w:ascii="Arial" w:cs="Arial" w:eastAsia="Arial" w:hAnsi="Arial"/>
                <w:sz w:val="18"/>
                <w:szCs w:val="18"/>
                <w:color w:val="auto"/>
              </w:rPr>
              <w:t>February 14, 2020</w:t>
            </w:r>
          </w:p>
        </w:tc>
        <w:tc>
          <w:tcPr>
            <w:tcW w:w="38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4599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1002" w:hanging="1002"/>
        <w:spacing w:after="0"/>
        <w:tabs>
          <w:tab w:leader="none" w:pos="1002" w:val="left"/>
        </w:tabs>
        <w:numPr>
          <w:ilvl w:val="0"/>
          <w:numId w:val="12"/>
        </w:numPr>
        <w:rPr>
          <w:rFonts w:ascii="Arial" w:cs="Arial" w:eastAsia="Arial" w:hAnsi="Arial"/>
          <w:sz w:val="15"/>
          <w:szCs w:val="15"/>
          <w:color w:val="auto"/>
        </w:rPr>
      </w:pPr>
      <w:r>
        <w:rPr>
          <w:rFonts w:ascii="Arial" w:cs="Arial" w:eastAsia="Arial" w:hAnsi="Arial"/>
          <w:sz w:val="15"/>
          <w:szCs w:val="15"/>
          <w:color w:val="auto"/>
        </w:rPr>
        <w:t>0.525</w:t>
      </w:r>
    </w:p>
    <w:p>
      <w:pPr>
        <w:spacing w:after="0" w:line="98" w:lineRule="exact"/>
        <w:rPr>
          <w:sz w:val="20"/>
          <w:szCs w:val="20"/>
          <w:color w:val="auto"/>
        </w:rPr>
      </w:pPr>
    </w:p>
    <w:p>
      <w:pPr>
        <w:ind w:left="1002" w:hanging="1002"/>
        <w:spacing w:after="0"/>
        <w:tabs>
          <w:tab w:leader="none" w:pos="1002" w:val="left"/>
        </w:tabs>
        <w:numPr>
          <w:ilvl w:val="0"/>
          <w:numId w:val="13"/>
        </w:numPr>
        <w:rPr>
          <w:rFonts w:ascii="Arial" w:cs="Arial" w:eastAsia="Arial" w:hAnsi="Arial"/>
          <w:sz w:val="15"/>
          <w:szCs w:val="15"/>
          <w:color w:val="auto"/>
        </w:rPr>
      </w:pPr>
      <w:r>
        <w:rPr>
          <w:rFonts w:ascii="Arial" w:cs="Arial" w:eastAsia="Arial" w:hAnsi="Arial"/>
          <w:sz w:val="15"/>
          <w:szCs w:val="15"/>
          <w:color w:val="auto"/>
        </w:rPr>
        <w:t>0.525</w:t>
      </w:r>
    </w:p>
    <w:p>
      <w:pPr>
        <w:spacing w:after="0" w:line="97" w:lineRule="exact"/>
        <w:rPr>
          <w:rFonts w:ascii="Arial" w:cs="Arial" w:eastAsia="Arial" w:hAnsi="Arial"/>
          <w:sz w:val="15"/>
          <w:szCs w:val="15"/>
          <w:color w:val="auto"/>
        </w:rPr>
      </w:pPr>
    </w:p>
    <w:p>
      <w:pPr>
        <w:ind w:left="1002" w:hanging="1002"/>
        <w:spacing w:after="0"/>
        <w:tabs>
          <w:tab w:leader="none" w:pos="1002" w:val="left"/>
        </w:tabs>
        <w:numPr>
          <w:ilvl w:val="0"/>
          <w:numId w:val="13"/>
        </w:numPr>
        <w:rPr>
          <w:rFonts w:ascii="Arial" w:cs="Arial" w:eastAsia="Arial" w:hAnsi="Arial"/>
          <w:sz w:val="15"/>
          <w:szCs w:val="15"/>
          <w:color w:val="auto"/>
        </w:rPr>
      </w:pPr>
      <w:r>
        <w:rPr>
          <w:rFonts w:ascii="Arial" w:cs="Arial" w:eastAsia="Arial" w:hAnsi="Arial"/>
          <w:sz w:val="15"/>
          <w:szCs w:val="15"/>
          <w:color w:val="auto"/>
        </w:rPr>
        <w:t>0.525</w:t>
      </w:r>
    </w:p>
    <w:p>
      <w:pPr>
        <w:spacing w:after="0" w:line="257" w:lineRule="exact"/>
        <w:rPr>
          <w:sz w:val="20"/>
          <w:szCs w:val="20"/>
          <w:color w:val="auto"/>
        </w:rPr>
      </w:pPr>
    </w:p>
    <w:p>
      <w:pPr>
        <w:sectPr>
          <w:pgSz w:w="11900" w:h="16838" w:orient="portrait"/>
          <w:cols w:equalWidth="0" w:num="2">
            <w:col w:w="9260" w:space="378"/>
            <w:col w:w="1562"/>
          </w:cols>
          <w:pgMar w:left="320" w:top="125" w:right="379" w:bottom="1440" w:gutter="0" w:footer="0" w:header="0"/>
          <w:type w:val="continuous"/>
        </w:sectPr>
      </w:pPr>
    </w:p>
    <w:p>
      <w:pPr>
        <w:spacing w:after="0" w:line="366" w:lineRule="exact"/>
        <w:rPr>
          <w:sz w:val="20"/>
          <w:szCs w:val="20"/>
          <w:color w:val="auto"/>
        </w:rPr>
      </w:pPr>
    </w:p>
    <w:p>
      <w:pPr>
        <w:ind w:left="660" w:right="300" w:hanging="652"/>
        <w:spacing w:after="0" w:line="267" w:lineRule="auto"/>
        <w:tabs>
          <w:tab w:leader="none" w:pos="64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Payable to unitholders of record at the close of business on July 31, 2020 for the period from April 1, 2020 through June 30, 2020. At June 30, 2020, such amount was accrued as distributions payable in “Other current liabilities” on our Condensed Consolidated Balance Sheet.</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PAA Series B Preferred Unit Distributions</w:t>
      </w:r>
      <w:r>
        <w:rPr>
          <w:rFonts w:ascii="Arial" w:cs="Arial" w:eastAsia="Arial" w:hAnsi="Arial"/>
          <w:sz w:val="18"/>
          <w:szCs w:val="18"/>
          <w:color w:val="auto"/>
        </w:rPr>
        <w:t>. Distributions on PAA’s Series B preferred units are payable semi-annually in arrears on the 15th day of</w:t>
      </w:r>
      <w:r>
        <w:rPr>
          <w:rFonts w:ascii="Arial" w:cs="Arial" w:eastAsia="Arial" w:hAnsi="Arial"/>
          <w:sz w:val="18"/>
          <w:szCs w:val="18"/>
          <w:i w:val="1"/>
          <w:iCs w:val="1"/>
          <w:color w:val="auto"/>
        </w:rPr>
        <w:t xml:space="preserve"> </w:t>
      </w:r>
      <w:r>
        <w:rPr>
          <w:rFonts w:ascii="Arial" w:cs="Arial" w:eastAsia="Arial" w:hAnsi="Arial"/>
          <w:sz w:val="18"/>
          <w:szCs w:val="18"/>
          <w:color w:val="auto"/>
        </w:rPr>
        <w:t>May and November. The following table details distributions paid to PAA’s Series B preferred unitholders during the first six months of 2020 (in millions, except per unit data):</w:t>
      </w:r>
    </w:p>
    <w:p>
      <w:pPr>
        <w:spacing w:after="0" w:line="256"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Series B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23495</wp:posOffset>
            </wp:positionV>
            <wp:extent cx="21431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8040" w:val="left"/>
          <w:tab w:leader="none" w:pos="9740" w:val="left"/>
        </w:tabs>
        <w:rPr>
          <w:sz w:val="20"/>
          <w:szCs w:val="20"/>
          <w:color w:val="auto"/>
        </w:rPr>
      </w:pPr>
      <w:r>
        <w:rPr>
          <w:rFonts w:ascii="Arial" w:cs="Arial" w:eastAsia="Arial" w:hAnsi="Arial"/>
          <w:sz w:val="14"/>
          <w:szCs w:val="14"/>
          <w:b w:val="1"/>
          <w:bCs w:val="1"/>
          <w:color w:val="auto"/>
        </w:rPr>
        <w:t>Distribution Payment Date</w:t>
      </w:r>
      <w:r>
        <w:rPr>
          <w:sz w:val="20"/>
          <w:szCs w:val="20"/>
          <w:color w:val="auto"/>
        </w:rPr>
        <w:tab/>
      </w:r>
      <w:r>
        <w:rPr>
          <w:rFonts w:ascii="Arial" w:cs="Arial" w:eastAsia="Arial" w:hAnsi="Arial"/>
          <w:sz w:val="14"/>
          <w:szCs w:val="14"/>
          <w:b w:val="1"/>
          <w:bCs w:val="1"/>
          <w:color w:val="auto"/>
        </w:rPr>
        <w:t>Cash Distribution</w:t>
      </w:r>
      <w:r>
        <w:rPr>
          <w:sz w:val="20"/>
          <w:szCs w:val="20"/>
          <w:color w:val="auto"/>
        </w:rPr>
        <w:tab/>
      </w:r>
      <w:r>
        <w:rPr>
          <w:rFonts w:ascii="Arial" w:cs="Arial" w:eastAsia="Arial" w:hAnsi="Arial"/>
          <w:sz w:val="13"/>
          <w:szCs w:val="13"/>
          <w:b w:val="1"/>
          <w:bCs w:val="1"/>
          <w:color w:val="auto"/>
        </w:rPr>
        <w:t>Distribution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p>
      <w:pPr>
        <w:spacing w:after="0" w:line="63" w:lineRule="exact"/>
        <w:rPr>
          <w:sz w:val="20"/>
          <w:szCs w:val="20"/>
          <w:color w:val="auto"/>
        </w:rPr>
      </w:pPr>
    </w:p>
    <w:p>
      <w:pPr>
        <w:ind w:left="20"/>
        <w:spacing w:after="0"/>
        <w:tabs>
          <w:tab w:leader="none" w:pos="7820" w:val="left"/>
          <w:tab w:leader="none" w:pos="8920" w:val="left"/>
        </w:tabs>
        <w:rPr>
          <w:sz w:val="20"/>
          <w:szCs w:val="20"/>
          <w:color w:val="auto"/>
        </w:rPr>
      </w:pPr>
      <w:r>
        <w:rPr>
          <w:rFonts w:ascii="Arial" w:cs="Arial" w:eastAsia="Arial" w:hAnsi="Arial"/>
          <w:sz w:val="18"/>
          <w:szCs w:val="18"/>
          <w:color w:val="auto"/>
        </w:rPr>
        <w:t>May 15, 2020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24.5</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922" w:hanging="922"/>
        <w:spacing w:after="0"/>
        <w:tabs>
          <w:tab w:leader="none" w:pos="922" w:val="left"/>
        </w:tabs>
        <w:numPr>
          <w:ilvl w:val="0"/>
          <w:numId w:val="15"/>
        </w:numPr>
        <w:rPr>
          <w:rFonts w:ascii="Arial" w:cs="Arial" w:eastAsia="Arial" w:hAnsi="Arial"/>
          <w:sz w:val="15"/>
          <w:szCs w:val="15"/>
          <w:color w:val="auto"/>
        </w:rPr>
      </w:pPr>
      <w:r>
        <w:rPr>
          <w:rFonts w:ascii="Arial" w:cs="Arial" w:eastAsia="Arial" w:hAnsi="Arial"/>
          <w:sz w:val="15"/>
          <w:szCs w:val="15"/>
          <w:color w:val="auto"/>
        </w:rPr>
        <w:t>30.625</w:t>
      </w:r>
    </w:p>
    <w:p>
      <w:pPr>
        <w:spacing w:after="0" w:line="234" w:lineRule="exact"/>
        <w:rPr>
          <w:sz w:val="20"/>
          <w:szCs w:val="20"/>
          <w:color w:val="auto"/>
        </w:rPr>
      </w:pPr>
    </w:p>
    <w:p>
      <w:pPr>
        <w:sectPr>
          <w:pgSz w:w="11900" w:h="16838" w:orient="portrait"/>
          <w:cols w:equalWidth="0" w:num="2">
            <w:col w:w="9260" w:space="378"/>
            <w:col w:w="1562"/>
          </w:cols>
          <w:pgMar w:left="320" w:top="125" w:right="379" w:bottom="1440" w:gutter="0" w:footer="0" w:header="0"/>
          <w:type w:val="continuous"/>
        </w:sectPr>
      </w:pPr>
    </w:p>
    <w:p>
      <w:pPr>
        <w:spacing w:after="0" w:line="18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At June 30, 2020, approximately $6 million of accrued distributions payable to PAA’s Series B preferred unitholders was included in “Other current liabilities” on our Condensed Consolidated Balance Sheet.</w:t>
      </w:r>
    </w:p>
    <w:p>
      <w:pPr>
        <w:sectPr>
          <w:pgSz w:w="11900" w:h="16838" w:orient="portrait"/>
          <w:cols w:equalWidth="0" w:num="1">
            <w:col w:w="11200"/>
          </w:cols>
          <w:pgMar w:left="320" w:top="125" w:right="37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PAA Common Unit Distributions. </w:t>
      </w:r>
      <w:r>
        <w:rPr>
          <w:rFonts w:ascii="Arial" w:cs="Arial" w:eastAsia="Arial" w:hAnsi="Arial"/>
          <w:sz w:val="18"/>
          <w:szCs w:val="18"/>
          <w:color w:val="auto"/>
        </w:rPr>
        <w:t>The following table details distributions to PAA’s common unitholders paid during or pertaining to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2020 (in millions, except per unit data):</w:t>
      </w:r>
    </w:p>
    <w:p>
      <w:pPr>
        <w:sectPr>
          <w:pgSz w:w="11900" w:h="16838" w:orient="portrait"/>
          <w:cols w:equalWidth="0" w:num="1">
            <w:col w:w="11240"/>
          </w:cols>
          <w:pgMar w:left="320" w:top="125" w:right="339" w:bottom="1440" w:gutter="0" w:footer="0" w:header="0"/>
        </w:sect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96"/>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Common Unitholders</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4480" w:type="dxa"/>
            <w:vAlign w:val="bottom"/>
            <w:gridSpan w:val="2"/>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Public</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197"/>
              <w:spacing w:after="0"/>
              <w:rPr>
                <w:sz w:val="20"/>
                <w:szCs w:val="20"/>
                <w:color w:val="auto"/>
              </w:rPr>
            </w:pPr>
            <w:r>
              <w:rPr>
                <w:rFonts w:ascii="Arial" w:cs="Arial" w:eastAsia="Arial" w:hAnsi="Arial"/>
                <w:sz w:val="14"/>
                <w:szCs w:val="14"/>
                <w:b w:val="1"/>
                <w:bCs w:val="1"/>
                <w:color w:val="auto"/>
              </w:rPr>
              <w:t>AAP</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Total Cash Distribution</w:t>
            </w:r>
          </w:p>
        </w:tc>
      </w:tr>
      <w:tr>
        <w:trPr>
          <w:trHeight w:val="269"/>
        </w:trPr>
        <w:tc>
          <w:tcPr>
            <w:tcW w:w="4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xml:space="preserve">August 14, 2020 </w:t>
            </w:r>
            <w:r>
              <w:rPr>
                <w:rFonts w:ascii="Arial" w:cs="Arial" w:eastAsia="Arial" w:hAnsi="Arial"/>
                <w:sz w:val="23"/>
                <w:szCs w:val="23"/>
                <w:color w:val="auto"/>
                <w:vertAlign w:val="superscript"/>
              </w:rPr>
              <w:t>(1)</w:t>
            </w:r>
          </w:p>
        </w:tc>
        <w:tc>
          <w:tcPr>
            <w:tcW w:w="120" w:type="dxa"/>
            <w:vAlign w:val="bottom"/>
          </w:tcPr>
          <w:p>
            <w:pPr>
              <w:spacing w:after="0"/>
              <w:rPr>
                <w:sz w:val="23"/>
                <w:szCs w:val="23"/>
                <w:color w:val="auto"/>
              </w:rPr>
            </w:pPr>
          </w:p>
        </w:tc>
        <w:tc>
          <w:tcPr>
            <w:tcW w:w="1060" w:type="dxa"/>
            <w:vAlign w:val="bottom"/>
            <w:tcBorders>
              <w:top w:val="single" w:sz="8" w:color="auto"/>
            </w:tcBorders>
          </w:tcPr>
          <w:p>
            <w:pPr>
              <w:jc w:val="right"/>
              <w:ind w:right="877"/>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3"/>
                <w:szCs w:val="23"/>
                <w:color w:val="auto"/>
              </w:rPr>
            </w:pPr>
          </w:p>
        </w:tc>
        <w:tc>
          <w:tcPr>
            <w:tcW w:w="1200" w:type="dxa"/>
            <w:vAlign w:val="bottom"/>
            <w:tcBorders>
              <w:top w:val="single" w:sz="8" w:color="auto"/>
            </w:tcBorders>
          </w:tcPr>
          <w:p>
            <w:pPr>
              <w:jc w:val="right"/>
              <w:ind w:right="1017"/>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3"/>
                <w:szCs w:val="23"/>
                <w:color w:val="auto"/>
              </w:rPr>
            </w:pPr>
          </w:p>
        </w:tc>
        <w:tc>
          <w:tcPr>
            <w:tcW w:w="640" w:type="dxa"/>
            <w:vAlign w:val="bottom"/>
            <w:tcBorders>
              <w:top w:val="single" w:sz="8" w:color="auto"/>
            </w:tcBorders>
          </w:tcPr>
          <w:p>
            <w:pPr>
              <w:jc w:val="right"/>
              <w:ind w:right="435"/>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131</w:t>
            </w:r>
          </w:p>
        </w:tc>
      </w:tr>
      <w:tr>
        <w:trPr>
          <w:trHeight w:val="244"/>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May 15, 2020</w:t>
            </w:r>
          </w:p>
        </w:tc>
        <w:tc>
          <w:tcPr>
            <w:tcW w:w="1060" w:type="dxa"/>
            <w:vAlign w:val="bottom"/>
          </w:tcPr>
          <w:p>
            <w:pPr>
              <w:jc w:val="right"/>
              <w:ind w:right="877"/>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200" w:type="dxa"/>
            <w:vAlign w:val="bottom"/>
          </w:tcPr>
          <w:p>
            <w:pPr>
              <w:jc w:val="right"/>
              <w:ind w:right="1017"/>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1"/>
                <w:szCs w:val="21"/>
                <w:color w:val="auto"/>
              </w:rPr>
            </w:pPr>
          </w:p>
        </w:tc>
        <w:tc>
          <w:tcPr>
            <w:tcW w:w="640" w:type="dxa"/>
            <w:vAlign w:val="bottom"/>
          </w:tcPr>
          <w:p>
            <w:pPr>
              <w:jc w:val="right"/>
              <w:ind w:right="435"/>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131</w:t>
            </w:r>
          </w:p>
        </w:tc>
      </w:tr>
      <w:tr>
        <w:trPr>
          <w:trHeight w:val="270"/>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February 14, 2020</w:t>
            </w:r>
          </w:p>
        </w:tc>
        <w:tc>
          <w:tcPr>
            <w:tcW w:w="1060" w:type="dxa"/>
            <w:vAlign w:val="bottom"/>
          </w:tcPr>
          <w:p>
            <w:pPr>
              <w:jc w:val="right"/>
              <w:ind w:right="877"/>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3"/>
                <w:szCs w:val="23"/>
                <w:color w:val="auto"/>
              </w:rPr>
            </w:pPr>
          </w:p>
        </w:tc>
        <w:tc>
          <w:tcPr>
            <w:tcW w:w="1200" w:type="dxa"/>
            <w:vAlign w:val="bottom"/>
          </w:tcPr>
          <w:p>
            <w:pPr>
              <w:jc w:val="right"/>
              <w:ind w:right="1017"/>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90</w:t>
            </w:r>
          </w:p>
        </w:tc>
        <w:tc>
          <w:tcPr>
            <w:tcW w:w="100" w:type="dxa"/>
            <w:vAlign w:val="bottom"/>
          </w:tcPr>
          <w:p>
            <w:pPr>
              <w:spacing w:after="0"/>
              <w:rPr>
                <w:sz w:val="23"/>
                <w:szCs w:val="23"/>
                <w:color w:val="auto"/>
              </w:rPr>
            </w:pPr>
          </w:p>
        </w:tc>
        <w:tc>
          <w:tcPr>
            <w:tcW w:w="640" w:type="dxa"/>
            <w:vAlign w:val="bottom"/>
          </w:tcPr>
          <w:p>
            <w:pPr>
              <w:jc w:val="right"/>
              <w:ind w:right="435"/>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-504825</wp:posOffset>
            </wp:positionV>
            <wp:extent cx="7098030" cy="522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5226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24599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center"/>
        <w:ind w:right="84"/>
        <w:spacing w:after="0"/>
        <w:rPr>
          <w:sz w:val="20"/>
          <w:szCs w:val="20"/>
          <w:color w:val="auto"/>
        </w:rPr>
      </w:pPr>
      <w:r>
        <w:rPr>
          <w:rFonts w:ascii="Arial" w:cs="Arial" w:eastAsia="Arial" w:hAnsi="Arial"/>
          <w:sz w:val="13"/>
          <w:szCs w:val="13"/>
          <w:b w:val="1"/>
          <w:bCs w:val="1"/>
          <w:color w:val="auto"/>
        </w:rPr>
        <w:t>Cash Distribution per</w:t>
      </w:r>
    </w:p>
    <w:p>
      <w:pPr>
        <w:spacing w:after="0" w:line="15" w:lineRule="exact"/>
        <w:rPr>
          <w:sz w:val="20"/>
          <w:szCs w:val="20"/>
          <w:color w:val="auto"/>
        </w:rPr>
      </w:pPr>
    </w:p>
    <w:p>
      <w:pPr>
        <w:jc w:val="center"/>
        <w:ind w:right="84"/>
        <w:spacing w:after="0"/>
        <w:rPr>
          <w:sz w:val="20"/>
          <w:szCs w:val="20"/>
          <w:color w:val="auto"/>
        </w:rPr>
      </w:pPr>
      <w:r>
        <w:rPr>
          <w:rFonts w:ascii="Arial" w:cs="Arial" w:eastAsia="Arial" w:hAnsi="Arial"/>
          <w:sz w:val="14"/>
          <w:szCs w:val="14"/>
          <w:b w:val="1"/>
          <w:bCs w:val="1"/>
          <w:color w:val="auto"/>
        </w:rPr>
        <w:t>Common Unit</w:t>
      </w:r>
    </w:p>
    <w:p>
      <w:pPr>
        <w:spacing w:after="0" w:line="47" w:lineRule="exact"/>
        <w:rPr>
          <w:sz w:val="20"/>
          <w:szCs w:val="20"/>
          <w:color w:val="auto"/>
        </w:rPr>
      </w:pPr>
    </w:p>
    <w:p>
      <w:pPr>
        <w:ind w:left="1096" w:hanging="1096"/>
        <w:spacing w:after="0"/>
        <w:tabs>
          <w:tab w:leader="none" w:pos="1096" w:val="left"/>
        </w:tabs>
        <w:numPr>
          <w:ilvl w:val="0"/>
          <w:numId w:val="16"/>
        </w:numPr>
        <w:rPr>
          <w:rFonts w:ascii="Arial" w:cs="Arial" w:eastAsia="Arial" w:hAnsi="Arial"/>
          <w:sz w:val="17"/>
          <w:szCs w:val="17"/>
          <w:color w:val="auto"/>
        </w:rPr>
      </w:pPr>
      <w:r>
        <w:rPr>
          <w:rFonts w:ascii="Arial" w:cs="Arial" w:eastAsia="Arial" w:hAnsi="Arial"/>
          <w:sz w:val="17"/>
          <w:szCs w:val="17"/>
          <w:color w:val="auto"/>
        </w:rPr>
        <w:t>0.18</w:t>
      </w:r>
    </w:p>
    <w:p>
      <w:pPr>
        <w:spacing w:after="0" w:line="75" w:lineRule="exact"/>
        <w:rPr>
          <w:sz w:val="20"/>
          <w:szCs w:val="20"/>
          <w:color w:val="auto"/>
        </w:rPr>
      </w:pPr>
    </w:p>
    <w:p>
      <w:pPr>
        <w:ind w:left="1096" w:hanging="1096"/>
        <w:spacing w:after="0"/>
        <w:tabs>
          <w:tab w:leader="none" w:pos="1096" w:val="left"/>
        </w:tabs>
        <w:numPr>
          <w:ilvl w:val="0"/>
          <w:numId w:val="17"/>
        </w:numPr>
        <w:rPr>
          <w:rFonts w:ascii="Arial" w:cs="Arial" w:eastAsia="Arial" w:hAnsi="Arial"/>
          <w:sz w:val="17"/>
          <w:szCs w:val="17"/>
          <w:color w:val="auto"/>
        </w:rPr>
      </w:pPr>
      <w:r>
        <w:rPr>
          <w:rFonts w:ascii="Arial" w:cs="Arial" w:eastAsia="Arial" w:hAnsi="Arial"/>
          <w:sz w:val="17"/>
          <w:szCs w:val="17"/>
          <w:color w:val="auto"/>
        </w:rPr>
        <w:t>0.18</w:t>
      </w:r>
    </w:p>
    <w:p>
      <w:pPr>
        <w:spacing w:after="0" w:line="74" w:lineRule="exact"/>
        <w:rPr>
          <w:rFonts w:ascii="Arial" w:cs="Arial" w:eastAsia="Arial" w:hAnsi="Arial"/>
          <w:sz w:val="17"/>
          <w:szCs w:val="17"/>
          <w:color w:val="auto"/>
        </w:rPr>
      </w:pPr>
    </w:p>
    <w:p>
      <w:pPr>
        <w:ind w:left="1096" w:hanging="1096"/>
        <w:spacing w:after="0"/>
        <w:tabs>
          <w:tab w:leader="none" w:pos="1096" w:val="left"/>
        </w:tabs>
        <w:numPr>
          <w:ilvl w:val="0"/>
          <w:numId w:val="17"/>
        </w:numPr>
        <w:rPr>
          <w:rFonts w:ascii="Arial" w:cs="Arial" w:eastAsia="Arial" w:hAnsi="Arial"/>
          <w:sz w:val="17"/>
          <w:szCs w:val="17"/>
          <w:color w:val="auto"/>
        </w:rPr>
      </w:pPr>
      <w:r>
        <w:rPr>
          <w:rFonts w:ascii="Arial" w:cs="Arial" w:eastAsia="Arial" w:hAnsi="Arial"/>
          <w:sz w:val="17"/>
          <w:szCs w:val="17"/>
          <w:color w:val="auto"/>
        </w:rPr>
        <w:t>0.36</w:t>
      </w:r>
    </w:p>
    <w:p>
      <w:pPr>
        <w:spacing w:after="0" w:line="234" w:lineRule="exact"/>
        <w:rPr>
          <w:sz w:val="20"/>
          <w:szCs w:val="20"/>
          <w:color w:val="auto"/>
        </w:rPr>
      </w:pPr>
    </w:p>
    <w:p>
      <w:pPr>
        <w:sectPr>
          <w:pgSz w:w="11900" w:h="16838" w:orient="portrait"/>
          <w:cols w:equalWidth="0" w:num="2">
            <w:col w:w="9400" w:space="224"/>
            <w:col w:w="1616"/>
          </w:cols>
          <w:pgMar w:left="320" w:top="125" w:right="339" w:bottom="1440" w:gutter="0" w:footer="0" w:header="0"/>
          <w:type w:val="continuous"/>
        </w:sectPr>
      </w:pPr>
    </w:p>
    <w:p>
      <w:pPr>
        <w:spacing w:after="0" w:line="332"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July 31, 2020 for the period from April 1, 2020 through June 30, 2020.</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to AAP’s partners paid during or pertaining to the first six months of 2020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received from PAA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Distribution to AAP</w:t>
            </w:r>
            <w:r>
              <w:rPr>
                <w:rFonts w:ascii="Arial" w:cs="Arial" w:eastAsia="Arial" w:hAnsi="Arial"/>
                <w:sz w:val="17"/>
                <w:szCs w:val="17"/>
                <w:color w:val="auto"/>
                <w:w w:val="98"/>
              </w:rPr>
              <w:t>’</w:t>
            </w:r>
            <w:r>
              <w:rPr>
                <w:rFonts w:ascii="Arial" w:cs="Arial" w:eastAsia="Arial" w:hAnsi="Arial"/>
                <w:sz w:val="14"/>
                <w:szCs w:val="14"/>
                <w:b w:val="1"/>
                <w:bCs w:val="1"/>
                <w:color w:val="auto"/>
                <w:w w:val="98"/>
              </w:rPr>
              <w:t>s Partners</w:t>
            </w: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r>
      <w:tr>
        <w:trPr>
          <w:trHeight w:val="19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3"/>
              </w:rPr>
              <w:t>Noncontrolling Interests</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PAGP</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3"/>
              </w:rPr>
              <w:t>Total Cash Distributions</w:t>
            </w:r>
          </w:p>
        </w:tc>
      </w:tr>
      <w:tr>
        <w:trPr>
          <w:trHeight w:val="27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August 14, 2020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12</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45</w:t>
            </w:r>
          </w:p>
        </w:tc>
      </w:tr>
      <w:tr>
        <w:trPr>
          <w:trHeight w:val="243"/>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May 15,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75"/>
              <w:spacing w:after="0"/>
              <w:rPr>
                <w:sz w:val="20"/>
                <w:szCs w:val="20"/>
                <w:color w:val="auto"/>
              </w:rPr>
            </w:pPr>
            <w:r>
              <w:rPr>
                <w:rFonts w:ascii="Arial" w:cs="Arial" w:eastAsia="Arial" w:hAnsi="Arial"/>
                <w:sz w:val="18"/>
                <w:szCs w:val="18"/>
                <w:color w:val="auto"/>
              </w:rPr>
              <w:t>12</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5"/>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75"/>
              <w:spacing w:after="0"/>
              <w:rPr>
                <w:sz w:val="20"/>
                <w:szCs w:val="20"/>
                <w:color w:val="auto"/>
              </w:rPr>
            </w:pPr>
            <w:r>
              <w:rPr>
                <w:rFonts w:ascii="Arial" w:cs="Arial" w:eastAsia="Arial" w:hAnsi="Arial"/>
                <w:sz w:val="18"/>
                <w:szCs w:val="18"/>
                <w:color w:val="auto"/>
              </w:rPr>
              <w:t>45</w:t>
            </w:r>
          </w:p>
        </w:tc>
      </w:tr>
      <w:tr>
        <w:trPr>
          <w:trHeight w:val="27"/>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14,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24</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90</w:t>
            </w:r>
          </w:p>
        </w:tc>
      </w:tr>
      <w:tr>
        <w:trPr>
          <w:trHeight w:val="27"/>
        </w:trPr>
        <w:tc>
          <w:tcPr>
            <w:tcW w:w="5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July 31, 2020 for the period from April 1, 2020 through June 30, 2020.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 and Risk Management Activities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9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as a hedging instrument and derivatives that do not qualify for hedge accounting are recognized in earnings each period. Cash settlements associated with our derivative activities are classified within the same category as the related hedged item in our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92" w:lineRule="exact"/>
        <w:rPr>
          <w:sz w:val="20"/>
          <w:szCs w:val="20"/>
          <w:color w:val="auto"/>
        </w:rPr>
      </w:pPr>
    </w:p>
    <w:p>
      <w:pPr>
        <w:ind w:right="80" w:firstLine="607"/>
        <w:spacing w:after="0" w:line="311" w:lineRule="auto"/>
        <w:rPr>
          <w:sz w:val="20"/>
          <w:szCs w:val="20"/>
          <w:color w:val="auto"/>
        </w:rPr>
      </w:pPr>
      <w:r>
        <w:rPr>
          <w:rFonts w:ascii="Arial" w:cs="Arial" w:eastAsia="Arial" w:hAnsi="Arial"/>
          <w:sz w:val="16"/>
          <w:szCs w:val="16"/>
          <w:color w:val="auto"/>
        </w:rPr>
        <w:t>At June 30, 2020 and December 31, 2019,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June 30, 2020, net derivative positions related to these activities included:</w:t>
      </w:r>
    </w:p>
    <w:p>
      <w:pPr>
        <w:spacing w:after="0" w:line="146" w:lineRule="exact"/>
        <w:rPr>
          <w:sz w:val="20"/>
          <w:szCs w:val="20"/>
          <w:color w:val="auto"/>
        </w:rPr>
      </w:pPr>
    </w:p>
    <w:p>
      <w:pPr>
        <w:ind w:left="980" w:right="32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net long position of 10.2 million barrels associated with our crude oil purchases, which was unwound ratably during July 2020 to match monthly average pricing.</w:t>
      </w:r>
    </w:p>
    <w:p>
      <w:pPr>
        <w:spacing w:after="0" w:line="116"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net short time spread position of 6.6 million barrels, which hedges a portion of our anticipated crude oil lease gathering purchases through September 2021.</w:t>
      </w:r>
    </w:p>
    <w:p>
      <w:pPr>
        <w:spacing w:after="0" w:line="116"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net crude oil basis spread position of 7.9 million barrels at multiple locations through December 2021. These derivatives allow us to lock in grade basis differentials.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net short position of 33.2 million barrels through December 2022 related to anticipated net sales of crude oil and NGL inventory.</w:t>
      </w:r>
    </w:p>
    <w:p>
      <w:pPr>
        <w:spacing w:after="0" w:line="237"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We purchase natural gas for processing and operational needs. Additionally, we purchase NGL</w:t>
      </w:r>
      <w:r>
        <w:rPr>
          <w:rFonts w:ascii="Arial" w:cs="Arial" w:eastAsia="Arial" w:hAnsi="Arial"/>
          <w:sz w:val="17"/>
          <w:szCs w:val="17"/>
          <w:i w:val="1"/>
          <w:iCs w:val="1"/>
          <w:color w:val="auto"/>
        </w:rPr>
        <w:t xml:space="preserve"> </w:t>
      </w:r>
      <w:r>
        <w:rPr>
          <w:rFonts w:ascii="Arial" w:cs="Arial" w:eastAsia="Arial" w:hAnsi="Arial"/>
          <w:sz w:val="17"/>
          <w:szCs w:val="17"/>
          <w:color w:val="auto"/>
        </w:rPr>
        <w:t>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June 30, 2020:</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Notional Volume</w:t>
            </w:r>
          </w:p>
        </w:tc>
        <w:tc>
          <w:tcPr>
            <w:tcW w:w="2180" w:type="dxa"/>
            <w:vAlign w:val="bottom"/>
          </w:tcPr>
          <w:p>
            <w:pPr>
              <w:spacing w:after="0"/>
              <w:rPr>
                <w:sz w:val="16"/>
                <w:szCs w:val="16"/>
                <w:color w:val="auto"/>
              </w:rPr>
            </w:pPr>
          </w:p>
        </w:tc>
      </w:tr>
      <w:tr>
        <w:trPr>
          <w:trHeight w:val="208"/>
        </w:trPr>
        <w:tc>
          <w:tcPr>
            <w:tcW w:w="680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(Short)/Long</w:t>
            </w:r>
          </w:p>
        </w:tc>
        <w:tc>
          <w:tcPr>
            <w:tcW w:w="8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Remaining Tenor</w:t>
            </w:r>
          </w:p>
        </w:tc>
      </w:tr>
      <w:tr>
        <w:trPr>
          <w:trHeight w:val="27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purchases</w:t>
            </w:r>
          </w:p>
        </w:tc>
        <w:tc>
          <w:tcPr>
            <w:tcW w:w="22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23.8 Bcf</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2020</w:t>
            </w:r>
          </w:p>
        </w:tc>
      </w:tr>
      <w:tr>
        <w:trPr>
          <w:trHeight w:val="270"/>
        </w:trPr>
        <w:tc>
          <w:tcPr>
            <w:tcW w:w="6800" w:type="dxa"/>
            <w:vAlign w:val="bottom"/>
          </w:tcPr>
          <w:p>
            <w:pPr>
              <w:ind w:left="20"/>
              <w:spacing w:after="0"/>
              <w:rPr>
                <w:sz w:val="20"/>
                <w:szCs w:val="20"/>
                <w:color w:val="auto"/>
              </w:rPr>
            </w:pPr>
            <w:r>
              <w:rPr>
                <w:rFonts w:ascii="Arial" w:cs="Arial" w:eastAsia="Arial" w:hAnsi="Arial"/>
                <w:sz w:val="18"/>
                <w:szCs w:val="18"/>
                <w:color w:val="auto"/>
              </w:rPr>
              <w:t>Propane sales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(4.1)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2020</w:t>
            </w:r>
          </w:p>
        </w:tc>
      </w:tr>
      <w:tr>
        <w:trPr>
          <w:trHeight w:val="27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Butane sales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(1.3) MMbls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2020</w:t>
            </w:r>
          </w:p>
        </w:tc>
      </w:tr>
      <w:tr>
        <w:trPr>
          <w:trHeight w:val="270"/>
        </w:trPr>
        <w:tc>
          <w:tcPr>
            <w:tcW w:w="6800" w:type="dxa"/>
            <w:vAlign w:val="bottom"/>
          </w:tcPr>
          <w:p>
            <w:pPr>
              <w:ind w:left="20"/>
              <w:spacing w:after="0"/>
              <w:rPr>
                <w:sz w:val="20"/>
                <w:szCs w:val="20"/>
                <w:color w:val="auto"/>
              </w:rPr>
            </w:pPr>
            <w:r>
              <w:rPr>
                <w:rFonts w:ascii="Arial" w:cs="Arial" w:eastAsia="Arial" w:hAnsi="Arial"/>
                <w:sz w:val="18"/>
                <w:szCs w:val="18"/>
                <w:color w:val="auto"/>
              </w:rPr>
              <w:t>Condensate sales (WTI position)</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(0.5)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2020</w:t>
            </w:r>
          </w:p>
        </w:tc>
      </w:tr>
      <w:tr>
        <w:trPr>
          <w:trHeight w:val="27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Fuel gas requirements </w:t>
            </w:r>
            <w:r>
              <w:rPr>
                <w:rFonts w:ascii="Arial" w:cs="Arial" w:eastAsia="Arial" w:hAnsi="Arial"/>
                <w:sz w:val="23"/>
                <w:szCs w:val="23"/>
                <w:color w:val="auto"/>
                <w:vertAlign w:val="superscript"/>
              </w:rPr>
              <w:t>(1)</w:t>
            </w:r>
          </w:p>
        </w:tc>
        <w:tc>
          <w:tcPr>
            <w:tcW w:w="22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17.4 Bcf</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r>
      <w:tr>
        <w:trPr>
          <w:trHeight w:val="352"/>
        </w:trPr>
        <w:tc>
          <w:tcPr>
            <w:tcW w:w="6800" w:type="dxa"/>
            <w:vAlign w:val="bottom"/>
          </w:tcPr>
          <w:p>
            <w:pPr>
              <w:ind w:left="20"/>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3"/>
                <w:szCs w:val="23"/>
                <w:color w:val="auto"/>
                <w:vertAlign w:val="superscript"/>
              </w:rPr>
              <w:t>(1)</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0.9 TWh</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2459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Positions to hedge a portion of our power supply and fuel gas requirements at our Canadian natural gas processing and fractionation plants.</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22" w:lineRule="exact"/>
        <w:rPr>
          <w:rFonts w:ascii="Arial" w:cs="Arial" w:eastAsia="Arial" w:hAnsi="Arial"/>
          <w:sz w:val="22"/>
          <w:szCs w:val="22"/>
          <w:color w:val="auto"/>
          <w:vertAlign w:val="superscript"/>
        </w:rPr>
      </w:pPr>
    </w:p>
    <w:p>
      <w:pPr>
        <w:ind w:left="5540"/>
        <w:spacing w:after="0"/>
        <w:rPr>
          <w:rFonts w:ascii="Arial" w:cs="Arial" w:eastAsia="Arial" w:hAnsi="Arial"/>
          <w:sz w:val="22"/>
          <w:szCs w:val="22"/>
          <w:color w:val="auto"/>
          <w:vertAlign w:val="superscript"/>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commodity derivatives are not designated as a hedging relationship, as such, changes in the fair value are reported in earnings. A summary of the impact of our commodity derivatives recognized in earnings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Six Months Ended</w:t>
            </w:r>
          </w:p>
        </w:tc>
        <w:tc>
          <w:tcPr>
            <w:tcW w:w="460" w:type="dxa"/>
            <w:vAlign w:val="bottom"/>
          </w:tcPr>
          <w:p>
            <w:pPr>
              <w:spacing w:after="0"/>
              <w:rPr>
                <w:sz w:val="14"/>
                <w:szCs w:val="14"/>
                <w:color w:val="auto"/>
              </w:rPr>
            </w:pPr>
          </w:p>
        </w:tc>
      </w:tr>
      <w:tr>
        <w:trPr>
          <w:trHeight w:val="192"/>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r>
      <w:tr>
        <w:trPr>
          <w:trHeight w:val="250"/>
        </w:trPr>
        <w:tc>
          <w:tcPr>
            <w:tcW w:w="58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1"/>
                <w:szCs w:val="2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231</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Field operating costs</w:t>
            </w:r>
          </w:p>
        </w:tc>
        <w:tc>
          <w:tcPr>
            <w:tcW w:w="3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11</w:t>
            </w:r>
          </w:p>
        </w:tc>
      </w:tr>
      <w:tr>
        <w:trPr>
          <w:trHeight w:val="27"/>
        </w:trPr>
        <w:tc>
          <w:tcPr>
            <w:tcW w:w="5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88"/>
        </w:trPr>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gain/(loss) from commodity derivative activity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242</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r>
      <w:tr>
        <w:trPr>
          <w:trHeight w:val="249"/>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center"/>
              <w:ind w:left="516"/>
              <w:spacing w:after="0"/>
              <w:rPr>
                <w:sz w:val="20"/>
                <w:szCs w:val="20"/>
                <w:color w:val="auto"/>
              </w:rPr>
            </w:pPr>
            <w:r>
              <w:rPr>
                <w:rFonts w:ascii="Arial" w:cs="Arial" w:eastAsia="Arial" w:hAnsi="Arial"/>
                <w:sz w:val="18"/>
                <w:szCs w:val="18"/>
                <w:color w:val="auto"/>
                <w:w w:val="89"/>
              </w:rPr>
              <w:t>73</w:t>
            </w:r>
          </w:p>
        </w:tc>
      </w:tr>
      <w:tr>
        <w:trPr>
          <w:trHeight w:val="257"/>
        </w:trPr>
        <w:tc>
          <w:tcPr>
            <w:tcW w:w="8600" w:type="dxa"/>
            <w:vAlign w:val="bottom"/>
          </w:tcPr>
          <w:p>
            <w:pPr>
              <w:ind w:left="20"/>
              <w:spacing w:after="0"/>
              <w:rPr>
                <w:sz w:val="20"/>
                <w:szCs w:val="20"/>
                <w:color w:val="auto"/>
              </w:rPr>
            </w:pPr>
            <w:r>
              <w:rPr>
                <w:rFonts w:ascii="Arial" w:cs="Arial" w:eastAsia="Arial" w:hAnsi="Arial"/>
                <w:sz w:val="18"/>
                <w:szCs w:val="18"/>
                <w:color w:val="auto"/>
              </w:rPr>
              <w:t>Variation margin posted/(returned)</w:t>
            </w:r>
          </w:p>
        </w:tc>
        <w:tc>
          <w:tcPr>
            <w:tcW w:w="240" w:type="dxa"/>
            <w:vAlign w:val="bottom"/>
          </w:tcPr>
          <w:p>
            <w:pPr>
              <w:spacing w:after="0"/>
              <w:rPr>
                <w:sz w:val="22"/>
                <w:szCs w:val="22"/>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center"/>
              <w:ind w:left="516"/>
              <w:spacing w:after="0"/>
              <w:rPr>
                <w:sz w:val="20"/>
                <w:szCs w:val="20"/>
                <w:color w:val="auto"/>
              </w:rPr>
            </w:pPr>
            <w:r>
              <w:rPr>
                <w:rFonts w:ascii="Arial" w:cs="Arial" w:eastAsia="Arial" w:hAnsi="Arial"/>
                <w:sz w:val="18"/>
                <w:szCs w:val="18"/>
                <w:color w:val="auto"/>
                <w:w w:val="93"/>
              </w:rPr>
              <w:t>(45)</w:t>
            </w:r>
          </w:p>
        </w:tc>
      </w:tr>
      <w:tr>
        <w:trPr>
          <w:trHeight w:val="27"/>
        </w:trPr>
        <w:tc>
          <w:tcPr>
            <w:tcW w:w="8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center"/>
              <w:ind w:left="516"/>
              <w:spacing w:after="0"/>
              <w:rPr>
                <w:sz w:val="20"/>
                <w:szCs w:val="20"/>
                <w:color w:val="auto"/>
              </w:rPr>
            </w:pPr>
            <w:r>
              <w:rPr>
                <w:rFonts w:ascii="Arial" w:cs="Arial" w:eastAsia="Arial" w:hAnsi="Arial"/>
                <w:sz w:val="18"/>
                <w:szCs w:val="18"/>
                <w:color w:val="auto"/>
                <w:w w:val="93"/>
              </w:rPr>
              <w:t>(73)</w:t>
            </w:r>
          </w:p>
        </w:tc>
      </w:tr>
      <w:tr>
        <w:trPr>
          <w:trHeight w:val="264"/>
        </w:trPr>
        <w:tc>
          <w:tcPr>
            <w:tcW w:w="8600" w:type="dxa"/>
            <w:vAlign w:val="bottom"/>
          </w:tcPr>
          <w:p>
            <w:pPr>
              <w:ind w:left="20"/>
              <w:spacing w:after="0"/>
              <w:rPr>
                <w:sz w:val="20"/>
                <w:szCs w:val="20"/>
                <w:color w:val="auto"/>
              </w:rPr>
            </w:pPr>
            <w:r>
              <w:rPr>
                <w:rFonts w:ascii="Arial" w:cs="Arial" w:eastAsia="Arial" w:hAnsi="Arial"/>
                <w:sz w:val="18"/>
                <w:szCs w:val="18"/>
                <w:color w:val="auto"/>
              </w:rPr>
              <w:t>Net broker receivable/(payable)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516"/>
              <w:spacing w:after="0"/>
              <w:rPr>
                <w:sz w:val="20"/>
                <w:szCs w:val="20"/>
                <w:color w:val="auto"/>
              </w:rPr>
            </w:pPr>
            <w:r>
              <w:rPr>
                <w:rFonts w:ascii="Arial" w:cs="Arial" w:eastAsia="Arial" w:hAnsi="Arial"/>
                <w:sz w:val="18"/>
                <w:szCs w:val="18"/>
                <w:color w:val="auto"/>
                <w:w w:val="93"/>
              </w:rPr>
              <w:t>(45)</w:t>
            </w:r>
          </w:p>
        </w:tc>
      </w:tr>
      <w:tr>
        <w:trPr>
          <w:trHeight w:val="20"/>
        </w:trPr>
        <w:tc>
          <w:tcPr>
            <w:tcW w:w="8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ectPr>
          <w:pgSz w:w="11900" w:h="16838" w:orient="portrait"/>
          <w:cols w:equalWidth="0" w:num="1">
            <w:col w:w="11240"/>
          </w:cols>
          <w:pgMar w:left="320" w:top="125" w:right="339" w:bottom="1440" w:gutter="0" w:footer="0" w:header="0"/>
        </w:sect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25"/>
        </w:trPr>
        <w:tc>
          <w:tcPr>
            <w:tcW w:w="25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7"/>
              </w:rPr>
              <w:t>Collateral</w:t>
            </w:r>
          </w:p>
        </w:tc>
        <w:tc>
          <w:tcPr>
            <w:tcW w:w="120" w:type="dxa"/>
            <w:vAlign w:val="bottom"/>
          </w:tcPr>
          <w:p>
            <w:pPr>
              <w:spacing w:after="0"/>
              <w:rPr>
                <w:sz w:val="10"/>
                <w:szCs w:val="10"/>
                <w:color w:val="auto"/>
              </w:rPr>
            </w:pPr>
          </w:p>
        </w:tc>
        <w:tc>
          <w:tcPr>
            <w:tcW w:w="860" w:type="dxa"/>
            <w:vAlign w:val="bottom"/>
          </w:tcPr>
          <w:p>
            <w:pPr>
              <w:jc w:val="center"/>
              <w:ind w:right="57"/>
              <w:spacing w:after="0" w:line="125" w:lineRule="exact"/>
              <w:rPr>
                <w:sz w:val="20"/>
                <w:szCs w:val="20"/>
                <w:color w:val="auto"/>
              </w:rPr>
            </w:pPr>
            <w:r>
              <w:rPr>
                <w:rFonts w:ascii="Arial" w:cs="Arial" w:eastAsia="Arial" w:hAnsi="Arial"/>
                <w:sz w:val="14"/>
                <w:szCs w:val="14"/>
                <w:b w:val="1"/>
                <w:bCs w:val="1"/>
                <w:color w:val="auto"/>
                <w:w w:val="91"/>
              </w:rPr>
              <w:t>the Balance</w:t>
            </w:r>
          </w:p>
        </w:tc>
        <w:tc>
          <w:tcPr>
            <w:tcW w:w="0" w:type="dxa"/>
            <w:vAlign w:val="bottom"/>
          </w:tcPr>
          <w:p>
            <w:pPr>
              <w:spacing w:after="0"/>
              <w:rPr>
                <w:sz w:val="1"/>
                <w:szCs w:val="1"/>
                <w:color w:val="auto"/>
              </w:rPr>
            </w:pPr>
          </w:p>
        </w:tc>
      </w:tr>
      <w:tr>
        <w:trPr>
          <w:trHeight w:val="195"/>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6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Sheet</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7"/>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7"/>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3"/>
                <w:szCs w:val="23"/>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tcPr>
          <w:p>
            <w:pPr>
              <w:jc w:val="right"/>
              <w:ind w:right="77"/>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3"/>
                <w:szCs w:val="23"/>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7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6"/>
        </w:trPr>
        <w:tc>
          <w:tcPr>
            <w:tcW w:w="2560" w:type="dxa"/>
            <w:vAlign w:val="bottom"/>
          </w:tcPr>
          <w:p>
            <w:pPr>
              <w:spacing w:after="0"/>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20"/>
                <w:szCs w:val="20"/>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6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-1379220</wp:posOffset>
            </wp:positionV>
            <wp:extent cx="7132320" cy="13627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627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7000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1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25"/>
        </w:trPr>
        <w:tc>
          <w:tcPr>
            <w:tcW w:w="2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7"/>
              </w:rPr>
              <w:t>Collateral</w:t>
            </w:r>
          </w:p>
        </w:tc>
        <w:tc>
          <w:tcPr>
            <w:tcW w:w="120" w:type="dxa"/>
            <w:vAlign w:val="bottom"/>
          </w:tcPr>
          <w:p>
            <w:pPr>
              <w:spacing w:after="0"/>
              <w:rPr>
                <w:sz w:val="10"/>
                <w:szCs w:val="10"/>
                <w:color w:val="auto"/>
              </w:rPr>
            </w:pPr>
          </w:p>
        </w:tc>
        <w:tc>
          <w:tcPr>
            <w:tcW w:w="880" w:type="dxa"/>
            <w:vAlign w:val="bottom"/>
          </w:tcPr>
          <w:p>
            <w:pPr>
              <w:jc w:val="center"/>
              <w:ind w:right="37"/>
              <w:spacing w:after="0" w:line="125" w:lineRule="exact"/>
              <w:rPr>
                <w:sz w:val="20"/>
                <w:szCs w:val="20"/>
                <w:color w:val="auto"/>
              </w:rPr>
            </w:pPr>
            <w:r>
              <w:rPr>
                <w:rFonts w:ascii="Arial" w:cs="Arial" w:eastAsia="Arial" w:hAnsi="Arial"/>
                <w:sz w:val="14"/>
                <w:szCs w:val="14"/>
                <w:b w:val="1"/>
                <w:bCs w:val="1"/>
                <w:color w:val="auto"/>
                <w:w w:val="91"/>
              </w:rPr>
              <w:t>the Balance</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499"/>
        </w:trPr>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center"/>
              <w:ind w:left="257"/>
              <w:spacing w:after="0"/>
              <w:rPr>
                <w:sz w:val="20"/>
                <w:szCs w:val="20"/>
                <w:color w:val="auto"/>
              </w:rPr>
            </w:pPr>
            <w:r>
              <w:rPr>
                <w:rFonts w:ascii="Arial" w:cs="Arial" w:eastAsia="Arial" w:hAnsi="Arial"/>
                <w:sz w:val="18"/>
                <w:szCs w:val="18"/>
                <w:color w:val="auto"/>
                <w:w w:val="93"/>
              </w:rPr>
              <w:t>(45)</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center"/>
              <w:ind w:left="297"/>
              <w:spacing w:after="0"/>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gridSpan w:val="2"/>
          </w:tcPr>
          <w:p>
            <w:pPr>
              <w:jc w:val="center"/>
              <w:ind w:left="197"/>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3"/>
                <w:szCs w:val="23"/>
                <w:color w:val="auto"/>
              </w:rPr>
            </w:pPr>
          </w:p>
        </w:tc>
        <w:tc>
          <w:tcPr>
            <w:tcW w:w="880" w:type="dxa"/>
            <w:vAlign w:val="bottom"/>
          </w:tcPr>
          <w:p>
            <w:pPr>
              <w:jc w:val="center"/>
              <w:ind w:left="297"/>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540"/>
        </w:trPr>
        <w:tc>
          <w:tcPr>
            <w:tcW w:w="220" w:type="dxa"/>
            <w:vAlign w:val="bottom"/>
          </w:tcPr>
          <w:p>
            <w:pPr>
              <w:spacing w:after="0"/>
              <w:rPr>
                <w:sz w:val="24"/>
                <w:szCs w:val="24"/>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left="197"/>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ind w:left="297"/>
              <w:spacing w:after="0"/>
              <w:rPr>
                <w:sz w:val="20"/>
                <w:szCs w:val="20"/>
                <w:color w:val="auto"/>
              </w:rPr>
            </w:pPr>
            <w:r>
              <w:rPr>
                <w:rFonts w:ascii="Arial" w:cs="Arial" w:eastAsia="Arial" w:hAnsi="Arial"/>
                <w:sz w:val="18"/>
                <w:szCs w:val="18"/>
                <w:color w:val="auto"/>
                <w:w w:val="93"/>
              </w:rPr>
              <w:t>(24)</w:t>
            </w:r>
          </w:p>
        </w:tc>
        <w:tc>
          <w:tcPr>
            <w:tcW w:w="0" w:type="dxa"/>
            <w:vAlign w:val="bottom"/>
          </w:tcPr>
          <w:p>
            <w:pPr>
              <w:spacing w:after="0"/>
              <w:rPr>
                <w:sz w:val="1"/>
                <w:szCs w:val="1"/>
                <w:color w:val="auto"/>
              </w:rPr>
            </w:pPr>
          </w:p>
        </w:tc>
      </w:tr>
      <w:tr>
        <w:trPr>
          <w:trHeight w:val="486"/>
        </w:trPr>
        <w:tc>
          <w:tcPr>
            <w:tcW w:w="2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left="197"/>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ind w:left="297"/>
              <w:spacing w:after="0"/>
              <w:rPr>
                <w:sz w:val="20"/>
                <w:szCs w:val="20"/>
                <w:color w:val="auto"/>
              </w:rPr>
            </w:pPr>
            <w:r>
              <w:rPr>
                <w:rFonts w:ascii="Arial" w:cs="Arial" w:eastAsia="Arial" w:hAnsi="Arial"/>
                <w:sz w:val="18"/>
                <w:szCs w:val="18"/>
                <w:color w:val="auto"/>
                <w:w w:val="93"/>
              </w:rPr>
              <w:t>(12)</w:t>
            </w:r>
          </w:p>
        </w:tc>
        <w:tc>
          <w:tcPr>
            <w:tcW w:w="0" w:type="dxa"/>
            <w:vAlign w:val="bottom"/>
          </w:tcPr>
          <w:p>
            <w:pPr>
              <w:spacing w:after="0"/>
              <w:rPr>
                <w:sz w:val="1"/>
                <w:szCs w:val="1"/>
                <w:color w:val="auto"/>
              </w:rPr>
            </w:pPr>
          </w:p>
        </w:tc>
      </w:tr>
      <w:tr>
        <w:trPr>
          <w:trHeight w:val="27"/>
        </w:trPr>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ind w:left="257"/>
              <w:spacing w:after="0"/>
              <w:rPr>
                <w:sz w:val="20"/>
                <w:szCs w:val="20"/>
                <w:color w:val="auto"/>
              </w:rPr>
            </w:pPr>
            <w:r>
              <w:rPr>
                <w:rFonts w:ascii="Arial" w:cs="Arial" w:eastAsia="Arial" w:hAnsi="Arial"/>
                <w:sz w:val="18"/>
                <w:szCs w:val="18"/>
                <w:color w:val="auto"/>
                <w:w w:val="93"/>
              </w:rPr>
              <w:t>(45)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center"/>
              <w:ind w:left="297"/>
              <w:spacing w:after="0"/>
              <w:rPr>
                <w:sz w:val="20"/>
                <w:szCs w:val="20"/>
                <w:color w:val="auto"/>
              </w:rPr>
            </w:pPr>
            <w:r>
              <w:rPr>
                <w:rFonts w:ascii="Arial" w:cs="Arial" w:eastAsia="Arial" w:hAnsi="Arial"/>
                <w:sz w:val="18"/>
                <w:szCs w:val="18"/>
                <w:color w:val="auto"/>
                <w:w w:val="89"/>
              </w:rPr>
              <w:t>85</w:t>
            </w:r>
          </w:p>
        </w:tc>
        <w:tc>
          <w:tcPr>
            <w:tcW w:w="0" w:type="dxa"/>
            <w:vAlign w:val="bottom"/>
          </w:tcPr>
          <w:p>
            <w:pPr>
              <w:spacing w:after="0"/>
              <w:rPr>
                <w:sz w:val="1"/>
                <w:szCs w:val="1"/>
                <w:color w:val="auto"/>
              </w:rPr>
            </w:pPr>
          </w:p>
        </w:tc>
      </w:tr>
      <w:tr>
        <w:trPr>
          <w:trHeight w:val="27"/>
        </w:trPr>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800" w:space="180"/>
            <w:col w:w="426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rate derivatives as of June 30, 2020 (notional amounts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Hedged Transaction</w:t>
            </w:r>
          </w:p>
        </w:tc>
        <w:tc>
          <w:tcPr>
            <w:tcW w:w="120" w:type="dxa"/>
            <w:vAlign w:val="bottom"/>
            <w:vMerge w:val="restart"/>
          </w:tcPr>
          <w:p>
            <w:pPr>
              <w:spacing w:after="0"/>
              <w:rPr>
                <w:sz w:val="14"/>
                <w:szCs w:val="14"/>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and Types of</w:t>
            </w: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Expected</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Average Rate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Derivatives Employed</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Locked</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88"/>
        </w:trPr>
        <w:tc>
          <w:tcPr>
            <w:tcW w:w="29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Anticipated interest payments</w:t>
            </w:r>
          </w:p>
        </w:tc>
        <w:tc>
          <w:tcPr>
            <w:tcW w:w="24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8 forward starting swaps</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79"/>
              <w:spacing w:after="0" w:line="189" w:lineRule="exact"/>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6/15/2023</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(30-year)</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9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Anticipated interest payments</w:t>
            </w:r>
          </w:p>
        </w:tc>
        <w:tc>
          <w:tcPr>
            <w:tcW w:w="25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1"/>
              </w:rPr>
              <w:t>8 forward starting swaps</w:t>
            </w:r>
          </w:p>
        </w:tc>
        <w:tc>
          <w:tcPr>
            <w:tcW w:w="160" w:type="dxa"/>
            <w:vAlign w:val="bottom"/>
          </w:tcPr>
          <w:p>
            <w:pPr>
              <w:jc w:val="right"/>
              <w:spacing w:after="0" w:line="189"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79"/>
              <w:spacing w:after="0" w:line="189" w:lineRule="exact"/>
              <w:rPr>
                <w:sz w:val="20"/>
                <w:szCs w:val="20"/>
                <w:color w:val="auto"/>
              </w:rPr>
            </w:pPr>
            <w:r>
              <w:rPr>
                <w:rFonts w:ascii="Arial" w:cs="Arial" w:eastAsia="Arial" w:hAnsi="Arial"/>
                <w:sz w:val="18"/>
                <w:szCs w:val="18"/>
                <w:color w:val="auto"/>
              </w:rPr>
              <w:t>200</w:t>
            </w:r>
          </w:p>
        </w:tc>
        <w:tc>
          <w:tcPr>
            <w:tcW w:w="100" w:type="dxa"/>
            <w:vAlign w:val="bottom"/>
          </w:tcPr>
          <w:p>
            <w:pPr>
              <w:spacing w:after="0"/>
              <w:rPr>
                <w:sz w:val="16"/>
                <w:szCs w:val="16"/>
                <w:color w:val="auto"/>
              </w:rPr>
            </w:pPr>
          </w:p>
        </w:tc>
        <w:tc>
          <w:tcPr>
            <w:tcW w:w="1500" w:type="dxa"/>
            <w:vAlign w:val="bottom"/>
          </w:tcPr>
          <w:p>
            <w:pPr>
              <w:jc w:val="center"/>
              <w:spacing w:after="0" w:line="189" w:lineRule="exact"/>
              <w:rPr>
                <w:sz w:val="20"/>
                <w:szCs w:val="20"/>
                <w:color w:val="auto"/>
              </w:rPr>
            </w:pPr>
            <w:r>
              <w:rPr>
                <w:rFonts w:ascii="Arial" w:cs="Arial" w:eastAsia="Arial" w:hAnsi="Arial"/>
                <w:sz w:val="18"/>
                <w:szCs w:val="18"/>
                <w:color w:val="auto"/>
                <w:w w:val="92"/>
              </w:rPr>
              <w:t>6/14/2024</w:t>
            </w:r>
          </w:p>
        </w:tc>
        <w:tc>
          <w:tcPr>
            <w:tcW w:w="1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0.73</w:t>
            </w:r>
          </w:p>
        </w:tc>
        <w:tc>
          <w:tcPr>
            <w:tcW w:w="160" w:type="dxa"/>
            <w:vAlign w:val="bottom"/>
          </w:tcPr>
          <w:p>
            <w:pPr>
              <w:jc w:val="right"/>
              <w:spacing w:after="0" w:line="189" w:lineRule="exact"/>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6"/>
                <w:szCs w:val="16"/>
                <w:color w:val="auto"/>
              </w:rPr>
            </w:pP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(30-year)</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of June 30, 2020, there was a net loss of $315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We reclassified losses of $3 million during each of the three months ended June 30, 2020 and 2019 and losses of $5 million during each of the six months ended June 30, 2020 and 2019, respectively. Of the total net loss deferred in AOCI at June 30, 2020, we expect to reclassify a loss of $13 million to earnings in the next twelve months. We estimate that substantially all of the remaining deferred loss will be reclassified to earnings through 2054 as the underlying hedged transactions impact earnings. A portion of these amounts is based on market prices as of June 30, 2020; thus, actual amounts to be reclassified will differ and could vary materially as a result of changes in market conditions.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0" w:type="dxa"/>
            <w:vAlign w:val="bottom"/>
            <w:gridSpan w:val="4"/>
          </w:tcPr>
          <w:p>
            <w:pPr>
              <w:jc w:val="center"/>
              <w:ind w:left="362"/>
              <w:spacing w:after="0"/>
              <w:rPr>
                <w:sz w:val="20"/>
                <w:szCs w:val="20"/>
                <w:color w:val="auto"/>
              </w:rPr>
            </w:pPr>
            <w:r>
              <w:rPr>
                <w:rFonts w:ascii="Arial" w:cs="Arial" w:eastAsia="Arial" w:hAnsi="Arial"/>
                <w:sz w:val="14"/>
                <w:szCs w:val="14"/>
                <w:b w:val="1"/>
                <w:bCs w:val="1"/>
                <w:color w:val="auto"/>
                <w:w w:val="95"/>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center"/>
              <w:ind w:right="239"/>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8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339"/>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r>
      <w:tr>
        <w:trPr>
          <w:trHeight w:val="24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derivatives, net</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(58)</w:t>
            </w:r>
          </w:p>
        </w:tc>
      </w:tr>
      <w:tr>
        <w:trPr>
          <w:trHeight w:val="27"/>
        </w:trPr>
        <w:tc>
          <w:tcPr>
            <w:tcW w:w="58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At June 30, 2020, the net fair value of our interest rate hedges, which were included in “Other long-term liabilities and deferred credits” on our Condensed Consolidated Balance Sheet, totaled $5 million. At December 31, 2019, the fair value of these hedges was $44 million and included in “Other current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46"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Our use of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June 30, 2020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20" w:type="dxa"/>
            <w:vAlign w:val="bottom"/>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CAD</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6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6"/>
              </w:rPr>
              <w:t>USD to CAD</w:t>
            </w:r>
          </w:p>
        </w:tc>
        <w:tc>
          <w:tcPr>
            <w:tcW w:w="0" w:type="dxa"/>
            <w:vAlign w:val="bottom"/>
          </w:tcPr>
          <w:p>
            <w:pPr>
              <w:spacing w:after="0"/>
              <w:rPr>
                <w:sz w:val="1"/>
                <w:szCs w:val="1"/>
                <w:color w:val="auto"/>
              </w:rPr>
            </w:pPr>
          </w:p>
        </w:tc>
      </w:tr>
      <w:tr>
        <w:trPr>
          <w:trHeight w:val="236"/>
        </w:trPr>
        <w:tc>
          <w:tcPr>
            <w:tcW w:w="6800" w:type="dxa"/>
            <w:vAlign w:val="bottom"/>
            <w:tcBorders>
              <w:top w:val="single" w:sz="8" w:color="CCEEFF"/>
              <w:bottom w:val="single" w:sz="8" w:color="CCEEFF"/>
            </w:tcBorders>
            <w:shd w:val="clear" w:color="auto" w:fill="CCEEFF"/>
          </w:tcPr>
          <w:p>
            <w:pPr>
              <w:jc w:val="right"/>
              <w:ind w:right="221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8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6"/>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3"/>
                <w:szCs w:val="23"/>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$1.00 - $1.36</w:t>
            </w:r>
          </w:p>
        </w:tc>
        <w:tc>
          <w:tcPr>
            <w:tcW w:w="0" w:type="dxa"/>
            <w:vAlign w:val="bottom"/>
          </w:tcPr>
          <w:p>
            <w:pPr>
              <w:spacing w:after="0"/>
              <w:rPr>
                <w:sz w:val="1"/>
                <w:szCs w:val="1"/>
                <w:color w:val="auto"/>
              </w:rPr>
            </w:pPr>
          </w:p>
        </w:tc>
      </w:tr>
      <w:tr>
        <w:trPr>
          <w:trHeight w:val="256"/>
        </w:trPr>
        <w:tc>
          <w:tcPr>
            <w:tcW w:w="6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00" w:type="dxa"/>
            <w:vAlign w:val="bottom"/>
          </w:tcPr>
          <w:p>
            <w:pPr>
              <w:jc w:val="right"/>
              <w:ind w:right="221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23"/>
                <w:szCs w:val="23"/>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$1.35</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These derivatives are not designated as a hedging relationship. As such, changes in fair value are recognized in earnings as a component of Supply and Logistics segment revenues. For the three months ended June 30, 2020 and 2019, the amounts recognized in earnings for our currency exchange rate hedges were gains of $2 million in each respective period. For the six months ended June 30, 2020 and 2019, the amounts recognized in earnings for our currency exchange rate hedges were a loss of $4 million and a gain of $7 million, respectively.</w:t>
      </w:r>
    </w:p>
    <w:p>
      <w:pPr>
        <w:spacing w:after="0" w:line="198" w:lineRule="exact"/>
        <w:rPr>
          <w:sz w:val="20"/>
          <w:szCs w:val="20"/>
          <w:color w:val="auto"/>
        </w:rPr>
      </w:pPr>
    </w:p>
    <w:p>
      <w:pPr>
        <w:jc w:val="both"/>
        <w:ind w:right="220" w:firstLine="648"/>
        <w:spacing w:after="0" w:line="311" w:lineRule="auto"/>
        <w:rPr>
          <w:sz w:val="20"/>
          <w:szCs w:val="20"/>
          <w:color w:val="auto"/>
        </w:rPr>
      </w:pPr>
      <w:r>
        <w:rPr>
          <w:rFonts w:ascii="Arial" w:cs="Arial" w:eastAsia="Arial" w:hAnsi="Arial"/>
          <w:sz w:val="16"/>
          <w:szCs w:val="16"/>
          <w:color w:val="auto"/>
        </w:rPr>
        <w:t>At June 30, 2020, the net fair value of these currency exchange rate hedges, which was included in “Other current liabilities” on our Condensed Consolidated Balance Sheet, totaled $2 million. At December 31, 2019, the net fair value of these currency exchange rate hedges, which was included in “Other current assets” and “Other current liabilities” on our Condensed Consolidated Balance Sheet, totaled $2 million and $1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Condensed Consolidated Balance Sheets. This embedded derivative is not designated as a hedging relationship and corresponding changes in fair value are recognized in “Other income/(expense), net” in our Condensed Consolidated Statement of Operations. For the three months ended June 30, 2020 and 2019, we recognized losses of $9 million and $7 million, respectively. For the six months ended June 30, 2020 and 2019, we recognized net gains of $17 million and $16 million, respectively. The fair value of the Preferred Distribution Rate Reset Option, which was included in “Other long-term liabilities and deferred credits” on our Condensed Consolidated Balance Sheets, totaled $17 million and $34 million at June 30, 2020 and December 31, 2019, respectively. See Note 13 to our Consolidated Financial Statements included in Part IV of our 2019 Annual Report on Form 10-K for additional information regarding the Series A preferred units and Preferred Distribution Rate Reset Option.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1"/>
          <w:szCs w:val="11"/>
          <w:b w:val="1"/>
          <w:bCs w:val="1"/>
          <w:color w:val="auto"/>
        </w:rPr>
        <w:t>(1)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Commodity derivatives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rate derivatives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currency derivatives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Preferred Distribution Rate Reset Option</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net derivative asset/(liability)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24599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Fair Value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0574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6"/>
                <w:szCs w:val="16"/>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Total</w:t>
            </w:r>
          </w:p>
        </w:tc>
      </w:tr>
      <w:tr>
        <w:trPr>
          <w:trHeight w:val="242"/>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(25)</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83</w:t>
            </w:r>
          </w:p>
        </w:tc>
      </w:tr>
      <w:tr>
        <w:trPr>
          <w:trHeight w:val="270"/>
        </w:trPr>
        <w:tc>
          <w:tcPr>
            <w:tcW w:w="14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70"/>
        </w:trPr>
        <w:tc>
          <w:tcPr>
            <w:tcW w:w="14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0"/>
        </w:trPr>
        <w:tc>
          <w:tcPr>
            <w:tcW w:w="14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(17)</w:t>
            </w:r>
          </w:p>
        </w:tc>
      </w:tr>
      <w:tr>
        <w:trPr>
          <w:trHeight w:val="27"/>
        </w:trPr>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6"/>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7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26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(42)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58</w:t>
            </w:r>
          </w:p>
        </w:tc>
      </w:tr>
      <w:tr>
        <w:trPr>
          <w:trHeight w:val="27"/>
        </w:trPr>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-908050</wp:posOffset>
            </wp:positionV>
            <wp:extent cx="7054850" cy="8915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54850" cy="8915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Fair Value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20916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6"/>
                <w:szCs w:val="16"/>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Total</w:t>
            </w:r>
          </w:p>
        </w:tc>
      </w:tr>
      <w:tr>
        <w:trPr>
          <w:trHeight w:val="242"/>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center"/>
              <w:ind w:left="13"/>
              <w:spacing w:after="0"/>
              <w:rPr>
                <w:sz w:val="20"/>
                <w:szCs w:val="20"/>
                <w:color w:val="auto"/>
              </w:rPr>
            </w:pPr>
            <w:r>
              <w:rPr>
                <w:rFonts w:ascii="Arial" w:cs="Arial" w:eastAsia="Arial" w:hAnsi="Arial"/>
                <w:sz w:val="18"/>
                <w:szCs w:val="18"/>
                <w:color w:val="auto"/>
                <w:w w:val="93"/>
              </w:rPr>
              <w:t>(17)</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130</w:t>
            </w:r>
          </w:p>
        </w:tc>
      </w:tr>
      <w:tr>
        <w:trPr>
          <w:trHeight w:val="270"/>
        </w:trPr>
        <w:tc>
          <w:tcPr>
            <w:tcW w:w="14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(44)</w:t>
            </w:r>
          </w:p>
        </w:tc>
      </w:tr>
      <w:tr>
        <w:trPr>
          <w:trHeight w:val="270"/>
        </w:trPr>
        <w:tc>
          <w:tcPr>
            <w:tcW w:w="14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580" w:type="dxa"/>
            <w:vAlign w:val="bottom"/>
          </w:tcPr>
          <w:p>
            <w:pPr>
              <w:jc w:val="right"/>
              <w:ind w:right="73"/>
              <w:spacing w:after="0"/>
              <w:rPr>
                <w:sz w:val="20"/>
                <w:szCs w:val="20"/>
                <w:color w:val="auto"/>
              </w:rPr>
            </w:pPr>
            <w:r>
              <w:rPr>
                <w:rFonts w:ascii="Arial" w:cs="Arial" w:eastAsia="Arial" w:hAnsi="Arial"/>
                <w:sz w:val="18"/>
                <w:szCs w:val="18"/>
                <w:color w:val="auto"/>
              </w:rPr>
              <w:t>1</w:t>
            </w:r>
          </w:p>
        </w:tc>
      </w:tr>
      <w:tr>
        <w:trPr>
          <w:trHeight w:val="270"/>
        </w:trPr>
        <w:tc>
          <w:tcPr>
            <w:tcW w:w="14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00" w:type="dxa"/>
            <w:vAlign w:val="bottom"/>
          </w:tcPr>
          <w:p>
            <w:pPr>
              <w:jc w:val="center"/>
              <w:ind w:left="13"/>
              <w:spacing w:after="0"/>
              <w:rPr>
                <w:sz w:val="20"/>
                <w:szCs w:val="20"/>
                <w:color w:val="auto"/>
              </w:rPr>
            </w:pPr>
            <w:r>
              <w:rPr>
                <w:rFonts w:ascii="Arial" w:cs="Arial" w:eastAsia="Arial" w:hAnsi="Arial"/>
                <w:sz w:val="18"/>
                <w:szCs w:val="18"/>
                <w:color w:val="auto"/>
                <w:w w:val="93"/>
              </w:rPr>
              <w:t>(34)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(34)</w:t>
            </w:r>
          </w:p>
        </w:tc>
      </w:tr>
      <w:tr>
        <w:trPr>
          <w:trHeight w:val="27"/>
        </w:trPr>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6"/>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ind w:left="13"/>
              <w:spacing w:after="0"/>
              <w:rPr>
                <w:sz w:val="20"/>
                <w:szCs w:val="20"/>
                <w:color w:val="auto"/>
              </w:rPr>
            </w:pPr>
            <w:r>
              <w:rPr>
                <w:rFonts w:ascii="Arial" w:cs="Arial" w:eastAsia="Arial" w:hAnsi="Arial"/>
                <w:sz w:val="18"/>
                <w:szCs w:val="18"/>
                <w:color w:val="auto"/>
                <w:w w:val="93"/>
              </w:rPr>
              <w:t>(51)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73"/>
              <w:spacing w:after="0"/>
              <w:rPr>
                <w:sz w:val="20"/>
                <w:szCs w:val="20"/>
                <w:color w:val="auto"/>
              </w:rPr>
            </w:pPr>
            <w:r>
              <w:rPr>
                <w:rFonts w:ascii="Arial" w:cs="Arial" w:eastAsia="Arial" w:hAnsi="Arial"/>
                <w:sz w:val="18"/>
                <w:szCs w:val="18"/>
                <w:color w:val="auto"/>
              </w:rPr>
              <w:t>53</w:t>
            </w:r>
          </w:p>
        </w:tc>
      </w:tr>
      <w:tr>
        <w:trPr>
          <w:trHeight w:val="27"/>
        </w:trPr>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3640" w:space="720"/>
            <w:col w:w="3240" w:space="220"/>
            <w:col w:w="3400"/>
          </w:cols>
          <w:pgMar w:left="320" w:top="125" w:right="359" w:bottom="1440" w:gutter="0" w:footer="0" w:header="0"/>
          <w:type w:val="continuous"/>
        </w:sectPr>
      </w:pPr>
    </w:p>
    <w:p>
      <w:pPr>
        <w:spacing w:after="0" w:line="328"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Derivative assets and liabilities are presented above on a net basis but do not include related cash margin deposits.</w:t>
      </w:r>
    </w:p>
    <w:p>
      <w:pPr>
        <w:sectPr>
          <w:pgSz w:w="11900" w:h="16838" w:orient="portrait"/>
          <w:cols w:equalWidth="0" w:num="1">
            <w:col w:w="1122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right="20"/>
        <w:spacing w:after="0" w:line="263" w:lineRule="auto"/>
        <w:rPr>
          <w:sz w:val="20"/>
          <w:szCs w:val="20"/>
          <w:color w:val="auto"/>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100"/>
        <w:spacing w:after="0" w:line="311" w:lineRule="auto"/>
        <w:rPr>
          <w:sz w:val="20"/>
          <w:szCs w:val="20"/>
          <w:color w:val="auto"/>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880"/>
        <w:spacing w:after="0" w:line="342" w:lineRule="auto"/>
        <w:rPr>
          <w:sz w:val="20"/>
          <w:szCs w:val="20"/>
          <w:color w:val="auto"/>
        </w:rPr>
      </w:pPr>
      <w:r>
        <w:rPr>
          <w:rFonts w:ascii="Arial" w:cs="Arial" w:eastAsia="Arial" w:hAnsi="Arial"/>
          <w:sz w:val="16"/>
          <w:szCs w:val="16"/>
          <w:color w:val="auto"/>
        </w:rPr>
        <w:t>Level 3 of the fair value hierarchy includes certain physical commodity and other contracts, over-the-counter options and the Preferred Distribution Rate Reset Option contained in PAA’s partnership agreement which is classified as an embedded derivative.</w:t>
      </w:r>
    </w:p>
    <w:p>
      <w:pPr>
        <w:spacing w:after="0" w:line="124" w:lineRule="exact"/>
        <w:rPr>
          <w:sz w:val="20"/>
          <w:szCs w:val="20"/>
          <w:color w:val="auto"/>
        </w:rPr>
      </w:pPr>
    </w:p>
    <w:p>
      <w:pPr>
        <w:ind w:left="660" w:right="140"/>
        <w:spacing w:after="0" w:line="257" w:lineRule="auto"/>
        <w:rPr>
          <w:sz w:val="20"/>
          <w:szCs w:val="20"/>
          <w:color w:val="auto"/>
        </w:rPr>
      </w:pPr>
      <w:r>
        <w:rPr>
          <w:rFonts w:ascii="Arial" w:cs="Arial" w:eastAsia="Arial" w:hAnsi="Arial"/>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Condensed Consolidated Statements of Operations as Supply and Logistics segment revenues.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2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(61)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Net gains/(losses) for the period included in earnings</w:t>
            </w:r>
          </w:p>
        </w:tc>
        <w:tc>
          <w:tcPr>
            <w:tcW w:w="820" w:type="dxa"/>
            <w:vAlign w:val="bottom"/>
          </w:tcPr>
          <w:p>
            <w:pPr>
              <w:spacing w:after="0"/>
              <w:rPr>
                <w:sz w:val="21"/>
                <w:szCs w:val="21"/>
                <w:color w:val="auto"/>
              </w:rPr>
            </w:pPr>
          </w:p>
        </w:tc>
        <w:tc>
          <w:tcPr>
            <w:tcW w:w="440" w:type="dxa"/>
            <w:vAlign w:val="bottom"/>
          </w:tcPr>
          <w:p>
            <w:pPr>
              <w:jc w:val="right"/>
              <w:ind w:right="5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Settlements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Derivatives entered into during the period</w:t>
            </w:r>
          </w:p>
        </w:tc>
        <w:tc>
          <w:tcPr>
            <w:tcW w:w="820" w:type="dxa"/>
            <w:vAlign w:val="bottom"/>
          </w:tcPr>
          <w:p>
            <w:pPr>
              <w:spacing w:after="0"/>
              <w:rPr>
                <w:sz w:val="21"/>
                <w:szCs w:val="21"/>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82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(42)</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Change in unrealized gains/(losses) included in earnings relating to Level 3</w:t>
            </w:r>
          </w:p>
        </w:tc>
        <w:tc>
          <w:tcPr>
            <w:tcW w:w="820" w:type="dxa"/>
            <w:vAlign w:val="bottom"/>
            <w:vMerge w:val="restart"/>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44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(13)</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 still held at the end of the period</w:t>
            </w:r>
          </w:p>
        </w:tc>
        <w:tc>
          <w:tcPr>
            <w:tcW w:w="82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11—Related Party Transactions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See Note 17 to our Consolidated Financial Statements included in Part IV of our 2019 Annual Report on Form 10-K for a complete discussion of our related party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 Ownership of our Class C Shares</w:t>
      </w:r>
    </w:p>
    <w:p>
      <w:pPr>
        <w:spacing w:after="0" w:line="25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of June 30, 2020 and December 31, 2019, PAA owned 550,837,140 and 549,538,139, respectively, Class C shares. The Class C shares represent a non-economic limited partner interest in us that provides PAA, as the sole holder, a “pass-through” voting right through which PAA’s common unitholders and Series A preferred unitholders have the effective right to vote, pro rata with the holders of our Class A and Class B shares, for the election of eligible directors.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Other Related Parties</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Our other related parties include (i) principal owners and their affiliated entities and (ii) entities in which we hold investments and account for under the equity method of accounting (see Note 7 for information regarding such entities). We recognize as our principal owners entities that have a designated representative on the board of directors of our general partner and/or own greater than 10% of the limited partner interests in AAP. Such limited partner interests in AAP translates into a significantly smaller indirect ownership interest in PAA. We also consider subsidiaries or funds identified as affiliated with principal owners to be related parties. As of June 30, 2020, Kayne Anderson Capital Advisors, L.P. was a principal owner.</w:t>
      </w:r>
    </w:p>
    <w:p>
      <w:pPr>
        <w:spacing w:after="0" w:line="20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three and six months ended June 30, 2020 and 2019, we recognized sales and transportation revenues, purchased petroleum products and utilized transportation services from our principal owners and their affiliated entities and our equity method investees.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these transactions is included below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40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r>
      <w:tr>
        <w:trPr>
          <w:trHeight w:val="192"/>
        </w:trPr>
        <w:tc>
          <w:tcPr>
            <w:tcW w:w="53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6"/>
        </w:trPr>
        <w:tc>
          <w:tcPr>
            <w:tcW w:w="53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w w:val="89"/>
              </w:rPr>
              <w:t>2019</w:t>
            </w:r>
          </w:p>
        </w:tc>
      </w:tr>
      <w:tr>
        <w:trPr>
          <w:trHeight w:val="27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Revenues from related parties </w:t>
            </w:r>
            <w:r>
              <w:rPr>
                <w:rFonts w:ascii="Arial" w:cs="Arial" w:eastAsia="Arial" w:hAnsi="Arial"/>
                <w:sz w:val="23"/>
                <w:szCs w:val="23"/>
                <w:color w:val="auto"/>
                <w:vertAlign w:val="superscript"/>
              </w:rPr>
              <w:t>(1) (2) (3)</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456</w:t>
            </w:r>
          </w:p>
        </w:tc>
      </w:tr>
      <w:tr>
        <w:trPr>
          <w:trHeight w:val="257"/>
        </w:trPr>
        <w:tc>
          <w:tcPr>
            <w:tcW w:w="5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Purchases and related costs from related parties </w:t>
            </w:r>
            <w:r>
              <w:rPr>
                <w:rFonts w:ascii="Arial" w:cs="Arial" w:eastAsia="Arial" w:hAnsi="Arial"/>
                <w:sz w:val="23"/>
                <w:szCs w:val="23"/>
                <w:color w:val="auto"/>
                <w:vertAlign w:val="superscript"/>
              </w:rPr>
              <w:t>(2) (3)</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A majority of these revenues are included in “Supply and Logistics segment revenues” on our Condensed Consolidated Statements of Operations.</w:t>
      </w:r>
    </w:p>
    <w:p>
      <w:pPr>
        <w:spacing w:after="0" w:line="86" w:lineRule="exact"/>
        <w:rPr>
          <w:sz w:val="20"/>
          <w:szCs w:val="20"/>
          <w:color w:val="auto"/>
        </w:rPr>
      </w:pPr>
    </w:p>
    <w:p>
      <w:pPr>
        <w:ind w:left="20" w:right="80" w:hanging="11"/>
        <w:spacing w:after="0" w:line="277" w:lineRule="auto"/>
        <w:rPr>
          <w:sz w:val="20"/>
          <w:szCs w:val="20"/>
          <w:color w:val="auto"/>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Condensed Consolidated Statements of Operations.</w:t>
      </w:r>
    </w:p>
    <w:p>
      <w:pPr>
        <w:spacing w:after="0" w:line="8"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ind w:left="660" w:right="140" w:hanging="652"/>
        <w:spacing w:after="0" w:line="254" w:lineRule="auto"/>
        <w:tabs>
          <w:tab w:leader="none" w:pos="648"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Revenues and purchases and related costs from related parties for 2019 include transactions with The Energy &amp; Minerals Group (“EMG”) and its subsidiaries through May 2019 and Occidental Petroleum Corporation (“Oxy”) and its subsidiaries through September 2019. Following transactions reducing EMG and Oxy’s ownership interest in AAP in May and September 2019, respectively, EMG and Oxy are no longer recognized as principal owners. See Note 17 to our 2019 Annual Report on Form 10-K for additional information.</w:t>
      </w:r>
    </w:p>
    <w:p>
      <w:pPr>
        <w:spacing w:after="0" w:line="27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receivable and payable amounts with these related parties as reflected on our Condensed Consolidated Balance Sheets were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19"/>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7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3"/>
                <w:szCs w:val="23"/>
                <w:color w:val="auto"/>
                <w:vertAlign w:val="superscript"/>
              </w:rPr>
              <w:t>(1)</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6"/>
              </w:rPr>
              <w:t>131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134</w:t>
            </w:r>
          </w:p>
        </w:tc>
      </w:tr>
      <w:tr>
        <w:trPr>
          <w:trHeight w:val="257"/>
        </w:trPr>
        <w:tc>
          <w:tcPr>
            <w:tcW w:w="8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3"/>
                <w:szCs w:val="23"/>
                <w:color w:val="auto"/>
                <w:vertAlign w:val="superscript"/>
              </w:rPr>
              <w:t>(1) (2)</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180" w:hanging="652"/>
        <w:spacing w:after="0" w:line="227" w:lineRule="auto"/>
        <w:tabs>
          <w:tab w:leader="none" w:pos="64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Includes amounts related to crude oil purchases and sales, transportation services and amounts owed to us or advanced to us related to expansion projects of equity method investees where we serve as construction manager.</w:t>
      </w:r>
    </w:p>
    <w:p>
      <w:pPr>
        <w:spacing w:after="0" w:line="94" w:lineRule="exact"/>
        <w:rPr>
          <w:rFonts w:ascii="Arial" w:cs="Arial" w:eastAsia="Arial" w:hAnsi="Arial"/>
          <w:sz w:val="23"/>
          <w:szCs w:val="23"/>
          <w:color w:val="auto"/>
          <w:vertAlign w:val="superscript"/>
        </w:rPr>
      </w:pPr>
    </w:p>
    <w:p>
      <w:pPr>
        <w:ind w:left="660" w:right="100" w:hanging="652"/>
        <w:spacing w:after="0" w:line="234" w:lineRule="auto"/>
        <w:tabs>
          <w:tab w:leader="none" w:pos="64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We have agreements to store and transport crude oil at posted tariff rates on pipelines or at facilities that are owned by equity method investees, in which we own a 50% interest. A portion of our commitment to transport is supported by crude oil buy/sell or other agreements with third parties with commensurate quantities.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9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At June 30, 2020, our estimated undiscounted reserve for environmental liabilities (including liabilities related to the Line 901 incident, as discussed further below) totaled $192 million, of which $148 million was classified as short-term and $44 million was classified as long-term. At December 31, 2019, our estimated undiscounted reserve for environmental liabilities (including liabilities related to the Line 901 incident) totaled $140 million, of which $60 million was classified as short-term and $80 million was classified as long-term. Such short- and long-term environmental liabilities are reflected in “Other current liabilities” and “Other long-term liabilities and deferred credits,” respectively, on our Condensed Consolidated Balance Sheets. At June 30, 2020, we had recorded receivables totaling $126 million for amounts probable of recovery under insurance and from third parties under indemnification agreements and such amount was classified as short-term. At December 31, 2019, we had recorded $72 million of such receivables, of which $35 million was classified as short-term and $37 million was classified as long-term. Such short- and long-term receivables are reflected in “Trade accounts receivable and other receivables, net” and “Other long-term assets, net,” respectively, on our Condensed Consolidated Balance Sheets.</w:t>
      </w:r>
    </w:p>
    <w:p>
      <w:pPr>
        <w:spacing w:after="0" w:line="166"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19"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12, 2015; and June 16, 2016 to require us to take additional corrective actions with respect to both Lines 901 and 903 (as amended, the “CAO”). Among other requirements, the CAO obligated us to conduct a root cause failure analysis with respect to Line 901 and present remedial work plans and restart plans to PHMSA prior to returning Line 901 and 903 to service; the CAO also imposed a pressure restriction on the section of Line 903 between Pentland Pump Station and Emidio Pump Station, which was subsequently lifted, and required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No timeline has been established for the restart of Line 901 or Line</w:t>
      </w:r>
    </w:p>
    <w:p>
      <w:pPr>
        <w:spacing w:after="0" w:line="4" w:lineRule="exact"/>
        <w:rPr>
          <w:sz w:val="20"/>
          <w:szCs w:val="20"/>
          <w:color w:val="auto"/>
        </w:rPr>
      </w:pPr>
    </w:p>
    <w:p>
      <w:pPr>
        <w:jc w:val="both"/>
        <w:ind w:right="260" w:firstLine="8"/>
        <w:spacing w:after="0" w:line="323" w:lineRule="auto"/>
        <w:tabs>
          <w:tab w:leader="none" w:pos="3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remaining uncompleted portions of the CAO, which primarily relate to returning Lines 901 and 903 to service, have been incorporated into the Consent Decree (defined and discussed below). Upon entry of the Consent Decree by the Court, we expect that the CAO will be closed out by PHMSA.</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All potential claims by PHMSA against PAA arising out of the Line 901 failure would be settled pursuant to the Consent Decree discussed below.</w:t>
      </w:r>
    </w:p>
    <w:p>
      <w:pPr>
        <w:spacing w:after="0" w:line="192"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In late May of 2015, the California Attorney General’s Office and the District Attorney’s office for the County of Santa Barbara (collectively, the “Prosecutors”)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May 2016 Indictment included a total of 46 counts against PAA. On July 28, 2016, at an arraignment hearing held in California Superior Court in Santa Barbara County, PAA pled not guilty to all counts. Between May of 2016 and May of 2018, 31 of the criminal charges against PAA (including one felony charge) and all of the criminal charges against our employee, were dismissed. The remaining 15 charges were the subject of a jury trial in California Superior Court in Santa Barbara County that began in May of 2018.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jury deadlocked on three counts (including two felony discharge counts and one strict liability animal takings count), and two misdemeanor discharge counts were dropped. On April 25, 2019, PAA was sentenced to pay fines and penalties in the aggregate amount of just under $3.35 million for the convictions covered by the September 2018 jury verdict (the “2019 Sentence”). The fines and penalties imposed in connection with the 2019 Sentence have been paid. The Superior Court also indicated that it would conduct further hearings on the issue of whether there were any “direct victims” of the spill that are entitled to restitution under applicable law. In April of 2019, the Prosecutors announced their intent to re-try the two felony discharge counts for which no jury verdict was returned. The strict liability animal taking count for which no jury verdict was returned has been dismissed. On October 7, 2019, upon motion from Plains, the court dismissed the two remaining felony counts and vacated a second trial on these counts.</w:t>
      </w:r>
    </w:p>
    <w:p>
      <w:pPr>
        <w:spacing w:after="0" w:line="19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Also in late May of 2015, the United States Attorney for the Department of Justice, Central District of California, Environmental Crimes Section (“DOJ”) began an investigation into whether there were any violations of federal criminal statutes in connection with the Line 901 incident, including potential violations of the federal Clean Water Act. We have cooperated with the DOJ’s investigation by responding to their requests for documents and access to our employees. Consistent with the terms of our governing organizational documents, we are funding our employees’ defense costs, including the costs of separate counsel engaged to represent such individuals. The statute of limitations for federal criminal charges lapsed in May of 2020 with no federal criminal charges being brought against PAA or any of its affiliates, officers or employees.</w:t>
      </w:r>
    </w:p>
    <w:p>
      <w:pPr>
        <w:spacing w:after="0" w:line="17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have been processing those claims and making payments as appropriate.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The court originally certified three sub-classes of claimants and denied certification of the other proposed sub-class. On appeal, the Ninth Circuit Court of Appeals overturned the certification of one of the three sub-classes, the oil-industry sub-class, and the District Court subsequently dismissed the oil-industry sub-class representatives’ claims. The two remaining sub-classes include (i) commercial fishermen who landed fish in certain specified fishing blocks in the waters off the coast of Southern California or persons or businesses who resold commercial seafood landed in such areas; and (ii) residential beachfront properties on a beach and residential properties with a private easement to a beach where oil from the spill washed up. The court has set a trial date of September 1, 2020 for those two sub-classes, but the trial is unlikely to proceed on that date due to COVID-19 related trial suspensions.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9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four unitholder derivative lawsuits have been filed by certain purported investors in PAA against PAGP and certain of PAA’s affiliates, officers and directors. One lawsuit was filed in State District Court in Harris County, Texas and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subsequently dismissed by the Court.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w:t>
      </w:r>
    </w:p>
    <w:p>
      <w:pPr>
        <w:spacing w:after="0" w:line="211"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Following the order dismissing the Texas Federal Court suits, a new derivative suit brought by different plaintiffs was filed in Delaware Chancery Court and subsequently dismissed without prejudice. Plaintiffs amended and refiled their complaint on June 3, 2019. All claims against the officers and directors of PAA and all affiliates of PAA, except PAGP, were dismissed with prejudice in January 2020. Consistent with and subject to the terms of our governing organizational documents (and to the extent applicable, insurance policies), we have indemnified and funded the defense costs of our officers and directors in connection with these lawsuits. We will vigorously defend the remaining derivative claim against PAGP.</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also received several other individual lawsuits and complaints from companies, governmental agencies and individuals alleging damages arising out of the Line 901 incident. These lawsuits and claims generally seek compensatory and punitive damages, and in some cases permanent injunctive relief.</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to the foregoing, 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following federal and state agencies designated or authorized by law to act as trustees for the natural resources of the United States and the State of California (collectively, the “Trustees”): the United States Department of Interior, the National Oceanic and Atmospheric Administration, CDFW, the California Department of Parks and Recreation, the California State Lands Commission, and the Regents of the University of California. As part of the NRDA process, PAA and the Trustees jointly and independently planned and conducted a number of natural resource assessment activities related to the Line 901 incident. On March 13, 2020, the United States and the People of the State of California filed a civil complaint against Plains All American Pipeline, L.P. and Plains Pipeline L.P. along with a pre-negotiated settlement agreement in the form of a Consent Decree (the “Consent Decree”). The Consent Decree, which was pre-negotiated and signed by DOJ, PHMSA, EPA, CDFW, California Department of Parks and Recreation, California State Lands Commission, Office of the State Fire Marshal, Central Coast Regional Water Quality Control Board, and Regents of the University of California, will, if entered by the court, settle all of the claims asserted in the lawsuit. The Consent Decree would require Plains to pay $24 million in civil penalties and implement certain agreed-upon injunctive relief, and pay $22.325 million as compensation for injuries to, destruction of, loss of, or loss of use of natural resources resulting from the Line 901 incident. The Consent Decree is subject to review and approval by the Federal District Court for the Central District of California. We have included the costs associated with the Consent Decree settlement in the loss accrual described below.</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Taking the foregoing into account, as of June 30, 2020, we estimate that the aggregate total costs we have incurred or will incur with respect to the Line 901 incident will be approximately $455 million, which estimate includes actual and projected emergency response and clean-up costs, natural resource damage assessments and certain third party claims settlements, as well as estimates for fines, penalties and certain legal fees.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or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8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As of June 30, 2020, we had a remaining undiscounted gross liability of $140 million related to this event, which is presented in “Other current liabilities” on our Condensed Consolidated Balance Sheet.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June 30, 2020, we had collected, subject to customary reservations, $212 million out of the approximate $330 million of release costs that we believe are probable of recovery from insurance carriers, net of deductibles. Therefore, as of June 30, 2020, we have recognized a receivable of approximately $118 million for the portion of the release costs that we believe is probable of recovery from insurance, net of deductibles and amounts already collected. Such amount is recognized as a current asset in “Trade accounts receivable and other receivables, net” on our Condensed Consolidated Balance Sheet.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13—Operating Segments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See Note 3 to our Consolidated Financial Statements included in Part IV of our 2019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Segment Adjusted EBITDA excludes depreciation and amortization.</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Maintenance capital consists of capital expenditures for the replacement and/or refurbishment of partially or fully depreciated assets in order to maintain the operating and/or earnings capacity of our existing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28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20" w:type="dxa"/>
            <w:vAlign w:val="bottom"/>
          </w:tcPr>
          <w:p>
            <w:pPr>
              <w:spacing w:after="0"/>
              <w:rPr>
                <w:sz w:val="14"/>
                <w:szCs w:val="14"/>
                <w:color w:val="auto"/>
              </w:rPr>
            </w:pPr>
          </w:p>
        </w:tc>
        <w:tc>
          <w:tcPr>
            <w:tcW w:w="1120" w:type="dxa"/>
            <w:vAlign w:val="bottom"/>
          </w:tcPr>
          <w:p>
            <w:pPr>
              <w:jc w:val="right"/>
              <w:ind w:right="232"/>
              <w:spacing w:after="0"/>
              <w:rPr>
                <w:sz w:val="20"/>
                <w:szCs w:val="20"/>
                <w:color w:val="auto"/>
              </w:rPr>
            </w:pPr>
            <w:r>
              <w:rPr>
                <w:rFonts w:ascii="Arial" w:cs="Arial" w:eastAsia="Arial" w:hAnsi="Arial"/>
                <w:sz w:val="14"/>
                <w:szCs w:val="14"/>
                <w:b w:val="1"/>
                <w:bCs w:val="1"/>
                <w:color w:val="auto"/>
              </w:rPr>
              <w:t>Supply and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Intersegment</w:t>
            </w:r>
          </w:p>
        </w:tc>
        <w:tc>
          <w:tcPr>
            <w:tcW w:w="300" w:type="dxa"/>
            <w:vAlign w:val="bottom"/>
          </w:tcPr>
          <w:p>
            <w:pPr>
              <w:spacing w:after="0"/>
              <w:rPr>
                <w:sz w:val="14"/>
                <w:szCs w:val="14"/>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312"/>
              <w:spacing w:after="0"/>
              <w:rPr>
                <w:sz w:val="20"/>
                <w:szCs w:val="20"/>
                <w:color w:val="auto"/>
              </w:rPr>
            </w:pPr>
            <w:r>
              <w:rPr>
                <w:rFonts w:ascii="Arial" w:cs="Arial" w:eastAsia="Arial" w:hAnsi="Arial"/>
                <w:sz w:val="14"/>
                <w:szCs w:val="14"/>
                <w:b w:val="1"/>
                <w:bCs w:val="1"/>
                <w:color w:val="auto"/>
              </w:rPr>
              <w:t>Logistics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Adjustment</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2020</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2,925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70"/>
        </w:trPr>
        <w:tc>
          <w:tcPr>
            <w:tcW w:w="40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84"/>
        </w:trPr>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2,925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6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60" w:type="dxa"/>
            <w:vAlign w:val="bottom"/>
          </w:tcPr>
          <w:p>
            <w:pPr>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2019</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7,914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70"/>
        </w:trPr>
        <w:tc>
          <w:tcPr>
            <w:tcW w:w="40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83"/>
        </w:trPr>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7,915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8,765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6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60" w:type="dxa"/>
            <w:vAlign w:val="bottom"/>
          </w:tcPr>
          <w:p>
            <w:pPr>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2020</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10,833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11,494</w:t>
            </w:r>
          </w:p>
        </w:tc>
        <w:tc>
          <w:tcPr>
            <w:tcW w:w="0" w:type="dxa"/>
            <w:vAlign w:val="bottom"/>
          </w:tcPr>
          <w:p>
            <w:pPr>
              <w:spacing w:after="0"/>
              <w:rPr>
                <w:sz w:val="1"/>
                <w:szCs w:val="1"/>
                <w:color w:val="auto"/>
              </w:rPr>
            </w:pPr>
          </w:p>
        </w:tc>
      </w:tr>
      <w:tr>
        <w:trPr>
          <w:trHeight w:val="270"/>
        </w:trPr>
        <w:tc>
          <w:tcPr>
            <w:tcW w:w="40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83"/>
        </w:trPr>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10,834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12,459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6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60" w:type="dxa"/>
            <w:vAlign w:val="bottom"/>
          </w:tcPr>
          <w:p>
            <w:pPr>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20" w:type="dxa"/>
            <w:vAlign w:val="bottom"/>
          </w:tcPr>
          <w:p>
            <w:pPr>
              <w:spacing w:after="0"/>
              <w:rPr>
                <w:sz w:val="14"/>
                <w:szCs w:val="14"/>
                <w:color w:val="auto"/>
              </w:rPr>
            </w:pPr>
          </w:p>
        </w:tc>
        <w:tc>
          <w:tcPr>
            <w:tcW w:w="1120" w:type="dxa"/>
            <w:vAlign w:val="bottom"/>
          </w:tcPr>
          <w:p>
            <w:pPr>
              <w:jc w:val="right"/>
              <w:ind w:right="234"/>
              <w:spacing w:after="0"/>
              <w:rPr>
                <w:sz w:val="20"/>
                <w:szCs w:val="20"/>
                <w:color w:val="auto"/>
              </w:rPr>
            </w:pPr>
            <w:r>
              <w:rPr>
                <w:rFonts w:ascii="Arial" w:cs="Arial" w:eastAsia="Arial" w:hAnsi="Arial"/>
                <w:sz w:val="14"/>
                <w:szCs w:val="14"/>
                <w:b w:val="1"/>
                <w:bCs w:val="1"/>
                <w:color w:val="auto"/>
              </w:rPr>
              <w:t>Supply and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Intersegment</w:t>
            </w:r>
          </w:p>
        </w:tc>
        <w:tc>
          <w:tcPr>
            <w:tcW w:w="300" w:type="dxa"/>
            <w:vAlign w:val="bottom"/>
          </w:tcPr>
          <w:p>
            <w:pPr>
              <w:spacing w:after="0"/>
              <w:rPr>
                <w:sz w:val="14"/>
                <w:szCs w:val="1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314"/>
              <w:spacing w:after="0"/>
              <w:rPr>
                <w:sz w:val="20"/>
                <w:szCs w:val="20"/>
                <w:color w:val="auto"/>
              </w:rPr>
            </w:pPr>
            <w:r>
              <w:rPr>
                <w:rFonts w:ascii="Arial" w:cs="Arial" w:eastAsia="Arial" w:hAnsi="Arial"/>
                <w:sz w:val="14"/>
                <w:szCs w:val="14"/>
                <w:b w:val="1"/>
                <w:bCs w:val="1"/>
                <w:color w:val="auto"/>
              </w:rPr>
              <w:t>Logistics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Adjustment</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2019</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15,936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16,628</w:t>
            </w:r>
          </w:p>
        </w:tc>
        <w:tc>
          <w:tcPr>
            <w:tcW w:w="0" w:type="dxa"/>
            <w:vAlign w:val="bottom"/>
          </w:tcPr>
          <w:p>
            <w:pPr>
              <w:spacing w:after="0"/>
              <w:rPr>
                <w:sz w:val="1"/>
                <w:szCs w:val="1"/>
                <w:color w:val="auto"/>
              </w:rPr>
            </w:pPr>
          </w:p>
        </w:tc>
      </w:tr>
      <w:tr>
        <w:trPr>
          <w:trHeight w:val="270"/>
        </w:trPr>
        <w:tc>
          <w:tcPr>
            <w:tcW w:w="40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83"/>
        </w:trPr>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1,115</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15,938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6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60" w:type="dxa"/>
            <w:vAlign w:val="bottom"/>
          </w:tcPr>
          <w:p>
            <w:pPr>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June 30, 2020</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14,599</w:t>
            </w: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6,314</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4,576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25,489</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 2019</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15,549</w:t>
            </w: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7,593</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6,827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29,969</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160" w:hanging="11"/>
        <w:spacing w:after="0" w:line="273" w:lineRule="auto"/>
        <w:rPr>
          <w:sz w:val="20"/>
          <w:szCs w:val="20"/>
          <w:color w:val="auto"/>
        </w:rPr>
      </w:pPr>
      <w:r>
        <w:rPr>
          <w:rFonts w:ascii="Arial" w:cs="Arial" w:eastAsia="Arial" w:hAnsi="Arial"/>
          <w:sz w:val="17"/>
          <w:szCs w:val="17"/>
          <w:color w:val="auto"/>
        </w:rPr>
        <w:t>Transportation revenues from External customers include certain inventory exchanges with our customers where our Supply and Logistics segment has transacted the inventory exchange and serves as the shipper on our pipeline systems. See Note 3 to our Consolidated Financial Statements included in Part IV of our 2019 Annual Report on Form 10-K for a discussion of our related accounting policy. We have included an estimate of the revenues from these inventory exchanges in our Transportation segment revenues from External customers presented above and adjusted those revenues out such that Total revenues from External customers reconciles to our Condensed Consolidated Statements of Operations. This presentation is consistent with the information provided to our CODM.</w:t>
      </w:r>
    </w:p>
    <w:p>
      <w:pPr>
        <w:spacing w:after="0" w:line="70" w:lineRule="exact"/>
        <w:rPr>
          <w:sz w:val="20"/>
          <w:szCs w:val="20"/>
          <w:color w:val="auto"/>
        </w:rPr>
      </w:pPr>
    </w:p>
    <w:p>
      <w:pPr>
        <w:ind w:right="100" w:hanging="11"/>
        <w:spacing w:after="0" w:line="311" w:lineRule="auto"/>
        <w:rPr>
          <w:sz w:val="20"/>
          <w:szCs w:val="20"/>
          <w:color w:val="auto"/>
        </w:rPr>
      </w:pPr>
      <w:r>
        <w:rPr>
          <w:rFonts w:ascii="Arial" w:cs="Arial" w:eastAsia="Arial" w:hAnsi="Arial"/>
          <w:sz w:val="16"/>
          <w:szCs w:val="16"/>
          <w:color w:val="auto"/>
        </w:rPr>
        <w:t>Segment revenues include intersegment amounts that are eliminated in Purchases and related costs and Field operating costs in our Condensed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200" w:lineRule="exact"/>
        <w:rPr>
          <w:sz w:val="20"/>
          <w:szCs w:val="20"/>
          <w:color w:val="auto"/>
        </w:rPr>
      </w:pPr>
    </w:p>
    <w:p>
      <w:pPr>
        <w:sectPr>
          <w:pgSz w:w="11900" w:h="16838" w:orient="portrait"/>
          <w:cols w:equalWidth="0" w:num="2">
            <w:col w:w="140" w:space="520"/>
            <w:col w:w="10520"/>
          </w:cols>
          <w:pgMar w:left="320" w:top="125"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income/(loss) attributable to PAGP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94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1,643</w:t>
            </w:r>
          </w:p>
        </w:tc>
      </w:tr>
      <w:tr>
        <w:trPr>
          <w:trHeight w:val="229"/>
        </w:trPr>
        <w:tc>
          <w:tcPr>
            <w:tcW w:w="68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70"/>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3"/>
                <w:szCs w:val="23"/>
                <w:color w:val="auto"/>
                <w:vertAlign w:val="superscript"/>
              </w:rPr>
              <w:t>(3)</w:t>
            </w:r>
          </w:p>
        </w:tc>
        <w:tc>
          <w:tcPr>
            <w:tcW w:w="2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30</w:t>
            </w:r>
          </w:p>
        </w:tc>
      </w:tr>
      <w:tr>
        <w:trPr>
          <w:trHeight w:val="270"/>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tc>
        <w:tc>
          <w:tcPr>
            <w:tcW w:w="2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7</w:t>
            </w:r>
          </w:p>
        </w:tc>
      </w:tr>
      <w:tr>
        <w:trPr>
          <w:trHeight w:val="270"/>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(6)</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(7)</w:t>
            </w:r>
          </w:p>
        </w:tc>
        <w:tc>
          <w:tcPr>
            <w:tcW w:w="24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0"/>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(8)</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(9)</w:t>
            </w:r>
          </w:p>
        </w:tc>
        <w:tc>
          <w:tcPr>
            <w:tcW w:w="24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general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(284)</w:t>
            </w:r>
          </w:p>
        </w:tc>
      </w:tr>
      <w:tr>
        <w:trPr>
          <w:trHeight w:val="27"/>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Goodwill impairment losses</w:t>
            </w:r>
          </w:p>
        </w:tc>
        <w:tc>
          <w:tcPr>
            <w:tcW w:w="24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267</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(203)</w:t>
            </w:r>
          </w:p>
        </w:tc>
      </w:tr>
      <w:tr>
        <w:trPr>
          <w:trHeight w:val="27"/>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w:t>
            </w:r>
          </w:p>
        </w:tc>
      </w:tr>
      <w:tr>
        <w:trPr>
          <w:trHeight w:val="237"/>
        </w:trPr>
        <w:tc>
          <w:tcPr>
            <w:tcW w:w="6800" w:type="dxa"/>
            <w:vAlign w:val="bottom"/>
          </w:tcPr>
          <w:p>
            <w:pPr>
              <w:ind w:left="20"/>
              <w:spacing w:after="0"/>
              <w:rPr>
                <w:sz w:val="20"/>
                <w:szCs w:val="20"/>
                <w:color w:val="auto"/>
              </w:rPr>
            </w:pPr>
            <w:r>
              <w:rPr>
                <w:rFonts w:ascii="Arial" w:cs="Arial" w:eastAsia="Arial" w:hAnsi="Arial"/>
                <w:sz w:val="18"/>
                <w:szCs w:val="18"/>
                <w:color w:val="auto"/>
              </w:rPr>
              <w:t>Income/(loss) before tax</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1,415</w:t>
            </w:r>
          </w:p>
        </w:tc>
      </w:tr>
      <w:tr>
        <w:trPr>
          <w:trHeight w:val="27"/>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r>
      <w:tr>
        <w:trPr>
          <w:trHeight w:val="237"/>
        </w:trPr>
        <w:tc>
          <w:tcPr>
            <w:tcW w:w="680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1,340</w:t>
            </w:r>
          </w:p>
        </w:tc>
      </w:tr>
      <w:tr>
        <w:trPr>
          <w:trHeight w:val="27"/>
        </w:trPr>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(income)/loss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w:t>
            </w:r>
          </w:p>
        </w:tc>
      </w:tr>
      <w:tr>
        <w:trPr>
          <w:trHeight w:val="237"/>
        </w:trPr>
        <w:tc>
          <w:tcPr>
            <w:tcW w:w="6800" w:type="dxa"/>
            <w:vAlign w:val="bottom"/>
          </w:tcPr>
          <w:p>
            <w:pPr>
              <w:ind w:left="20"/>
              <w:spacing w:after="0"/>
              <w:rPr>
                <w:sz w:val="20"/>
                <w:szCs w:val="20"/>
                <w:color w:val="auto"/>
              </w:rPr>
            </w:pPr>
            <w:r>
              <w:rPr>
                <w:rFonts w:ascii="Arial" w:cs="Arial" w:eastAsia="Arial" w:hAnsi="Arial"/>
                <w:sz w:val="18"/>
                <w:szCs w:val="18"/>
                <w:color w:val="auto"/>
              </w:rPr>
              <w:t>Net income/(loss) attributable to PAGP</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213</w:t>
            </w:r>
          </w:p>
        </w:tc>
      </w:tr>
      <w:tr>
        <w:trPr>
          <w:trHeight w:val="27"/>
        </w:trPr>
        <w:tc>
          <w:tcPr>
            <w:tcW w:w="6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6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Represents adjustments utilized by our CODM in the evaluation of 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Includes our proportionate share of the depreciation and amortization of unconsolidated entities.</w:t>
      </w:r>
    </w:p>
    <w:p>
      <w:pPr>
        <w:spacing w:after="0" w:line="117" w:lineRule="exact"/>
        <w:rPr>
          <w:sz w:val="20"/>
          <w:szCs w:val="20"/>
          <w:color w:val="auto"/>
        </w:rPr>
      </w:pPr>
    </w:p>
    <w:p>
      <w:pPr>
        <w:ind w:left="20" w:right="20" w:hanging="11"/>
        <w:spacing w:after="0" w:line="254"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87" w:lineRule="exact"/>
        <w:rPr>
          <w:sz w:val="20"/>
          <w:szCs w:val="20"/>
          <w:color w:val="auto"/>
        </w:rPr>
      </w:pPr>
    </w:p>
    <w:p>
      <w:pPr>
        <w:ind w:left="20" w:right="40" w:hanging="11"/>
        <w:spacing w:after="0" w:line="296" w:lineRule="auto"/>
        <w:rPr>
          <w:sz w:val="20"/>
          <w:szCs w:val="20"/>
          <w:color w:val="auto"/>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20" w:hanging="11"/>
        <w:spacing w:after="0" w:line="269" w:lineRule="auto"/>
        <w:rPr>
          <w:sz w:val="20"/>
          <w:szCs w:val="20"/>
          <w:color w:val="auto"/>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Includes equity-indexed compensation expense associated with awards that will or may be settled in PAA common units.</w:t>
      </w:r>
    </w:p>
    <w:p>
      <w:pPr>
        <w:spacing w:after="0" w:line="117" w:lineRule="exact"/>
        <w:rPr>
          <w:sz w:val="20"/>
          <w:szCs w:val="20"/>
          <w:color w:val="auto"/>
        </w:rPr>
      </w:pPr>
    </w:p>
    <w:p>
      <w:pPr>
        <w:ind w:left="20" w:right="240" w:hanging="11"/>
        <w:spacing w:after="0" w:line="277" w:lineRule="auto"/>
        <w:rPr>
          <w:sz w:val="20"/>
          <w:szCs w:val="20"/>
          <w:color w:val="auto"/>
        </w:rPr>
      </w:pPr>
      <w:r>
        <w:rPr>
          <w:rFonts w:ascii="Arial" w:cs="Arial" w:eastAsia="Arial" w:hAnsi="Arial"/>
          <w:sz w:val="18"/>
          <w:szCs w:val="18"/>
          <w:color w:val="auto"/>
        </w:rPr>
        <w:t>Includes gains and losses realized on the settlement of foreign currency transactions as well as the revaluation of monetary assets and liabilities denominated in a foreign currency.</w:t>
      </w:r>
    </w:p>
    <w:p>
      <w:pPr>
        <w:spacing w:after="0" w:line="62" w:lineRule="exact"/>
        <w:rPr>
          <w:sz w:val="20"/>
          <w:szCs w:val="20"/>
          <w:color w:val="auto"/>
        </w:rPr>
      </w:pPr>
    </w:p>
    <w:p>
      <w:pPr>
        <w:ind w:left="20" w:right="60" w:hanging="11"/>
        <w:spacing w:after="0" w:line="277" w:lineRule="auto"/>
        <w:rPr>
          <w:sz w:val="20"/>
          <w:szCs w:val="20"/>
          <w:color w:val="auto"/>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12 for additional information regarding the Line 901 incident.</w:t>
      </w:r>
    </w:p>
    <w:p>
      <w:pPr>
        <w:spacing w:after="0" w:line="62" w:lineRule="exact"/>
        <w:rPr>
          <w:sz w:val="20"/>
          <w:szCs w:val="20"/>
          <w:color w:val="auto"/>
        </w:rPr>
      </w:pPr>
    </w:p>
    <w:p>
      <w:pPr>
        <w:jc w:val="both"/>
        <w:ind w:left="20" w:right="40" w:hanging="11"/>
        <w:spacing w:after="0" w:line="286" w:lineRule="auto"/>
        <w:rPr>
          <w:sz w:val="20"/>
          <w:szCs w:val="20"/>
          <w:color w:val="auto"/>
        </w:rPr>
      </w:pPr>
      <w:r>
        <w:rPr>
          <w:rFonts w:ascii="Arial" w:cs="Arial" w:eastAsia="Arial" w:hAnsi="Arial"/>
          <w:sz w:val="17"/>
          <w:szCs w:val="17"/>
          <w:color w:val="auto"/>
        </w:rPr>
        <w:t>Includes acquisition-related expenses associated with the Felix Midstream LLC acquisition. See Note 14 for additional discussion. An adjustment for these non-recurring expenses is included in the calculation of Segment Adjusted EBITDA for the three and six months ended June 30, 2020 as our CODM does not view such expenses as integral to understanding our core segment operating performance.</w:t>
      </w:r>
    </w:p>
    <w:p>
      <w:pPr>
        <w:spacing w:after="0" w:line="200" w:lineRule="exact"/>
        <w:rPr>
          <w:sz w:val="20"/>
          <w:szCs w:val="20"/>
          <w:color w:val="auto"/>
        </w:rPr>
      </w:pPr>
    </w:p>
    <w:p>
      <w:pPr>
        <w:sectPr>
          <w:pgSz w:w="11900" w:h="16838" w:orient="portrait"/>
          <w:cols w:equalWidth="0" w:num="2">
            <w:col w:w="140" w:space="500"/>
            <w:col w:w="10560"/>
          </w:cols>
          <w:pgMar w:left="320" w:top="125" w:right="37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14—Acquisitions, Divestitures and Asset Impairments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i w:val="1"/>
          <w:iCs w:val="1"/>
          <w:color w:val="auto"/>
        </w:rPr>
        <w:t xml:space="preserve">Felix Midstream LLC. </w:t>
      </w:r>
      <w:r>
        <w:rPr>
          <w:rFonts w:ascii="Arial" w:cs="Arial" w:eastAsia="Arial" w:hAnsi="Arial"/>
          <w:sz w:val="16"/>
          <w:szCs w:val="16"/>
          <w:color w:val="auto"/>
        </w:rPr>
        <w:t>In February 2020, we acquired Felix Midstream LLC, now known as FM Gathering LLC (“FM Gathering”) from Felix</w:t>
      </w:r>
      <w:r>
        <w:rPr>
          <w:rFonts w:ascii="Arial" w:cs="Arial" w:eastAsia="Arial" w:hAnsi="Arial"/>
          <w:sz w:val="16"/>
          <w:szCs w:val="16"/>
          <w:i w:val="1"/>
          <w:iCs w:val="1"/>
          <w:color w:val="auto"/>
        </w:rPr>
        <w:t xml:space="preserve"> </w:t>
      </w:r>
      <w:r>
        <w:rPr>
          <w:rFonts w:ascii="Arial" w:cs="Arial" w:eastAsia="Arial" w:hAnsi="Arial"/>
          <w:sz w:val="16"/>
          <w:szCs w:val="16"/>
          <w:color w:val="auto"/>
        </w:rPr>
        <w:t>Energy Holdings II, LLC for approximately $300 million, net of working capital and other adjustments. FM Gathering owns and operates a newly constructed crude oil gathering system in the Delaware Basin, with associated crude oil storage and truck offloading capacity, and is supported by a long-term acreage dedication. The assets acquired are primarily included in our Transportation and Supply and Logistics segments. This acquisition was accounted for using the acquisition method of accounting and the determination of the fair value of the assets acquired and liabilities assumed has been estimated in accordance with the applicable accounting guidance. The determination of these values is preliminary and we expect to finalize our fair value determination in 2020. The assets acquired primarily consisted of property and equipment of $115 million and intangible assets of $187 million. The preliminary fair value of the tangible assets is a Level 3 measurement in the fair value hierarchy and was determined using a cost approach. The cost approach was based on costs incurred on similar recent construction projects. The preliminary fair value of the intangible assets is also a Level 3 measurement in the fair value hierarchy and was determined by applying a discounted cash flow approach. Such approach utilized discount rates varying from 15% to 16%, based on our estimate of the risk that a theoretical market participant would assign to the respective intangible assets.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i w:val="1"/>
          <w:iCs w:val="1"/>
          <w:color w:val="auto"/>
        </w:rPr>
        <w:t xml:space="preserve">Saddlehorn Pipeline Company, LLC. </w:t>
      </w:r>
      <w:r>
        <w:rPr>
          <w:rFonts w:ascii="Arial" w:cs="Arial" w:eastAsia="Arial" w:hAnsi="Arial"/>
          <w:sz w:val="17"/>
          <w:szCs w:val="17"/>
          <w:color w:val="auto"/>
        </w:rPr>
        <w:t>In February 2020, we sold a 10% ownership interest in Saddlehorn Pipeline Company, LLC for proceeds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$78 million, including working capital adjustments. We recorded a gain of approximately $21 million related to this sale, which is included in “Gain on/(impairment of) investments in unconsolidated entities, net” on our Condensed Consolidated Statement of Operations.</w:t>
      </w:r>
    </w:p>
    <w:p>
      <w:pPr>
        <w:spacing w:after="0" w:line="192" w:lineRule="exact"/>
        <w:rPr>
          <w:sz w:val="20"/>
          <w:szCs w:val="20"/>
          <w:color w:val="auto"/>
        </w:rPr>
      </w:pPr>
    </w:p>
    <w:p>
      <w:pPr>
        <w:jc w:val="both"/>
        <w:ind w:right="420" w:firstLine="648"/>
        <w:spacing w:after="0" w:line="248" w:lineRule="auto"/>
        <w:rPr>
          <w:sz w:val="20"/>
          <w:szCs w:val="20"/>
          <w:color w:val="auto"/>
        </w:rPr>
      </w:pPr>
      <w:r>
        <w:rPr>
          <w:rFonts w:ascii="Arial" w:cs="Arial" w:eastAsia="Arial" w:hAnsi="Arial"/>
          <w:sz w:val="18"/>
          <w:szCs w:val="18"/>
          <w:i w:val="1"/>
          <w:iCs w:val="1"/>
          <w:color w:val="auto"/>
        </w:rPr>
        <w:t xml:space="preserve">Assets Held For Sale. </w:t>
      </w:r>
      <w:r>
        <w:rPr>
          <w:rFonts w:ascii="Arial" w:cs="Arial" w:eastAsia="Arial" w:hAnsi="Arial"/>
          <w:sz w:val="18"/>
          <w:szCs w:val="18"/>
          <w:color w:val="auto"/>
        </w:rPr>
        <w:t>As of June 30, 2020, we classified approximately $198 million as assets held for sale on our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(in “Other current assets”). The assets held for sale, which were valued based on fair value less costs to sell, are primarily property and equipment, are included in our Facilities segment and are related to transactions to sell our interests in:</w:t>
      </w: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80" w:hanging="324"/>
        <w:spacing w:after="0" w:line="263" w:lineRule="auto"/>
        <w:tabs>
          <w:tab w:leader="none" w:pos="975" w:val="left"/>
        </w:tabs>
        <w:numPr>
          <w:ilvl w:val="0"/>
          <w:numId w:val="26"/>
        </w:numPr>
        <w:rPr>
          <w:rFonts w:ascii="Arial" w:cs="Arial" w:eastAsia="Arial" w:hAnsi="Arial"/>
          <w:sz w:val="18"/>
          <w:szCs w:val="18"/>
          <w:i w:val="1"/>
          <w:iCs w:val="1"/>
          <w:color w:val="auto"/>
        </w:rPr>
      </w:pPr>
      <w:r>
        <w:rPr>
          <w:rFonts w:ascii="Arial" w:cs="Arial" w:eastAsia="Arial" w:hAnsi="Arial"/>
          <w:sz w:val="18"/>
          <w:szCs w:val="18"/>
          <w:color w:val="auto"/>
        </w:rPr>
        <w:t>certain Los Angeles Basin (“LA Basin”) terminals. In January 2020, we signed a definitive agreement to sell certain of our LA Basin crude oil terminals for $195 million, subject to certain adjustments. We expect the transaction to close in the second half of 2020, subject to customary closing conditions, including the receipt of regulatory approvals.</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the first quarter of 2020, certain NGL terminals included in our Facilities segment were also classified as held for sale. In April 2020, the transaction closed for proceeds of approximately $163 million, subject to certain adjustments.</w:t>
      </w:r>
    </w:p>
    <w:p>
      <w:pPr>
        <w:spacing w:after="0" w:line="19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Upon these classifications to assets held for sale, we recognized non-cash impairment losses of approximately $167 million during the first quarter of 2020. Such impairment losses are reflected in “(Gains)/losses on asset sales and asset impairments, net” on our Condensed Consolidated Statement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Impairments (Held and Used)</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During the six months ended June 30, 2020, we recognized approximately $558 million of non-cash impairment losses related to certain pipeline and other long-lived assets included in our Transportation and Facilities segments, along with certain of our investments in unconsolidated entities. Of these losses, approximately $446 million is reflected in “(Gains)/losses on asset sales and asset impairments, net” with the remainder reflected in “Gain on/(impairment of) investments in unconsolidated entities, net” on our Condensed Consolidated Statement of Operations. A majority of the impairment losses were recognized during the first quarter of 2020. See Note 7 for additional information regarding our investments in unconsolidated entities.</w:t>
      </w:r>
    </w:p>
    <w:p>
      <w:pPr>
        <w:spacing w:after="0" w:line="18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current macroeconomic and geopolitical conditions including the collapse of oil prices driven by both the decrease in demand caused by the COVID-19 pandemic and excess supply, as well as changing market conditions and expected lower crude oil production in certain regions, resulted in expected decreases in future cash flows for certain of our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values (which we consider a Level 3 measurement in the fair value hierarchy) were based upon a discounted cash flow approach utilizing various assumptions and the application of a discount rate of approximately 14%, which represents our estimate of the cost of capital of a theoretical market participant. Such assumptions included (but were not limited to) (i) volumes (based on historical information and estimates of future drilling and completion activity), (ii) tariff rates, (iii) future commodity prices (based on relevant indices and applicable quality and location differentials), and (iv) estimated fixed and variable costs.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2019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We are a Delaware limited partnership formed on July 17, 2013 that has elected to be taxed as a corporation for United States federal income tax purposes. As of June 30, 2020, our sole cash-generating assets consisted of (i) a 100% managing member interest in Plains All American GP LLC (“GP LLC”) that has also elected to be taxed as a corporation for United States federal income tax purposes and (ii) an approximate 75% limited partner interest in AAP through our direct ownership of approximately 183.3 million AAP units and indirect ownership of approximately 1.0 million AAP units through GP LLC. GP LLC is a Delaware limited liability company that also holds the non-economic general partner interest in AAP. AAP is a Delaware limited partnership that, as of June 30, 2020, directly owned a limited partner interest in PAA through its ownership of approximately 248.4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16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PAA owns and operates midstream energy infrastructure and provides logistics services primarily for crude oil, NGL and natural gas. PAA owns an extensive network of pipeline transportation, terminalling, storage and gathering assets in key crude oil and NGL producing basins and transportation corridors and at major market hubs in the United States and Canada. PAA’s operations are conducted directly and indirectly through its operating subsidiaries and are managed through three operating segments: Transportation, Facilities and Supply and Logistics. See “—Results of Operations— Analysis of Operating Segments”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 &amp; Outlook</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the first quarter of 2020, COVID-19 escalated into a global pandemic, which led to widespread shelter-in-place or similar requirements throughout North America and across the world, resulting in significantly reduced energy demand. Early in the second quarter, North American producers responded aggressively by shutting in significant levels of production, which mitigated the pace of crude oil inventory builds and the risk of testing storage maximums. In addition, throughout the second quarter, U.S. refinery utilization increased, the previously steep contango market structure tempered, and crude oil</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prices improved to levels supporting the ability for producers to bring a substantial portion of previously shut-in production back on line.</w:t>
      </w:r>
    </w:p>
    <w:p>
      <w:pPr>
        <w:spacing w:after="0" w:line="25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However, the U.S. Lower 48 horizontal crude oil rig count continued to decline and currently sits at approximately 20% of 2019 peak levels. In addition, U.S. inventories of crude oil, gasoline, and distillate remain at historically high levels. The combination of steep shale declines relative to drilling and completion activity, substantial inventory overhang, and the potential for a prolonged demand recovery could challenge the ability for North American liquids production to return to a sustainable growth trajectory in 2020 and potentially into 2021. Furthermore, we expect a continuation of elevated near-term market uncertainty to be driven by risks including potential COVID-19 resurgence, regulatory changes and evolving geo-political dynamics. In aggregate, we expect these market dynamics to have a negative impact on our business relative to pre-pandemic levels, with the impacts in 2021 potentially being more pronounced than in 2020.</w:t>
      </w:r>
    </w:p>
    <w:p>
      <w:pPr>
        <w:spacing w:after="0" w:line="22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response to the challenging near-term market conditions, we have taken steps to further strengthen our balance sheet, liquidity and long-term financial flexibility. These actions include significantly reducing and continuing to challenge our capital program, reducing the amount of our Class A share distribution payable, progressing asset sales, and reducing costs, while remaining focused on operating safely and responsibly.</w:t>
      </w:r>
    </w:p>
    <w:p>
      <w:pPr>
        <w:spacing w:after="0" w:line="19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Specifically, since April, we have reduced our 2020/2021 capital program by $850 million, or 37%, and have decreased PAA’s common unit distributions and our Class A share distributions by 50% (as paid in May 2020 and payable in August 2020) versus the distributions paid in February 2020, which reflects a reduction of $525 million on an annualized basis. We have completed approximately $250 million of asset sales (which amount excludes a previously announced approximately $195 million asset sale that remains under a definitive agreement and is expected to close later in the year). While each of these actions should contribute to a stronger balance sheet and enhanced liquidity and long-term financial flexibility, we can provide no assurance that we will be able to effect certain future actions (such as additional capital reductions, asset sales and expense reductions) and additional actions may be necessary to achieve our balance sheet, liquidity and financial security objectives.</w:t>
      </w:r>
    </w:p>
    <w:p>
      <w:pPr>
        <w:spacing w:after="0" w:line="204"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In addition, many governments have enacted or are contemplating measures to provide aid and economic stimulus in response to the COVID-19 pandemic. These measures include actions by both the U.S. federal government and the government of Canada. There has been no material impact to our financial position, results of operations or cash flows resulting from these measures.</w:t>
      </w:r>
    </w:p>
    <w:p>
      <w:pPr>
        <w:spacing w:after="0" w:line="211"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While some modifications in our operations have been necessary to deal with risks associated with the COVID-19 pandemic, we have not experienced any material constraints in our ability to continue our essential business functions and have not incurred any significant additional operating costs as a result of the pandemic, including costs associated with navigating the applicable shelter-in-place or similar restrictions and implementing our business continuity plans. We remain focused on the health and safety of our workforce, and have modified our operations in ways that we believe are prudent and appropriate in order to protect our employees while continuing to operate our assets in an effective, safe and responsible manner.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macroeconomic and industry specific challenges discussed above have resulted in a number of impairment charges recognized during the first half of 2020 as discussed further below. See “—Liquidity and Capital Resources” for additional discussion of the expected and potential impact of COVID-19 and related market conditions on our business.</w:t>
      </w:r>
    </w:p>
    <w:p>
      <w:pPr>
        <w:spacing w:after="0" w:line="2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During the first six months of 2020, we recognized a net loss of $2.6 billion as compared to net income of $1.3 billion recognized during the first six months of 2019. The net loss for the period was driven by goodwill impairment losses of $2.5 billion and was also impacted by non-cash impairment charges of approximately $725 million related to the write-down of certain pipeline and other long-lived assets, certain of our investments in unconsolidated entities, and assets upon classification as held for sale. In addition, we recognized approximately $232 million of inventory valuation adjustments due to declines in commodity prices during the first quarter of 2020.</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results for the comparative period were also impacted by:</w:t>
      </w:r>
    </w:p>
    <w:p>
      <w:pPr>
        <w:spacing w:after="0" w:line="239" w:lineRule="exact"/>
        <w:rPr>
          <w:sz w:val="20"/>
          <w:szCs w:val="20"/>
          <w:color w:val="auto"/>
        </w:rPr>
      </w:pPr>
    </w:p>
    <w:p>
      <w:pPr>
        <w:ind w:left="1300" w:hanging="320"/>
        <w:spacing w:after="0" w:line="259"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Less favorable results from our Supply and Logistics segment due to less favorable crude oil differentials, the impact of weighted average inventory costing resulting in lower crude oil margins during the period (which will result in higher margins in the second half of 2020), lower NGL margins and the unfavorable impact of the mark-to-market of certain derivative instruments, resulting from losses recognized in the 2020 period compared to gains in the 2019 period;</w:t>
      </w:r>
    </w:p>
    <w:p>
      <w:pPr>
        <w:spacing w:after="0" w:line="213" w:lineRule="exact"/>
        <w:rPr>
          <w:rFonts w:ascii="Arial" w:cs="Arial" w:eastAsia="Arial" w:hAnsi="Arial"/>
          <w:sz w:val="18"/>
          <w:szCs w:val="18"/>
          <w:color w:val="auto"/>
        </w:rPr>
      </w:pPr>
    </w:p>
    <w:p>
      <w:pPr>
        <w:ind w:left="1300" w:right="60" w:hanging="320"/>
        <w:spacing w:after="0" w:line="263" w:lineRule="auto"/>
        <w:tabs>
          <w:tab w:leader="none" w:pos="1295" w:val="left"/>
        </w:tabs>
        <w:numPr>
          <w:ilvl w:val="0"/>
          <w:numId w:val="28"/>
        </w:numPr>
        <w:rPr>
          <w:rFonts w:ascii="Arial" w:cs="Arial" w:eastAsia="Arial" w:hAnsi="Arial"/>
          <w:sz w:val="18"/>
          <w:szCs w:val="18"/>
          <w:i w:val="1"/>
          <w:iCs w:val="1"/>
          <w:color w:val="auto"/>
        </w:rPr>
      </w:pPr>
      <w:r>
        <w:rPr>
          <w:rFonts w:ascii="Arial" w:cs="Arial" w:eastAsia="Arial" w:hAnsi="Arial"/>
          <w:sz w:val="18"/>
          <w:szCs w:val="18"/>
          <w:color w:val="auto"/>
        </w:rPr>
        <w:t>Less favorable results from our Transportation segment driven by lower volumes from shut-ins of crude oil production and tight regional basis differentials, a portion of which are covered by minimum volume commitments that will be made up or paid for in future periods, and lower pipeline loss allowance revenue in 2020 due to lower prices and volumes;</w:t>
      </w:r>
    </w:p>
    <w:p>
      <w:pPr>
        <w:spacing w:after="0" w:line="210" w:lineRule="exact"/>
        <w:rPr>
          <w:rFonts w:ascii="Arial" w:cs="Arial" w:eastAsia="Arial" w:hAnsi="Arial"/>
          <w:sz w:val="18"/>
          <w:szCs w:val="18"/>
          <w:i w:val="1"/>
          <w:iCs w:val="1"/>
          <w:color w:val="auto"/>
        </w:rPr>
      </w:pPr>
    </w:p>
    <w:p>
      <w:pPr>
        <w:ind w:left="1300" w:right="300" w:hanging="320"/>
        <w:spacing w:after="0" w:line="308" w:lineRule="auto"/>
        <w:tabs>
          <w:tab w:leader="none" w:pos="1295" w:val="left"/>
        </w:tabs>
        <w:numPr>
          <w:ilvl w:val="0"/>
          <w:numId w:val="28"/>
        </w:numPr>
        <w:rPr>
          <w:rFonts w:ascii="Arial" w:cs="Arial" w:eastAsia="Arial" w:hAnsi="Arial"/>
          <w:sz w:val="17"/>
          <w:szCs w:val="17"/>
          <w:color w:val="auto"/>
        </w:rPr>
      </w:pPr>
      <w:r>
        <w:rPr>
          <w:rFonts w:ascii="Arial" w:cs="Arial" w:eastAsia="Arial" w:hAnsi="Arial"/>
          <w:sz w:val="17"/>
          <w:szCs w:val="17"/>
          <w:color w:val="auto"/>
        </w:rPr>
        <w:t>Higher depreciation and amortization expense in the 2020 period primarily due to additional depreciation expense associated with the completion of various capital expansion projects and an adjustment to the useful lives of certain assets;</w:t>
      </w:r>
    </w:p>
    <w:p>
      <w:pPr>
        <w:spacing w:after="0" w:line="173" w:lineRule="exact"/>
        <w:rPr>
          <w:rFonts w:ascii="Arial" w:cs="Arial" w:eastAsia="Arial" w:hAnsi="Arial"/>
          <w:sz w:val="17"/>
          <w:szCs w:val="17"/>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Unfavorable foreign currency impacts of $23 million recognized in “Other income/(expense), net” in the 2020 period;</w:t>
      </w:r>
    </w:p>
    <w:p>
      <w:pPr>
        <w:spacing w:after="0" w:line="252" w:lineRule="exact"/>
        <w:rPr>
          <w:rFonts w:ascii="Arial" w:cs="Arial" w:eastAsia="Arial" w:hAnsi="Arial"/>
          <w:sz w:val="18"/>
          <w:szCs w:val="18"/>
          <w:color w:val="auto"/>
        </w:rPr>
      </w:pPr>
    </w:p>
    <w:p>
      <w:pPr>
        <w:ind w:left="1300" w:right="200" w:hanging="320"/>
        <w:spacing w:after="0" w:line="259"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gain of $21 million recognized in the current period related to the sale of a portion of our interest in Saddlehorn Pipeline Company, LLC in February 2020, compared to a non-cash gain of $267 million recognized in the 2019 period related to a fair value adjustment resulting from the accounting for the contribution of our undivided joint interest in the Capline pipeline system for an equity interest in Capline Pipeline Company LLC; partially offset by</w:t>
      </w:r>
    </w:p>
    <w:p>
      <w:pPr>
        <w:spacing w:after="0" w:line="213" w:lineRule="exact"/>
        <w:rPr>
          <w:rFonts w:ascii="Arial" w:cs="Arial" w:eastAsia="Arial" w:hAnsi="Arial"/>
          <w:sz w:val="18"/>
          <w:szCs w:val="18"/>
          <w:color w:val="auto"/>
        </w:rPr>
      </w:pPr>
    </w:p>
    <w:p>
      <w:pPr>
        <w:jc w:val="both"/>
        <w:ind w:left="1300" w:right="100" w:hanging="320"/>
        <w:spacing w:after="0" w:line="311" w:lineRule="auto"/>
        <w:tabs>
          <w:tab w:leader="none" w:pos="1295" w:val="left"/>
        </w:tabs>
        <w:numPr>
          <w:ilvl w:val="0"/>
          <w:numId w:val="28"/>
        </w:numPr>
        <w:rPr>
          <w:rFonts w:ascii="Arial" w:cs="Arial" w:eastAsia="Arial" w:hAnsi="Arial"/>
          <w:sz w:val="16"/>
          <w:szCs w:val="16"/>
          <w:i w:val="1"/>
          <w:iCs w:val="1"/>
          <w:color w:val="auto"/>
        </w:rPr>
      </w:pPr>
      <w:r>
        <w:rPr>
          <w:rFonts w:ascii="Arial" w:cs="Arial" w:eastAsia="Arial" w:hAnsi="Arial"/>
          <w:sz w:val="16"/>
          <w:szCs w:val="16"/>
          <w:color w:val="auto"/>
        </w:rPr>
        <w:t>Favorable results from our Facilities segment due to increased activity and capacity in our crude oil storage operations and the receipt of a deficiency payment upon the expiration of a multi-year contract, which were partially offset by decreased activity at our rail terminals and the impact from the sale of certain NGL terminals in the fourth quarter of 2019 and the second quarter of 2020; and</w:t>
      </w:r>
    </w:p>
    <w:p>
      <w:pPr>
        <w:spacing w:after="0" w:line="175" w:lineRule="exact"/>
        <w:rPr>
          <w:rFonts w:ascii="Arial" w:cs="Arial" w:eastAsia="Arial" w:hAnsi="Arial"/>
          <w:sz w:val="16"/>
          <w:szCs w:val="16"/>
          <w:i w:val="1"/>
          <w:iCs w:val="1"/>
          <w:color w:val="auto"/>
        </w:rPr>
      </w:pPr>
    </w:p>
    <w:p>
      <w:pPr>
        <w:ind w:left="1300" w:right="300" w:hanging="320"/>
        <w:spacing w:after="0" w:line="277"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income tax benefit for the first half of 2020 due to the impact of lower earnings at PAA, including goodwill impairment losses, on income attributable to PAGP.</w:t>
      </w:r>
    </w:p>
    <w:p>
      <w:pPr>
        <w:spacing w:after="0" w:line="19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See further discussion of our operating results in the “—Results of Operations—Analysis of Operating Segments” and “—Other Income and Expenses” sections below.</w:t>
      </w:r>
    </w:p>
    <w:p>
      <w:pPr>
        <w:spacing w:after="0" w:line="19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invested $654 million in midstream infrastructure projects during the six months ended June 30, 2020, which primarily related to projects under development in the Permian Basin. Additionally, during the first quarter of 2020, we acquired approximately $308 million of assets, which primarily included a crude oil gathering system located in the Delaware Basin. See the “—Acquisitions and Capital Projects” section below for additional information.</w:t>
      </w:r>
    </w:p>
    <w:p>
      <w:pPr>
        <w:spacing w:after="0" w:line="21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June 2020, PAA completed the issuance of $750 million, 3.80% senior notes due September 2030. We intend to use the net proceeds from this offering of $742 million, after deducting the underwriting discount and offering expenses, to repay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principal amounts of PAA’s 5.00% senior notes due February 2021 and, pending such repayment, have used a portion of the proceeds to repay outstanding borrowings under PAA’s commercial paper program and credit facilities and for general partnership purposes.</w:t>
      </w:r>
    </w:p>
    <w:p>
      <w:pPr>
        <w:spacing w:after="0" w:line="173"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also paid approximately $496 million of cash distributions to our Class A shareholders and noncontrolling interests during the six months ended June 30,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(in millions):</w:t>
      </w:r>
    </w:p>
    <w:p>
      <w:pPr>
        <w:spacing w:after="0" w:line="298"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13335</wp:posOffset>
            </wp:positionV>
            <wp:extent cx="18859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4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capital</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w:t>
            </w:r>
          </w:p>
        </w:tc>
      </w:tr>
      <w:tr>
        <w:trPr>
          <w:trHeight w:val="270"/>
        </w:trPr>
        <w:tc>
          <w:tcPr>
            <w:tcW w:w="8240" w:type="dxa"/>
            <w:vAlign w:val="bottom"/>
          </w:tcPr>
          <w:p>
            <w:pPr>
              <w:ind w:left="20"/>
              <w:spacing w:after="0"/>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3"/>
                <w:szCs w:val="23"/>
                <w:color w:val="auto"/>
                <w:vertAlign w:val="superscript"/>
              </w:rPr>
              <w:t>(1) (2)</w:t>
            </w:r>
          </w:p>
        </w:tc>
        <w:tc>
          <w:tcPr>
            <w:tcW w:w="860" w:type="dxa"/>
            <w:vAlign w:val="bottom"/>
          </w:tcPr>
          <w:p>
            <w:pPr>
              <w:spacing w:after="0"/>
              <w:rPr>
                <w:sz w:val="23"/>
                <w:szCs w:val="23"/>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695</w:t>
            </w:r>
          </w:p>
        </w:tc>
      </w:tr>
      <w:tr>
        <w:trPr>
          <w:trHeight w:val="27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(2)</w:t>
            </w:r>
          </w:p>
        </w:tc>
        <w:tc>
          <w:tcPr>
            <w:tcW w:w="8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118</w:t>
            </w:r>
          </w:p>
        </w:tc>
      </w:tr>
      <w:tr>
        <w:trPr>
          <w:trHeight w:val="237"/>
        </w:trPr>
        <w:tc>
          <w:tcPr>
            <w:tcW w:w="8240" w:type="dxa"/>
            <w:vAlign w:val="bottom"/>
          </w:tcPr>
          <w:p>
            <w:pPr>
              <w:spacing w:after="0"/>
              <w:rPr>
                <w:sz w:val="20"/>
                <w:szCs w:val="20"/>
                <w:color w:val="auto"/>
              </w:rPr>
            </w:pP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1,066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860</w:t>
            </w:r>
          </w:p>
        </w:tc>
      </w:tr>
      <w:tr>
        <w:trPr>
          <w:trHeight w:val="27"/>
        </w:trPr>
        <w:tc>
          <w:tcPr>
            <w:tcW w:w="8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8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220" w:hanging="11"/>
        <w:spacing w:after="0" w:line="277" w:lineRule="auto"/>
        <w:rPr>
          <w:sz w:val="20"/>
          <w:szCs w:val="20"/>
          <w:color w:val="auto"/>
        </w:rPr>
      </w:pPr>
      <w:r>
        <w:rPr>
          <w:rFonts w:ascii="Arial" w:cs="Arial" w:eastAsia="Arial" w:hAnsi="Arial"/>
          <w:sz w:val="18"/>
          <w:szCs w:val="18"/>
          <w:color w:val="auto"/>
        </w:rPr>
        <w:t>Contributions to unconsolidated entities related to expansion projects of such entities are recognized in “Expansion capital.” We account for our investments in such entities under the equity method of accounting.</w:t>
      </w:r>
    </w:p>
    <w:p>
      <w:pPr>
        <w:spacing w:after="0" w:line="62" w:lineRule="exact"/>
        <w:rPr>
          <w:sz w:val="20"/>
          <w:szCs w:val="20"/>
          <w:color w:val="auto"/>
        </w:rPr>
      </w:pPr>
    </w:p>
    <w:p>
      <w:pPr>
        <w:jc w:val="both"/>
        <w:ind w:right="260" w:hanging="11"/>
        <w:spacing w:after="0" w:line="263" w:lineRule="auto"/>
        <w:rPr>
          <w:sz w:val="20"/>
          <w:szCs w:val="20"/>
          <w:color w:val="auto"/>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and/or refurbishment of partially or fully depreciated assets in order to maintain the operating and/or earnings capacity of our existing assets are classified as “Maintenance capital.”</w:t>
      </w:r>
    </w:p>
    <w:p>
      <w:pPr>
        <w:spacing w:after="0" w:line="200" w:lineRule="exact"/>
        <w:rPr>
          <w:sz w:val="20"/>
          <w:szCs w:val="20"/>
          <w:color w:val="auto"/>
        </w:rPr>
      </w:pPr>
    </w:p>
    <w:p>
      <w:pPr>
        <w:sectPr>
          <w:pgSz w:w="11900" w:h="16838" w:orient="portrait"/>
          <w:cols w:equalWidth="0" w:num="2">
            <w:col w:w="140" w:space="520"/>
            <w:col w:w="10560"/>
          </w:cols>
          <w:pgMar w:left="320" w:top="125" w:right="3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In April 2020, in response to the current dynamic and uncertain market conditions, we announced our plan to significantly reduce and continue to challenge our capital program. Total expansion capital for 2020/2021 is now targeted to be approximately $1.45 billion, or $850 million (37%) lower than the previously targeted $2.3 billion capital program, and $1.45 billion (50%) lower when eliminating $600 million of assumed joint venture project financing (net to our share) for the Red Oak project, which was deferred in March 2020. During the second quarter, PAA determined that it would not proceed with the project as previously contemplated. The balance of the capital reductions relate to cancellations, cost savings and scope adjustments to other capital projects. The following table summarizes our notable projects in progress during 2020 and the estimated cost for the year ending December 31, 2020 (in millions):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Projects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50"/>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Long-haul Pipeline Projects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210</w:t>
            </w:r>
          </w:p>
        </w:tc>
      </w:tr>
      <w:tr>
        <w:trPr>
          <w:trHeight w:val="24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Permian Basin Takeaway Pipeline Projects</w:t>
            </w:r>
          </w:p>
        </w:tc>
        <w:tc>
          <w:tcPr>
            <w:tcW w:w="36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320</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Complementary Permian Basin Projects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205</w:t>
            </w:r>
          </w:p>
        </w:tc>
      </w:tr>
      <w:tr>
        <w:trPr>
          <w:trHeight w:val="24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Selected Facilities/Downstream Projects</w:t>
            </w:r>
          </w:p>
        </w:tc>
        <w:tc>
          <w:tcPr>
            <w:tcW w:w="36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140</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Projects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125</w:t>
            </w:r>
          </w:p>
        </w:tc>
      </w:tr>
      <w:tr>
        <w:trPr>
          <w:trHeight w:val="263"/>
        </w:trPr>
        <w:tc>
          <w:tcPr>
            <w:tcW w:w="9680" w:type="dxa"/>
            <w:vAlign w:val="bottom"/>
            <w:gridSpan w:val="2"/>
          </w:tcPr>
          <w:p>
            <w:pPr>
              <w:ind w:left="120"/>
              <w:spacing w:after="0"/>
              <w:rPr>
                <w:sz w:val="20"/>
                <w:szCs w:val="20"/>
                <w:color w:val="auto"/>
              </w:rPr>
            </w:pPr>
            <w:r>
              <w:rPr>
                <w:rFonts w:ascii="Arial" w:cs="Arial" w:eastAsia="Arial" w:hAnsi="Arial"/>
                <w:sz w:val="18"/>
                <w:szCs w:val="18"/>
                <w:color w:val="auto"/>
              </w:rPr>
              <w:t>Total Projected 2020 Expansion Capital Expenditures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1,000</w:t>
            </w: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71" w:lineRule="exact"/>
        <w:rPr>
          <w:sz w:val="20"/>
          <w:szCs w:val="20"/>
          <w:color w:val="auto"/>
        </w:rPr>
      </w:pPr>
    </w:p>
    <w:tbl>
      <w:tblPr>
        <w:tblLayout w:type="fixed"/>
        <w:tblInd w:w="3400" w:type="dxa"/>
        <w:tblCellMar>
          <w:top w:w="0" w:type="dxa"/>
          <w:left w:w="0" w:type="dxa"/>
          <w:bottom w:w="0" w:type="dxa"/>
          <w:right w:w="0" w:type="dxa"/>
        </w:tblCellMar>
      </w:tblPr>
      <w:tr>
        <w:trPr>
          <w:trHeight w:val="161"/>
        </w:trPr>
        <w:tc>
          <w:tcPr>
            <w:tcW w:w="1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560" w:type="dxa"/>
            <w:vAlign w:val="bottom"/>
          </w:tcPr>
          <w:p>
            <w:pPr>
              <w:spacing w:after="0"/>
              <w:rPr>
                <w:sz w:val="14"/>
                <w:szCs w:val="14"/>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Variance</w:t>
            </w:r>
          </w:p>
        </w:tc>
        <w:tc>
          <w:tcPr>
            <w:tcW w:w="1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c>
          <w:tcPr>
            <w:tcW w:w="580" w:type="dxa"/>
            <w:vAlign w:val="bottom"/>
          </w:tcPr>
          <w:p>
            <w:pPr>
              <w:spacing w:after="0"/>
              <w:rPr>
                <w:sz w:val="14"/>
                <w:szCs w:val="14"/>
                <w:color w:val="auto"/>
              </w:rPr>
            </w:pPr>
          </w:p>
        </w:tc>
        <w:tc>
          <w:tcPr>
            <w:tcW w:w="132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13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3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2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5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22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5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49288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492887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3380" w:type="dxa"/>
            <w:vAlign w:val="bottom"/>
          </w:tcPr>
          <w:p>
            <w:pPr>
              <w:spacing w:after="0"/>
              <w:rPr>
                <w:sz w:val="20"/>
                <w:szCs w:val="20"/>
                <w:color w:val="auto"/>
              </w:rPr>
            </w:pPr>
            <w:r>
              <w:rPr>
                <w:rFonts w:ascii="Arial" w:cs="Arial" w:eastAsia="Arial" w:hAnsi="Arial"/>
                <w:sz w:val="18"/>
                <w:szCs w:val="18"/>
                <w:color w:val="auto"/>
                <w:w w:val="92"/>
              </w:rPr>
              <w:t xml:space="preserve">Transportation Segment Adjusted EBITDA </w:t>
            </w:r>
            <w:r>
              <w:rPr>
                <w:rFonts w:ascii="Arial" w:cs="Arial" w:eastAsia="Arial" w:hAnsi="Arial"/>
                <w:sz w:val="23"/>
                <w:szCs w:val="23"/>
                <w:color w:val="auto"/>
                <w:w w:val="92"/>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76"/>
        </w:trPr>
        <w:tc>
          <w:tcPr>
            <w:tcW w:w="3380" w:type="dxa"/>
            <w:vAlign w:val="bottom"/>
          </w:tcPr>
          <w:p>
            <w:pPr>
              <w:spacing w:after="0" w:line="176" w:lineRule="exact"/>
              <w:rPr>
                <w:sz w:val="20"/>
                <w:szCs w:val="20"/>
                <w:color w:val="auto"/>
              </w:rPr>
            </w:pPr>
            <w:r>
              <w:rPr>
                <w:rFonts w:ascii="Arial" w:cs="Arial" w:eastAsia="Arial" w:hAnsi="Arial"/>
                <w:sz w:val="18"/>
                <w:szCs w:val="18"/>
                <w:color w:val="auto"/>
              </w:rPr>
              <w:t>Facilities Segment Adjusted</w:t>
            </w:r>
          </w:p>
        </w:tc>
        <w:tc>
          <w:tcPr>
            <w:tcW w:w="220" w:type="dxa"/>
            <w:vAlign w:val="bottom"/>
          </w:tcPr>
          <w:p>
            <w:pPr>
              <w:spacing w:after="0"/>
              <w:rPr>
                <w:sz w:val="15"/>
                <w:szCs w:val="15"/>
                <w:color w:val="auto"/>
              </w:rPr>
            </w:pPr>
          </w:p>
        </w:tc>
        <w:tc>
          <w:tcPr>
            <w:tcW w:w="620" w:type="dxa"/>
            <w:vAlign w:val="bottom"/>
            <w:vMerge w:val="restart"/>
          </w:tcPr>
          <w:p>
            <w:pPr>
              <w:jc w:val="right"/>
              <w:ind w:right="5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restart"/>
          </w:tcPr>
          <w:p>
            <w:pPr>
              <w:jc w:val="right"/>
              <w:ind w:right="5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380" w:type="dxa"/>
            <w:vAlign w:val="bottom"/>
          </w:tcPr>
          <w:p>
            <w:pPr>
              <w:ind w:left="180"/>
              <w:spacing w:after="0" w:line="229"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80" w:type="dxa"/>
            <w:vAlign w:val="bottom"/>
          </w:tcPr>
          <w:p>
            <w:pPr>
              <w:spacing w:after="0" w:line="176" w:lineRule="exact"/>
              <w:rPr>
                <w:sz w:val="20"/>
                <w:szCs w:val="20"/>
                <w:color w:val="auto"/>
              </w:rPr>
            </w:pPr>
            <w:r>
              <w:rPr>
                <w:rFonts w:ascii="Arial" w:cs="Arial" w:eastAsia="Arial" w:hAnsi="Arial"/>
                <w:sz w:val="18"/>
                <w:szCs w:val="18"/>
                <w:color w:val="auto"/>
              </w:rPr>
              <w:t>Supply and Logistics Segment Adjusted</w:t>
            </w:r>
          </w:p>
        </w:tc>
        <w:tc>
          <w:tcPr>
            <w:tcW w:w="220" w:type="dxa"/>
            <w:vAlign w:val="bottom"/>
          </w:tcPr>
          <w:p>
            <w:pPr>
              <w:spacing w:after="0"/>
              <w:rPr>
                <w:sz w:val="15"/>
                <w:szCs w:val="15"/>
                <w:color w:val="auto"/>
              </w:rPr>
            </w:pPr>
          </w:p>
        </w:tc>
        <w:tc>
          <w:tcPr>
            <w:tcW w:w="620" w:type="dxa"/>
            <w:vAlign w:val="bottom"/>
            <w:vMerge w:val="restart"/>
          </w:tcPr>
          <w:p>
            <w:pPr>
              <w:jc w:val="right"/>
              <w:ind w:right="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restart"/>
          </w:tcPr>
          <w:p>
            <w:pPr>
              <w:jc w:val="right"/>
              <w:ind w:right="5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2"/>
        </w:trPr>
        <w:tc>
          <w:tcPr>
            <w:tcW w:w="3380" w:type="dxa"/>
            <w:vAlign w:val="bottom"/>
          </w:tcPr>
          <w:p>
            <w:pPr>
              <w:ind w:left="160"/>
              <w:spacing w:after="0" w:line="242"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(1)</w:t>
            </w:r>
          </w:p>
        </w:tc>
        <w:tc>
          <w:tcPr>
            <w:tcW w:w="22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8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00"/>
              <w:spacing w:after="0"/>
              <w:rPr>
                <w:sz w:val="20"/>
                <w:szCs w:val="20"/>
                <w:color w:val="auto"/>
              </w:rPr>
            </w:pPr>
            <w:r>
              <w:rPr>
                <w:rFonts w:ascii="Arial" w:cs="Arial" w:eastAsia="Arial" w:hAnsi="Arial"/>
                <w:sz w:val="18"/>
                <w:szCs w:val="18"/>
                <w:color w:val="auto"/>
              </w:rPr>
              <w:t>unconsolidated entities</w:t>
            </w:r>
          </w:p>
        </w:tc>
        <w:tc>
          <w:tcPr>
            <w:tcW w:w="22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6"/>
        </w:trPr>
        <w:tc>
          <w:tcPr>
            <w:tcW w:w="3380" w:type="dxa"/>
            <w:vAlign w:val="bottom"/>
          </w:tcPr>
          <w:p>
            <w:pPr>
              <w:ind w:left="200"/>
              <w:spacing w:after="0"/>
              <w:rPr>
                <w:sz w:val="20"/>
                <w:szCs w:val="20"/>
                <w:color w:val="auto"/>
              </w:rPr>
            </w:pPr>
            <w:r>
              <w:rPr>
                <w:rFonts w:ascii="Arial" w:cs="Arial" w:eastAsia="Arial" w:hAnsi="Arial"/>
                <w:sz w:val="18"/>
                <w:szCs w:val="18"/>
                <w:color w:val="auto"/>
                <w:w w:val="98"/>
              </w:rPr>
              <w:t>Selected items impacting comparability -</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00"/>
              <w:spacing w:after="0"/>
              <w:rPr>
                <w:sz w:val="20"/>
                <w:szCs w:val="20"/>
                <w:color w:val="auto"/>
              </w:rPr>
            </w:pPr>
            <w:r>
              <w:rPr>
                <w:rFonts w:ascii="Arial" w:cs="Arial" w:eastAsia="Arial" w:hAnsi="Arial"/>
                <w:sz w:val="18"/>
                <w:szCs w:val="18"/>
                <w:color w:val="auto"/>
              </w:rPr>
              <w:t>Segment Adjusted EBITDA</w:t>
            </w:r>
          </w:p>
        </w:tc>
        <w:tc>
          <w:tcPr>
            <w:tcW w:w="22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Unallocated general and administrative</w:t>
            </w:r>
          </w:p>
        </w:tc>
        <w:tc>
          <w:tcPr>
            <w:tcW w:w="220" w:type="dxa"/>
            <w:vAlign w:val="bottom"/>
          </w:tcPr>
          <w:p>
            <w:pPr>
              <w:spacing w:after="0"/>
              <w:rPr>
                <w:sz w:val="17"/>
                <w:szCs w:val="17"/>
                <w:color w:val="auto"/>
              </w:rPr>
            </w:pP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380" w:type="dxa"/>
            <w:vAlign w:val="bottom"/>
          </w:tcPr>
          <w:p>
            <w:pPr>
              <w:ind w:left="16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3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Gains/(losses) on asset sales and asset</w:t>
            </w:r>
          </w:p>
        </w:tc>
        <w:tc>
          <w:tcPr>
            <w:tcW w:w="220" w:type="dxa"/>
            <w:vAlign w:val="bottom"/>
          </w:tcPr>
          <w:p>
            <w:pPr>
              <w:spacing w:after="0"/>
              <w:rPr>
                <w:sz w:val="17"/>
                <w:szCs w:val="17"/>
                <w:color w:val="auto"/>
              </w:rPr>
            </w:pPr>
          </w:p>
        </w:tc>
        <w:tc>
          <w:tcPr>
            <w:tcW w:w="62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restart"/>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380" w:type="dxa"/>
            <w:vAlign w:val="bottom"/>
          </w:tcPr>
          <w:p>
            <w:pPr>
              <w:ind w:left="160"/>
              <w:spacing w:after="0"/>
              <w:rPr>
                <w:sz w:val="20"/>
                <w:szCs w:val="20"/>
                <w:color w:val="auto"/>
              </w:rPr>
            </w:pPr>
            <w:r>
              <w:rPr>
                <w:rFonts w:ascii="Arial" w:cs="Arial" w:eastAsia="Arial" w:hAnsi="Arial"/>
                <w:sz w:val="18"/>
                <w:szCs w:val="18"/>
                <w:color w:val="auto"/>
              </w:rPr>
              <w:t>impairments, net</w:t>
            </w:r>
          </w:p>
        </w:tc>
        <w:tc>
          <w:tcPr>
            <w:tcW w:w="2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380" w:type="dxa"/>
            <w:vAlign w:val="bottom"/>
          </w:tcPr>
          <w:p>
            <w:pPr>
              <w:spacing w:after="0"/>
              <w:rPr>
                <w:sz w:val="20"/>
                <w:szCs w:val="20"/>
                <w:color w:val="auto"/>
              </w:rPr>
            </w:pPr>
            <w:r>
              <w:rPr>
                <w:rFonts w:ascii="Arial" w:cs="Arial" w:eastAsia="Arial" w:hAnsi="Arial"/>
                <w:sz w:val="18"/>
                <w:szCs w:val="18"/>
                <w:color w:val="auto"/>
              </w:rPr>
              <w:t>Goodwill impairment losses</w:t>
            </w:r>
          </w:p>
        </w:tc>
        <w:tc>
          <w:tcPr>
            <w:tcW w:w="220" w:type="dxa"/>
            <w:vAlign w:val="bottom"/>
          </w:tcPr>
          <w:p>
            <w:pPr>
              <w:spacing w:after="0"/>
              <w:rPr>
                <w:sz w:val="21"/>
                <w:szCs w:val="21"/>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Gain on/(impairment of) investments in</w:t>
            </w:r>
          </w:p>
        </w:tc>
        <w:tc>
          <w:tcPr>
            <w:tcW w:w="220" w:type="dxa"/>
            <w:vAlign w:val="bottom"/>
          </w:tcPr>
          <w:p>
            <w:pPr>
              <w:spacing w:after="0"/>
              <w:rPr>
                <w:sz w:val="17"/>
                <w:szCs w:val="17"/>
                <w:color w:val="auto"/>
              </w:rPr>
            </w:pP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3380" w:type="dxa"/>
            <w:vAlign w:val="bottom"/>
          </w:tcPr>
          <w:p>
            <w:pPr>
              <w:ind w:left="160"/>
              <w:spacing w:after="0"/>
              <w:rPr>
                <w:sz w:val="20"/>
                <w:szCs w:val="20"/>
                <w:color w:val="auto"/>
              </w:rPr>
            </w:pPr>
            <w:r>
              <w:rPr>
                <w:rFonts w:ascii="Arial" w:cs="Arial" w:eastAsia="Arial" w:hAnsi="Arial"/>
                <w:sz w:val="18"/>
                <w:szCs w:val="18"/>
                <w:color w:val="auto"/>
              </w:rPr>
              <w:t>unconsolidated entities, net</w:t>
            </w:r>
          </w:p>
        </w:tc>
        <w:tc>
          <w:tcPr>
            <w:tcW w:w="2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3380" w:type="dxa"/>
            <w:vAlign w:val="bottom"/>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22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97"/>
        </w:trPr>
        <w:tc>
          <w:tcPr>
            <w:tcW w:w="3380" w:type="dxa"/>
            <w:vAlign w:val="bottom"/>
          </w:tcPr>
          <w:p>
            <w:pPr>
              <w:spacing w:after="0"/>
              <w:rPr>
                <w:sz w:val="20"/>
                <w:szCs w:val="20"/>
                <w:color w:val="auto"/>
              </w:rPr>
            </w:pPr>
            <w:r>
              <w:rPr>
                <w:rFonts w:ascii="Arial" w:cs="Arial" w:eastAsia="Arial" w:hAnsi="Arial"/>
                <w:sz w:val="18"/>
                <w:szCs w:val="18"/>
                <w:color w:val="auto"/>
              </w:rPr>
              <w:t>Income tax (expense)/benefit</w:t>
            </w: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0"/>
                <w:szCs w:val="20"/>
                <w:color w:val="auto"/>
              </w:rPr>
            </w:pPr>
            <w:r>
              <w:rPr>
                <w:rFonts w:ascii="Arial" w:cs="Arial" w:eastAsia="Arial" w:hAnsi="Arial"/>
                <w:sz w:val="18"/>
                <w:szCs w:val="18"/>
                <w:color w:val="auto"/>
              </w:rPr>
              <w:t>Net income/(loss)</w:t>
            </w:r>
          </w:p>
        </w:tc>
        <w:tc>
          <w:tcPr>
            <w:tcW w:w="220" w:type="dxa"/>
            <w:vAlign w:val="bottom"/>
          </w:tcPr>
          <w:p>
            <w:pPr>
              <w:spacing w:after="0"/>
              <w:rPr>
                <w:sz w:val="22"/>
                <w:szCs w:val="22"/>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3380" w:type="dxa"/>
            <w:vAlign w:val="bottom"/>
          </w:tcPr>
          <w:p>
            <w:pPr>
              <w:ind w:left="160"/>
              <w:spacing w:after="0"/>
              <w:rPr>
                <w:sz w:val="20"/>
                <w:szCs w:val="20"/>
                <w:color w:val="auto"/>
              </w:rPr>
            </w:pPr>
            <w:r>
              <w:rPr>
                <w:rFonts w:ascii="Arial" w:cs="Arial" w:eastAsia="Arial" w:hAnsi="Arial"/>
                <w:sz w:val="18"/>
                <w:szCs w:val="18"/>
                <w:color w:val="auto"/>
              </w:rPr>
              <w:t>Net (income)/loss attributable to</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80" w:type="dxa"/>
            <w:vAlign w:val="bottom"/>
          </w:tcPr>
          <w:p>
            <w:pPr>
              <w:spacing w:after="0"/>
              <w:rPr>
                <w:sz w:val="20"/>
                <w:szCs w:val="20"/>
                <w:color w:val="auto"/>
              </w:rPr>
            </w:pPr>
            <w:r>
              <w:rPr>
                <w:rFonts w:ascii="Arial" w:cs="Arial" w:eastAsia="Arial" w:hAnsi="Arial"/>
                <w:sz w:val="18"/>
                <w:szCs w:val="18"/>
                <w:color w:val="auto"/>
              </w:rPr>
              <w:t>Net income/(loss) attributable to PAGP</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3380" w:type="dxa"/>
            <w:vAlign w:val="bottom"/>
          </w:tcPr>
          <w:p>
            <w:pPr>
              <w:spacing w:after="0"/>
              <w:rPr>
                <w:sz w:val="20"/>
                <w:szCs w:val="20"/>
                <w:color w:val="auto"/>
              </w:rPr>
            </w:pPr>
            <w:r>
              <w:rPr>
                <w:rFonts w:ascii="Arial" w:cs="Arial" w:eastAsia="Arial" w:hAnsi="Arial"/>
                <w:sz w:val="18"/>
                <w:szCs w:val="18"/>
                <w:color w:val="auto"/>
              </w:rPr>
              <w:t>Basic net income/(loss) per Class A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w w:val="97"/>
              </w:rPr>
              <w:t>Diluted net income/(loss) per Class A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56"/>
        </w:trPr>
        <w:tc>
          <w:tcPr>
            <w:tcW w:w="3380" w:type="dxa"/>
            <w:vAlign w:val="bottom"/>
          </w:tcPr>
          <w:p>
            <w:pPr>
              <w:spacing w:after="0"/>
              <w:rPr>
                <w:sz w:val="20"/>
                <w:szCs w:val="20"/>
                <w:color w:val="auto"/>
              </w:rPr>
            </w:pPr>
            <w:r>
              <w:rPr>
                <w:rFonts w:ascii="Arial" w:cs="Arial" w:eastAsia="Arial" w:hAnsi="Arial"/>
                <w:sz w:val="18"/>
                <w:szCs w:val="18"/>
                <w:color w:val="auto"/>
              </w:rPr>
              <w:t>Basic weighted average Class A shares</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6"/>
        </w:trPr>
        <w:tc>
          <w:tcPr>
            <w:tcW w:w="3380" w:type="dxa"/>
            <w:vAlign w:val="bottom"/>
          </w:tcPr>
          <w:p>
            <w:pPr>
              <w:spacing w:after="0"/>
              <w:rPr>
                <w:sz w:val="20"/>
                <w:szCs w:val="20"/>
                <w:color w:val="auto"/>
              </w:rPr>
            </w:pPr>
            <w:r>
              <w:rPr>
                <w:rFonts w:ascii="Arial" w:cs="Arial" w:eastAsia="Arial" w:hAnsi="Arial"/>
                <w:sz w:val="18"/>
                <w:szCs w:val="18"/>
                <w:color w:val="auto"/>
              </w:rPr>
              <w:t>Diluted weighted average Class A shares</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4599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409" w:hanging="319"/>
        <w:spacing w:after="0"/>
        <w:tabs>
          <w:tab w:leader="none" w:pos="409" w:val="left"/>
        </w:tabs>
        <w:numPr>
          <w:ilvl w:val="0"/>
          <w:numId w:val="29"/>
        </w:numPr>
        <w:rPr>
          <w:rFonts w:ascii="Arial" w:cs="Arial" w:eastAsia="Arial" w:hAnsi="Arial"/>
          <w:sz w:val="17"/>
          <w:szCs w:val="17"/>
          <w:color w:val="auto"/>
        </w:rPr>
      </w:pP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ind w:left="249"/>
        <w:spacing w:after="0"/>
        <w:rPr>
          <w:rFonts w:ascii="Arial" w:cs="Arial" w:eastAsia="Arial" w:hAnsi="Arial"/>
          <w:sz w:val="17"/>
          <w:szCs w:val="17"/>
          <w:color w:val="auto"/>
        </w:rPr>
      </w:pPr>
      <w:r>
        <w:rPr>
          <w:rFonts w:ascii="Arial" w:cs="Arial" w:eastAsia="Arial" w:hAnsi="Arial"/>
          <w:sz w:val="18"/>
          <w:szCs w:val="18"/>
          <w:color w:val="auto"/>
        </w:rPr>
        <w:t>1 %</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79" w:lineRule="exact"/>
        <w:rPr>
          <w:sz w:val="20"/>
          <w:szCs w:val="20"/>
          <w:color w:val="auto"/>
        </w:rPr>
      </w:pPr>
    </w:p>
    <w:p>
      <w:pPr>
        <w:ind w:left="389"/>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09" w:hanging="409"/>
        <w:spacing w:after="0"/>
        <w:tabs>
          <w:tab w:leader="none" w:pos="409" w:val="left"/>
        </w:tabs>
        <w:numPr>
          <w:ilvl w:val="0"/>
          <w:numId w:val="30"/>
        </w:numPr>
        <w:rPr>
          <w:rFonts w:ascii="Arial" w:cs="Arial" w:eastAsia="Arial" w:hAnsi="Arial"/>
          <w:sz w:val="17"/>
          <w:szCs w:val="17"/>
          <w:color w:val="auto"/>
        </w:rPr>
      </w:pP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409" w:hanging="319"/>
        <w:spacing w:after="0"/>
        <w:tabs>
          <w:tab w:leader="none" w:pos="409" w:val="left"/>
        </w:tabs>
        <w:numPr>
          <w:ilvl w:val="0"/>
          <w:numId w:val="31"/>
        </w:numPr>
        <w:rPr>
          <w:rFonts w:ascii="Arial" w:cs="Arial" w:eastAsia="Arial" w:hAnsi="Arial"/>
          <w:sz w:val="17"/>
          <w:szCs w:val="17"/>
          <w:color w:val="auto"/>
        </w:rPr>
      </w:pPr>
      <w:r>
        <w:rPr>
          <w:rFonts w:ascii="Arial" w:cs="Arial" w:eastAsia="Arial" w:hAnsi="Arial"/>
          <w:sz w:val="17"/>
          <w:szCs w:val="17"/>
          <w:color w:val="auto"/>
        </w:rPr>
        <w:t>%</w:t>
      </w:r>
    </w:p>
    <w:p>
      <w:pPr>
        <w:spacing w:after="0" w:line="210" w:lineRule="exact"/>
        <w:rPr>
          <w:sz w:val="20"/>
          <w:szCs w:val="20"/>
          <w:color w:val="auto"/>
        </w:rPr>
      </w:pPr>
    </w:p>
    <w:p>
      <w:pPr>
        <w:ind w:left="409" w:hanging="319"/>
        <w:spacing w:after="0"/>
        <w:tabs>
          <w:tab w:leader="none" w:pos="409" w:val="left"/>
        </w:tabs>
        <w:numPr>
          <w:ilvl w:val="0"/>
          <w:numId w:val="32"/>
        </w:numPr>
        <w:rPr>
          <w:rFonts w:ascii="Arial" w:cs="Arial" w:eastAsia="Arial" w:hAnsi="Arial"/>
          <w:sz w:val="17"/>
          <w:szCs w:val="17"/>
          <w:color w:val="auto"/>
        </w:rPr>
      </w:pP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249"/>
        <w:spacing w:after="0"/>
        <w:rPr>
          <w:rFonts w:ascii="Arial" w:cs="Arial" w:eastAsia="Arial" w:hAnsi="Arial"/>
          <w:sz w:val="17"/>
          <w:szCs w:val="17"/>
          <w:color w:val="auto"/>
        </w:rPr>
      </w:pPr>
      <w:r>
        <w:rPr>
          <w:rFonts w:ascii="Arial" w:cs="Arial" w:eastAsia="Arial" w:hAnsi="Arial"/>
          <w:sz w:val="18"/>
          <w:szCs w:val="18"/>
          <w:color w:val="auto"/>
        </w:rPr>
        <w:t>N/A</w:t>
      </w:r>
    </w:p>
    <w:p>
      <w:pPr>
        <w:spacing w:after="0" w:line="198" w:lineRule="exact"/>
        <w:rPr>
          <w:sz w:val="20"/>
          <w:szCs w:val="20"/>
          <w:color w:val="auto"/>
        </w:rPr>
      </w:pPr>
    </w:p>
    <w:p>
      <w:pPr>
        <w:ind w:left="249"/>
        <w:spacing w:after="0"/>
        <w:rPr>
          <w:sz w:val="20"/>
          <w:szCs w:val="20"/>
          <w:color w:val="auto"/>
        </w:rPr>
      </w:pPr>
      <w:r>
        <w:rPr>
          <w:rFonts w:ascii="Arial" w:cs="Arial" w:eastAsia="Arial" w:hAnsi="Arial"/>
          <w:sz w:val="18"/>
          <w:szCs w:val="18"/>
          <w:color w:val="auto"/>
        </w:rPr>
        <w:t>N/A</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63" w:lineRule="exact"/>
        <w:rPr>
          <w:sz w:val="20"/>
          <w:szCs w:val="20"/>
          <w:color w:val="auto"/>
        </w:rPr>
      </w:pPr>
    </w:p>
    <w:p>
      <w:pPr>
        <w:ind w:left="409" w:hanging="334"/>
        <w:spacing w:after="0"/>
        <w:tabs>
          <w:tab w:leader="none" w:pos="409" w:val="left"/>
        </w:tabs>
        <w:numPr>
          <w:ilvl w:val="0"/>
          <w:numId w:val="33"/>
        </w:numPr>
        <w:rPr>
          <w:rFonts w:ascii="Arial" w:cs="Arial" w:eastAsia="Arial" w:hAnsi="Arial"/>
          <w:sz w:val="17"/>
          <w:szCs w:val="17"/>
          <w:color w:val="auto"/>
        </w:rPr>
      </w:pP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409" w:hanging="334"/>
        <w:spacing w:after="0"/>
        <w:tabs>
          <w:tab w:leader="none" w:pos="409" w:val="left"/>
        </w:tabs>
        <w:numPr>
          <w:ilvl w:val="0"/>
          <w:numId w:val="34"/>
        </w:numPr>
        <w:rPr>
          <w:rFonts w:ascii="Arial" w:cs="Arial" w:eastAsia="Arial" w:hAnsi="Arial"/>
          <w:sz w:val="17"/>
          <w:szCs w:val="17"/>
          <w:color w:val="auto"/>
        </w:rPr>
      </w:pPr>
      <w:r>
        <w:rPr>
          <w:rFonts w:ascii="Arial" w:cs="Arial" w:eastAsia="Arial" w:hAnsi="Arial"/>
          <w:sz w:val="17"/>
          <w:szCs w:val="17"/>
          <w:color w:val="auto"/>
        </w:rPr>
        <w:t>%</w:t>
      </w:r>
    </w:p>
    <w:p>
      <w:pPr>
        <w:spacing w:after="0" w:line="88" w:lineRule="exact"/>
        <w:rPr>
          <w:rFonts w:ascii="Arial" w:cs="Arial" w:eastAsia="Arial" w:hAnsi="Arial"/>
          <w:sz w:val="17"/>
          <w:szCs w:val="17"/>
          <w:color w:val="auto"/>
        </w:rPr>
      </w:pPr>
    </w:p>
    <w:p>
      <w:pPr>
        <w:ind w:left="409" w:hanging="319"/>
        <w:spacing w:after="0"/>
        <w:tabs>
          <w:tab w:leader="none" w:pos="409" w:val="left"/>
        </w:tabs>
        <w:numPr>
          <w:ilvl w:val="1"/>
          <w:numId w:val="34"/>
        </w:numPr>
        <w:rPr>
          <w:rFonts w:ascii="Arial" w:cs="Arial" w:eastAsia="Arial" w:hAnsi="Arial"/>
          <w:sz w:val="17"/>
          <w:szCs w:val="17"/>
          <w:color w:val="auto"/>
        </w:rPr>
      </w:pPr>
      <w:r>
        <w:rPr>
          <w:rFonts w:ascii="Arial" w:cs="Arial" w:eastAsia="Arial" w:hAnsi="Arial"/>
          <w:sz w:val="17"/>
          <w:szCs w:val="17"/>
          <w:color w:val="auto"/>
        </w:rPr>
        <w:t>%</w:t>
      </w:r>
    </w:p>
    <w:p>
      <w:pPr>
        <w:spacing w:after="0" w:line="291" w:lineRule="exact"/>
        <w:rPr>
          <w:sz w:val="20"/>
          <w:szCs w:val="20"/>
          <w:color w:val="auto"/>
        </w:rPr>
      </w:pPr>
    </w:p>
    <w:p>
      <w:pPr>
        <w:ind w:left="409" w:hanging="244"/>
        <w:spacing w:after="0"/>
        <w:tabs>
          <w:tab w:leader="none" w:pos="409" w:val="left"/>
        </w:tabs>
        <w:numPr>
          <w:ilvl w:val="0"/>
          <w:numId w:val="35"/>
        </w:numPr>
        <w:rPr>
          <w:rFonts w:ascii="Arial" w:cs="Arial" w:eastAsia="Arial" w:hAnsi="Arial"/>
          <w:sz w:val="17"/>
          <w:szCs w:val="17"/>
          <w:color w:val="auto"/>
        </w:rPr>
      </w:pPr>
      <w:r>
        <w:rPr>
          <w:rFonts w:ascii="Arial" w:cs="Arial" w:eastAsia="Arial" w:hAnsi="Arial"/>
          <w:sz w:val="17"/>
          <w:szCs w:val="17"/>
          <w:color w:val="auto"/>
        </w:rPr>
        <w:t>%</w:t>
      </w:r>
    </w:p>
    <w:p>
      <w:pPr>
        <w:spacing w:after="0" w:line="88" w:lineRule="exact"/>
        <w:rPr>
          <w:rFonts w:ascii="Arial" w:cs="Arial" w:eastAsia="Arial" w:hAnsi="Arial"/>
          <w:sz w:val="17"/>
          <w:szCs w:val="17"/>
          <w:color w:val="auto"/>
        </w:rPr>
      </w:pPr>
    </w:p>
    <w:p>
      <w:pPr>
        <w:ind w:left="89"/>
        <w:spacing w:after="0"/>
        <w:rPr>
          <w:rFonts w:ascii="Arial" w:cs="Arial" w:eastAsia="Arial" w:hAnsi="Arial"/>
          <w:sz w:val="17"/>
          <w:szCs w:val="17"/>
          <w:color w:val="auto"/>
        </w:rPr>
      </w:pPr>
      <w:r>
        <w:rPr>
          <w:rFonts w:ascii="Arial" w:cs="Arial" w:eastAsia="Arial" w:hAnsi="Arial"/>
          <w:sz w:val="17"/>
          <w:szCs w:val="17"/>
          <w:color w:val="auto"/>
        </w:rPr>
        <w:t>(76)%</w:t>
      </w:r>
    </w:p>
    <w:p>
      <w:pPr>
        <w:spacing w:after="0" w:line="372" w:lineRule="exact"/>
        <w:rPr>
          <w:sz w:val="20"/>
          <w:szCs w:val="20"/>
          <w:color w:val="auto"/>
        </w:rPr>
      </w:pPr>
    </w:p>
    <w:p>
      <w:pPr>
        <w:ind w:left="409" w:hanging="319"/>
        <w:spacing w:after="0"/>
        <w:tabs>
          <w:tab w:leader="none" w:pos="409" w:val="left"/>
        </w:tabs>
        <w:numPr>
          <w:ilvl w:val="0"/>
          <w:numId w:val="36"/>
        </w:numPr>
        <w:rPr>
          <w:rFonts w:ascii="Arial" w:cs="Arial" w:eastAsia="Arial" w:hAnsi="Arial"/>
          <w:sz w:val="17"/>
          <w:szCs w:val="17"/>
          <w:color w:val="auto"/>
        </w:rPr>
      </w:pP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409" w:hanging="319"/>
        <w:spacing w:after="0"/>
        <w:tabs>
          <w:tab w:leader="none" w:pos="409" w:val="left"/>
        </w:tabs>
        <w:numPr>
          <w:ilvl w:val="0"/>
          <w:numId w:val="37"/>
        </w:numPr>
        <w:rPr>
          <w:rFonts w:ascii="Arial" w:cs="Arial" w:eastAsia="Arial" w:hAnsi="Arial"/>
          <w:sz w:val="17"/>
          <w:szCs w:val="17"/>
          <w:color w:val="auto"/>
        </w:rPr>
      </w:pPr>
      <w:r>
        <w:rPr>
          <w:rFonts w:ascii="Arial" w:cs="Arial" w:eastAsia="Arial" w:hAnsi="Arial"/>
          <w:sz w:val="17"/>
          <w:szCs w:val="17"/>
          <w:color w:val="auto"/>
        </w:rPr>
        <w:t>%</w:t>
      </w:r>
    </w:p>
    <w:p>
      <w:pPr>
        <w:spacing w:after="0" w:line="291" w:lineRule="exact"/>
        <w:rPr>
          <w:sz w:val="20"/>
          <w:szCs w:val="20"/>
          <w:color w:val="auto"/>
        </w:rPr>
      </w:pPr>
    </w:p>
    <w:p>
      <w:pPr>
        <w:ind w:left="409" w:hanging="244"/>
        <w:spacing w:after="0"/>
        <w:tabs>
          <w:tab w:leader="none" w:pos="409" w:val="left"/>
        </w:tabs>
        <w:numPr>
          <w:ilvl w:val="0"/>
          <w:numId w:val="38"/>
        </w:numPr>
        <w:rPr>
          <w:rFonts w:ascii="Arial" w:cs="Arial" w:eastAsia="Arial" w:hAnsi="Arial"/>
          <w:sz w:val="17"/>
          <w:szCs w:val="17"/>
          <w:color w:val="auto"/>
        </w:rPr>
      </w:pPr>
      <w:r>
        <w:rPr>
          <w:rFonts w:ascii="Arial" w:cs="Arial" w:eastAsia="Arial" w:hAnsi="Arial"/>
          <w:sz w:val="17"/>
          <w:szCs w:val="17"/>
          <w:color w:val="auto"/>
        </w:rPr>
        <w:t>%</w:t>
      </w:r>
    </w:p>
    <w:p>
      <w:pPr>
        <w:spacing w:after="0" w:line="290" w:lineRule="exact"/>
        <w:rPr>
          <w:rFonts w:ascii="Arial" w:cs="Arial" w:eastAsia="Arial" w:hAnsi="Arial"/>
          <w:sz w:val="17"/>
          <w:szCs w:val="17"/>
          <w:color w:val="auto"/>
        </w:rPr>
      </w:pPr>
    </w:p>
    <w:p>
      <w:pPr>
        <w:ind w:left="409" w:hanging="244"/>
        <w:spacing w:after="0"/>
        <w:tabs>
          <w:tab w:leader="none" w:pos="409"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05"/>
        </w:trPr>
        <w:tc>
          <w:tcPr>
            <w:tcW w:w="180" w:type="dxa"/>
            <w:vAlign w:val="bottom"/>
          </w:tcPr>
          <w:p>
            <w:pPr>
              <w:spacing w:after="0"/>
              <w:rPr>
                <w:sz w:val="24"/>
                <w:szCs w:val="24"/>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405"/>
        </w:trPr>
        <w:tc>
          <w:tcPr>
            <w:tcW w:w="180" w:type="dxa"/>
            <w:vAlign w:val="bottom"/>
          </w:tcPr>
          <w:p>
            <w:pPr>
              <w:spacing w:after="0"/>
              <w:rPr>
                <w:sz w:val="24"/>
                <w:szCs w:val="24"/>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756"/>
        </w:trPr>
        <w:tc>
          <w:tcPr>
            <w:tcW w:w="180" w:type="dxa"/>
            <w:vAlign w:val="bottom"/>
          </w:tcPr>
          <w:p>
            <w:pPr>
              <w:spacing w:after="0"/>
              <w:rPr>
                <w:sz w:val="24"/>
                <w:szCs w:val="24"/>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86"/>
        </w:trPr>
        <w:tc>
          <w:tcPr>
            <w:tcW w:w="180" w:type="dxa"/>
            <w:vAlign w:val="bottom"/>
          </w:tcPr>
          <w:p>
            <w:pPr>
              <w:spacing w:after="0"/>
              <w:rPr>
                <w:sz w:val="24"/>
                <w:szCs w:val="24"/>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5"/>
        </w:trPr>
        <w:tc>
          <w:tcPr>
            <w:tcW w:w="180" w:type="dxa"/>
            <w:vAlign w:val="bottom"/>
          </w:tcPr>
          <w:p>
            <w:pPr>
              <w:spacing w:after="0"/>
              <w:rPr>
                <w:sz w:val="24"/>
                <w:szCs w:val="24"/>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18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05"/>
        </w:trPr>
        <w:tc>
          <w:tcPr>
            <w:tcW w:w="180" w:type="dxa"/>
            <w:vAlign w:val="bottom"/>
          </w:tcPr>
          <w:p>
            <w:pPr>
              <w:spacing w:after="0"/>
              <w:rPr>
                <w:sz w:val="24"/>
                <w:szCs w:val="24"/>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70"/>
        </w:trPr>
        <w:tc>
          <w:tcPr>
            <w:tcW w:w="18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98"/>
              </w:rPr>
              <w:t>(2,515)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98"/>
              </w:rPr>
              <w:t>(2,515)</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405"/>
        </w:trPr>
        <w:tc>
          <w:tcPr>
            <w:tcW w:w="180" w:type="dxa"/>
            <w:vAlign w:val="bottom"/>
          </w:tcPr>
          <w:p>
            <w:pPr>
              <w:spacing w:after="0"/>
              <w:rPr>
                <w:sz w:val="24"/>
                <w:szCs w:val="24"/>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0"/>
        </w:trPr>
        <w:tc>
          <w:tcPr>
            <w:tcW w:w="18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18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0"/>
        </w:trPr>
        <w:tc>
          <w:tcPr>
            <w:tcW w:w="180" w:type="dxa"/>
            <w:vAlign w:val="bottom"/>
          </w:tcPr>
          <w:p>
            <w:pPr>
              <w:spacing w:after="0"/>
              <w:rPr>
                <w:sz w:val="23"/>
                <w:szCs w:val="23"/>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287 %</w:t>
            </w:r>
          </w:p>
        </w:tc>
      </w:tr>
      <w:tr>
        <w:trPr>
          <w:trHeight w:val="27"/>
        </w:trPr>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98"/>
              </w:rPr>
              <w:t>(2,556)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98"/>
              </w:rPr>
              <w:t>(3,896)</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486"/>
        </w:trPr>
        <w:tc>
          <w:tcPr>
            <w:tcW w:w="180" w:type="dxa"/>
            <w:vAlign w:val="bottom"/>
          </w:tcPr>
          <w:p>
            <w:pPr>
              <w:spacing w:after="0"/>
              <w:rPr>
                <w:sz w:val="24"/>
                <w:szCs w:val="24"/>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1,991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277 %</w:t>
            </w:r>
          </w:p>
        </w:tc>
      </w:tr>
      <w:tr>
        <w:trPr>
          <w:trHeight w:val="27"/>
        </w:trPr>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7"/>
        </w:trPr>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80"/>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70"/>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486"/>
        </w:trPr>
        <w:tc>
          <w:tcPr>
            <w:tcW w:w="180" w:type="dxa"/>
            <w:vAlign w:val="bottom"/>
          </w:tcPr>
          <w:p>
            <w:pPr>
              <w:spacing w:after="0"/>
              <w:rPr>
                <w:sz w:val="24"/>
                <w:szCs w:val="24"/>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486"/>
        </w:trPr>
        <w:tc>
          <w:tcPr>
            <w:tcW w:w="180" w:type="dxa"/>
            <w:vAlign w:val="bottom"/>
          </w:tcPr>
          <w:p>
            <w:pPr>
              <w:spacing w:after="0"/>
              <w:rPr>
                <w:sz w:val="24"/>
                <w:szCs w:val="24"/>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14 %</w:t>
            </w:r>
          </w:p>
        </w:tc>
      </w:tr>
    </w:tbl>
    <w:p>
      <w:pPr>
        <w:spacing w:after="0" w:line="200" w:lineRule="exact"/>
        <w:rPr>
          <w:sz w:val="20"/>
          <w:szCs w:val="20"/>
          <w:color w:val="auto"/>
        </w:rPr>
      </w:pPr>
    </w:p>
    <w:p>
      <w:pPr>
        <w:sectPr>
          <w:pgSz w:w="11900" w:h="16838" w:orient="portrait"/>
          <w:cols w:equalWidth="0" w:num="3">
            <w:col w:w="6160" w:space="451"/>
            <w:col w:w="569" w:space="220"/>
            <w:col w:w="3840"/>
          </w:cols>
          <w:pgMar w:left="320" w:top="125" w:right="339" w:bottom="1440" w:gutter="0" w:footer="0" w:header="0"/>
          <w:type w:val="continuous"/>
        </w:sectPr>
      </w:pPr>
    </w:p>
    <w:p>
      <w:pPr>
        <w:spacing w:after="0" w:line="332" w:lineRule="exact"/>
        <w:rPr>
          <w:sz w:val="20"/>
          <w:szCs w:val="20"/>
          <w:color w:val="auto"/>
        </w:rPr>
      </w:pPr>
    </w:p>
    <w:p>
      <w:pPr>
        <w:ind w:left="140" w:hanging="132"/>
        <w:spacing w:after="0"/>
        <w:tabs>
          <w:tab w:leader="none" w:pos="140"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94" w:lineRule="exact"/>
        <w:rPr>
          <w:sz w:val="20"/>
          <w:szCs w:val="20"/>
          <w:color w:val="auto"/>
        </w:rPr>
      </w:pPr>
    </w:p>
    <w:p>
      <w:pPr>
        <w:ind w:left="660" w:right="280" w:hanging="652"/>
        <w:spacing w:after="0" w:line="269" w:lineRule="auto"/>
        <w:tabs>
          <w:tab w:leader="none" w:pos="648" w:val="left"/>
        </w:tabs>
        <w:numPr>
          <w:ilvl w:val="0"/>
          <w:numId w:val="41"/>
        </w:numPr>
        <w:rPr>
          <w:rFonts w:ascii="Arial" w:cs="Arial" w:eastAsia="Arial" w:hAnsi="Arial"/>
          <w:sz w:val="21"/>
          <w:szCs w:val="21"/>
          <w:color w:val="auto"/>
          <w:vertAlign w:val="superscript"/>
        </w:rPr>
      </w:pPr>
      <w:r>
        <w:rPr>
          <w:rFonts w:ascii="Arial" w:cs="Arial" w:eastAsia="Arial" w:hAnsi="Arial"/>
          <w:sz w:val="16"/>
          <w:szCs w:val="16"/>
          <w:color w:val="auto"/>
        </w:rPr>
        <w:t>Segment Adjusted EBITDA is the measure of segment performance that is utilized by our CODM to assess performance and allocate resources among our operating segments. This measure is adjusted for certain items, including those that our CODM believes impact comparability of results across periods. See Note 13 to our Condensed Consolidated Financial Statements for additional discussion of such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w:t>
      </w:r>
    </w:p>
    <w:p>
      <w:pPr>
        <w:spacing w:after="0" w:line="197"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primary additional measure used by management is earnings before interest, taxes, depreciation and amortization (including our proportionate share of depreciation and amortization of unconsolidated entities), gains and losses on asset sales and asset impairments, goodwill impairment losses and gains on and impairments of investments in unconsolidated entities, adjusted for certain selected items impacting comparability (“Adjusted EBITDA”).</w:t>
      </w:r>
    </w:p>
    <w:p>
      <w:pPr>
        <w:spacing w:after="0" w:line="14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is reconciled to Net Income/(Loss), the most directly comparable measure as reported in accordance with GAAP, and should be viewed in addition to, and not in lieu of, our Condensed Consolidated Financial Statements and accompanying notes.</w:t>
      </w:r>
    </w:p>
    <w:p>
      <w:pPr>
        <w:spacing w:after="0" w:line="21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Management believes that the presentation of such additional financial measure provides useful information to investors regarding our performance and results of operations because this measure, when used to supplement related GAAP financial measures, (i) provides additional information about our core operating performance, (ii) provides investors with the same financial analytical framework upon which management bases financial, operational, compensation and planning/budgeting decisions and (iii) presents measures that investors, rating agencies and debt holders have indicated are useful in assessing us and our results of operations. This non-GAAP measure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This measure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0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reconciliation of this non-GAAP financial performance measure from Net Income/(Loss)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40" w:type="dxa"/>
            <w:vAlign w:val="bottom"/>
            <w:gridSpan w:val="3"/>
            <w:vMerge w:val="restart"/>
          </w:tcPr>
          <w:p>
            <w:pPr>
              <w:ind w:left="400"/>
              <w:spacing w:after="0"/>
              <w:rPr>
                <w:sz w:val="20"/>
                <w:szCs w:val="20"/>
                <w:color w:val="auto"/>
              </w:rPr>
            </w:pPr>
            <w:r>
              <w:rPr>
                <w:rFonts w:ascii="Arial" w:cs="Arial" w:eastAsia="Arial" w:hAnsi="Arial"/>
                <w:sz w:val="18"/>
                <w:szCs w:val="18"/>
                <w:color w:val="auto"/>
                <w:w w:val="87"/>
              </w:rPr>
              <w:t>Variance</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1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(2,556)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7"/>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8"/>
              </w:rPr>
              <w:t>(3,896)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(291)%</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Add/(Subtract):</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3400" w:type="dxa"/>
            <w:vAlign w:val="bottom"/>
          </w:tcPr>
          <w:p>
            <w:pPr>
              <w:ind w:left="120"/>
              <w:spacing w:after="0"/>
              <w:rPr>
                <w:sz w:val="20"/>
                <w:szCs w:val="20"/>
                <w:color w:val="auto"/>
              </w:rPr>
            </w:pPr>
            <w:r>
              <w:rPr>
                <w:rFonts w:ascii="Arial" w:cs="Arial" w:eastAsia="Arial" w:hAnsi="Arial"/>
                <w:sz w:val="18"/>
                <w:szCs w:val="18"/>
                <w:color w:val="auto"/>
              </w:rPr>
              <w:t>Income tax expense/(benefit)</w:t>
            </w:r>
          </w:p>
        </w:tc>
        <w:tc>
          <w:tcPr>
            <w:tcW w:w="18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(133)%</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(287)%</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3400" w:type="dxa"/>
            <w:vAlign w:val="bottom"/>
          </w:tcPr>
          <w:p>
            <w:pPr>
              <w:ind w:left="120"/>
              <w:spacing w:after="0"/>
              <w:rPr>
                <w:sz w:val="20"/>
                <w:szCs w:val="20"/>
                <w:color w:val="auto"/>
              </w:rPr>
            </w:pPr>
            <w:r>
              <w:rPr>
                <w:rFonts w:ascii="Arial" w:cs="Arial" w:eastAsia="Arial" w:hAnsi="Arial"/>
                <w:sz w:val="18"/>
                <w:szCs w:val="18"/>
                <w:color w:val="auto"/>
              </w:rPr>
              <w:t>(Gains)/losses on asset sales and asset</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20"/>
              <w:spacing w:after="0"/>
              <w:rPr>
                <w:sz w:val="20"/>
                <w:szCs w:val="20"/>
                <w:color w:val="auto"/>
              </w:rPr>
            </w:pPr>
            <w:r>
              <w:rPr>
                <w:rFonts w:ascii="Arial" w:cs="Arial" w:eastAsia="Arial" w:hAnsi="Arial"/>
                <w:sz w:val="18"/>
                <w:szCs w:val="18"/>
                <w:color w:val="auto"/>
              </w:rPr>
              <w:t>impairments, net</w:t>
            </w:r>
          </w:p>
        </w:tc>
        <w:tc>
          <w:tcPr>
            <w:tcW w:w="18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75 %</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Goodwill impairment losses</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right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400" w:type="dxa"/>
            <w:vAlign w:val="bottom"/>
          </w:tcPr>
          <w:p>
            <w:pPr>
              <w:ind w:left="120"/>
              <w:spacing w:after="0"/>
              <w:rPr>
                <w:sz w:val="20"/>
                <w:szCs w:val="20"/>
                <w:color w:val="auto"/>
              </w:rPr>
            </w:pPr>
            <w:r>
              <w:rPr>
                <w:rFonts w:ascii="Arial" w:cs="Arial" w:eastAsia="Arial" w:hAnsi="Arial"/>
                <w:sz w:val="18"/>
                <w:szCs w:val="18"/>
                <w:color w:val="auto"/>
              </w:rPr>
              <w:t>(Gain on)/impairment of investments in</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20"/>
              <w:spacing w:after="0"/>
              <w:rPr>
                <w:sz w:val="20"/>
                <w:szCs w:val="20"/>
                <w:color w:val="auto"/>
              </w:rPr>
            </w:pPr>
            <w:r>
              <w:rPr>
                <w:rFonts w:ascii="Arial" w:cs="Arial" w:eastAsia="Arial" w:hAnsi="Arial"/>
                <w:sz w:val="18"/>
                <w:szCs w:val="18"/>
                <w:color w:val="auto"/>
              </w:rPr>
              <w:t>unconsolidated entities, net</w:t>
            </w:r>
          </w:p>
        </w:tc>
        <w:tc>
          <w:tcPr>
            <w:tcW w:w="180" w:type="dxa"/>
            <w:vAlign w:val="bottom"/>
          </w:tcPr>
          <w:p>
            <w:pPr>
              <w:spacing w:after="0"/>
              <w:rPr>
                <w:sz w:val="20"/>
                <w:szCs w:val="20"/>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Depreciation and amortization of</w:t>
            </w: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unconsolidated entities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120"/>
              <w:spacing w:after="0"/>
              <w:rPr>
                <w:sz w:val="20"/>
                <w:szCs w:val="20"/>
                <w:color w:val="auto"/>
              </w:rPr>
            </w:pPr>
            <w:r>
              <w:rPr>
                <w:rFonts w:ascii="Arial" w:cs="Arial" w:eastAsia="Arial" w:hAnsi="Arial"/>
                <w:sz w:val="18"/>
                <w:szCs w:val="18"/>
                <w:color w:val="auto"/>
              </w:rPr>
              <w:t>Selected Items Impacting Comparability:</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4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9"/>
              </w:rPr>
              <w:t>(Gains)/losses from derivative activities,</w:t>
            </w: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w w:val="91"/>
              </w:rPr>
              <w:t xml:space="preserve">net of inventory valuation adjustments </w:t>
            </w:r>
            <w:r>
              <w:rPr>
                <w:rFonts w:ascii="Arial" w:cs="Arial" w:eastAsia="Arial" w:hAnsi="Arial"/>
                <w:sz w:val="23"/>
                <w:szCs w:val="23"/>
                <w:color w:val="auto"/>
                <w:w w:val="91"/>
                <w:vertAlign w:val="superscript"/>
              </w:rPr>
              <w:t>(2)</w:t>
            </w: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400" w:type="dxa"/>
            <w:vAlign w:val="bottom"/>
          </w:tcPr>
          <w:p>
            <w:pPr>
              <w:ind w:left="240"/>
              <w:spacing w:after="0" w:line="182" w:lineRule="exact"/>
              <w:rPr>
                <w:sz w:val="20"/>
                <w:szCs w:val="20"/>
                <w:color w:val="auto"/>
              </w:rPr>
            </w:pPr>
            <w:r>
              <w:rPr>
                <w:rFonts w:ascii="Arial" w:cs="Arial" w:eastAsia="Arial" w:hAnsi="Arial"/>
                <w:sz w:val="18"/>
                <w:szCs w:val="18"/>
                <w:color w:val="auto"/>
                <w:w w:val="96"/>
              </w:rPr>
              <w:t>Long-term inventory costing adjustments</w:t>
            </w:r>
          </w:p>
        </w:tc>
        <w:tc>
          <w:tcPr>
            <w:tcW w:w="180" w:type="dxa"/>
            <w:vAlign w:val="bottom"/>
          </w:tcPr>
          <w:p>
            <w:pPr>
              <w:spacing w:after="0"/>
              <w:rPr>
                <w:sz w:val="15"/>
                <w:szCs w:val="15"/>
                <w:color w:val="auto"/>
              </w:rPr>
            </w:pPr>
          </w:p>
        </w:tc>
        <w:tc>
          <w:tcPr>
            <w:tcW w:w="660" w:type="dxa"/>
            <w:vAlign w:val="bottom"/>
            <w:vMerge w:val="restart"/>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ind w:right="5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restart"/>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ind w:right="5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ind w:right="7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1"/>
        </w:trPr>
        <w:tc>
          <w:tcPr>
            <w:tcW w:w="3400" w:type="dxa"/>
            <w:vAlign w:val="bottom"/>
          </w:tcPr>
          <w:p>
            <w:pPr>
              <w:ind w:left="400"/>
              <w:spacing w:after="0"/>
              <w:rPr>
                <w:sz w:val="20"/>
                <w:szCs w:val="20"/>
                <w:color w:val="auto"/>
              </w:rPr>
            </w:pPr>
            <w:r>
              <w:rPr>
                <w:rFonts w:ascii="Arial" w:cs="Arial" w:eastAsia="Arial" w:hAnsi="Arial"/>
                <w:sz w:val="12"/>
                <w:szCs w:val="12"/>
                <w:color w:val="auto"/>
              </w:rPr>
              <w:t>(3)</w:t>
            </w: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400" w:type="dxa"/>
            <w:vAlign w:val="bottom"/>
            <w:shd w:val="clear" w:color="auto" w:fill="CCEEFF"/>
          </w:tcPr>
          <w:p>
            <w:pPr>
              <w:ind w:left="240"/>
              <w:spacing w:after="0" w:line="179" w:lineRule="exact"/>
              <w:rPr>
                <w:sz w:val="20"/>
                <w:szCs w:val="20"/>
                <w:color w:val="auto"/>
              </w:rPr>
            </w:pPr>
            <w:r>
              <w:rPr>
                <w:rFonts w:ascii="Arial" w:cs="Arial" w:eastAsia="Arial" w:hAnsi="Arial"/>
                <w:sz w:val="18"/>
                <w:szCs w:val="18"/>
                <w:color w:val="auto"/>
              </w:rPr>
              <w:t>Deficiencies under minimum volume</w:t>
            </w: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commitments, net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w w:val="94"/>
              </w:rPr>
              <w:t xml:space="preserve">Equity-indexed compensation expense </w:t>
            </w:r>
            <w:r>
              <w:rPr>
                <w:rFonts w:ascii="Arial" w:cs="Arial" w:eastAsia="Arial" w:hAnsi="Arial"/>
                <w:sz w:val="23"/>
                <w:szCs w:val="23"/>
                <w:color w:val="auto"/>
                <w:w w:val="94"/>
                <w:vertAlign w:val="superscript"/>
              </w:rPr>
              <w:t>(5)</w:t>
            </w:r>
          </w:p>
        </w:tc>
        <w:tc>
          <w:tcPr>
            <w:tcW w:w="180" w:type="dxa"/>
            <w:vAlign w:val="bottom"/>
          </w:tcPr>
          <w:p>
            <w:pPr>
              <w:spacing w:after="0"/>
              <w:rPr>
                <w:sz w:val="23"/>
                <w:szCs w:val="23"/>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4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Net (gain)/loss on foreign currency</w:t>
            </w:r>
          </w:p>
        </w:tc>
        <w:tc>
          <w:tcPr>
            <w:tcW w:w="1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3"/>
                <w:szCs w:val="23"/>
                <w:color w:val="auto"/>
                <w:vertAlign w:val="superscript"/>
              </w:rPr>
              <w:t>(6)</w:t>
            </w:r>
          </w:p>
        </w:tc>
        <w:tc>
          <w:tcPr>
            <w:tcW w:w="18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(7)</w:t>
            </w:r>
          </w:p>
        </w:tc>
        <w:tc>
          <w:tcPr>
            <w:tcW w:w="180" w:type="dxa"/>
            <w:vAlign w:val="bottom"/>
          </w:tcPr>
          <w:p>
            <w:pPr>
              <w:spacing w:after="0"/>
              <w:rPr>
                <w:sz w:val="23"/>
                <w:szCs w:val="2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 xml:space="preserve">Significant acquisition-related expenses </w:t>
            </w:r>
            <w:r>
              <w:rPr>
                <w:rFonts w:ascii="Arial" w:cs="Arial" w:eastAsia="Arial" w:hAnsi="Arial"/>
                <w:sz w:val="23"/>
                <w:szCs w:val="23"/>
                <w:color w:val="auto"/>
                <w:w w:val="92"/>
                <w:vertAlign w:val="superscript"/>
              </w:rPr>
              <w:t>(8)</w:t>
            </w:r>
          </w:p>
        </w:tc>
        <w:tc>
          <w:tcPr>
            <w:tcW w:w="18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400" w:type="dxa"/>
            <w:vAlign w:val="bottom"/>
          </w:tcPr>
          <w:p>
            <w:pPr>
              <w:ind w:left="120"/>
              <w:spacing w:after="0"/>
              <w:rPr>
                <w:sz w:val="20"/>
                <w:szCs w:val="20"/>
                <w:color w:val="auto"/>
              </w:rPr>
            </w:pPr>
            <w:r>
              <w:rPr>
                <w:rFonts w:ascii="Arial" w:cs="Arial" w:eastAsia="Arial" w:hAnsi="Arial"/>
                <w:sz w:val="18"/>
                <w:szCs w:val="18"/>
                <w:color w:val="auto"/>
                <w:w w:val="99"/>
              </w:rPr>
              <w:t>Selected Items Impacting Comparability -</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20"/>
              <w:spacing w:after="0"/>
              <w:rPr>
                <w:sz w:val="20"/>
                <w:szCs w:val="20"/>
                <w:color w:val="auto"/>
              </w:rPr>
            </w:pPr>
            <w:r>
              <w:rPr>
                <w:rFonts w:ascii="Arial" w:cs="Arial" w:eastAsia="Arial" w:hAnsi="Arial"/>
                <w:sz w:val="18"/>
                <w:szCs w:val="18"/>
                <w:color w:val="auto"/>
              </w:rPr>
              <w:t>Segment Adjusted EBITDA</w:t>
            </w:r>
          </w:p>
        </w:tc>
        <w:tc>
          <w:tcPr>
            <w:tcW w:w="180" w:type="dxa"/>
            <w:vAlign w:val="bottom"/>
          </w:tcPr>
          <w:p>
            <w:pPr>
              <w:spacing w:after="0"/>
              <w:rPr>
                <w:sz w:val="20"/>
                <w:szCs w:val="20"/>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Gains from derivative activities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400" w:type="dxa"/>
            <w:vAlign w:val="bottom"/>
          </w:tcPr>
          <w:p>
            <w:pPr>
              <w:ind w:left="240"/>
              <w:spacing w:after="0" w:line="176" w:lineRule="exact"/>
              <w:rPr>
                <w:sz w:val="20"/>
                <w:szCs w:val="20"/>
                <w:color w:val="auto"/>
              </w:rPr>
            </w:pPr>
            <w:r>
              <w:rPr>
                <w:rFonts w:ascii="Arial" w:cs="Arial" w:eastAsia="Arial" w:hAnsi="Arial"/>
                <w:sz w:val="18"/>
                <w:szCs w:val="18"/>
                <w:color w:val="auto"/>
              </w:rPr>
              <w:t>Net (gain)/loss on foreign currency</w:t>
            </w:r>
          </w:p>
        </w:tc>
        <w:tc>
          <w:tcPr>
            <w:tcW w:w="180" w:type="dxa"/>
            <w:vAlign w:val="bottom"/>
          </w:tcPr>
          <w:p>
            <w:pPr>
              <w:spacing w:after="0"/>
              <w:rPr>
                <w:sz w:val="15"/>
                <w:szCs w:val="15"/>
                <w:color w:val="auto"/>
              </w:rPr>
            </w:pPr>
          </w:p>
        </w:tc>
        <w:tc>
          <w:tcPr>
            <w:tcW w:w="660" w:type="dxa"/>
            <w:vAlign w:val="bottom"/>
            <w:vMerge w:val="restart"/>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restart"/>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ind w:right="5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3"/>
                <w:szCs w:val="23"/>
                <w:color w:val="auto"/>
                <w:vertAlign w:val="superscript"/>
              </w:rPr>
              <w:t>(6)</w:t>
            </w: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Net gain on early repayment of senior</w:t>
            </w: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notes </w:t>
            </w:r>
            <w:r>
              <w:rPr>
                <w:rFonts w:ascii="Arial" w:cs="Arial" w:eastAsia="Arial" w:hAnsi="Arial"/>
                <w:sz w:val="23"/>
                <w:szCs w:val="23"/>
                <w:color w:val="auto"/>
                <w:vertAlign w:val="superscript"/>
              </w:rPr>
              <w:t>(9)</w:t>
            </w: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400" w:type="dxa"/>
            <w:vAlign w:val="bottom"/>
          </w:tcPr>
          <w:p>
            <w:pPr>
              <w:ind w:left="140"/>
              <w:spacing w:after="0" w:line="156" w:lineRule="exact"/>
              <w:rPr>
                <w:sz w:val="20"/>
                <w:szCs w:val="20"/>
                <w:color w:val="auto"/>
              </w:rPr>
            </w:pPr>
            <w:r>
              <w:rPr>
                <w:rFonts w:ascii="Arial" w:cs="Arial" w:eastAsia="Arial" w:hAnsi="Arial"/>
                <w:sz w:val="18"/>
                <w:szCs w:val="18"/>
                <w:color w:val="auto"/>
                <w:w w:val="98"/>
              </w:rPr>
              <w:t>Selected Items Impacting Comparability -</w:t>
            </w: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140"/>
              <w:spacing w:after="0" w:line="176" w:lineRule="exact"/>
              <w:rPr>
                <w:sz w:val="20"/>
                <w:szCs w:val="20"/>
                <w:color w:val="auto"/>
              </w:rPr>
            </w:pPr>
            <w:r>
              <w:rPr>
                <w:rFonts w:ascii="Arial" w:cs="Arial" w:eastAsia="Arial" w:hAnsi="Arial"/>
                <w:sz w:val="18"/>
                <w:szCs w:val="18"/>
                <w:color w:val="auto"/>
              </w:rPr>
              <w:t>Adjusted</w:t>
            </w:r>
          </w:p>
        </w:tc>
        <w:tc>
          <w:tcPr>
            <w:tcW w:w="180" w:type="dxa"/>
            <w:vAlign w:val="bottom"/>
          </w:tcPr>
          <w:p>
            <w:pPr>
              <w:spacing w:after="0"/>
              <w:rPr>
                <w:sz w:val="15"/>
                <w:szCs w:val="15"/>
                <w:color w:val="auto"/>
              </w:rPr>
            </w:pPr>
          </w:p>
        </w:tc>
        <w:tc>
          <w:tcPr>
            <w:tcW w:w="660" w:type="dxa"/>
            <w:vAlign w:val="bottom"/>
            <w:vMerge w:val="restart"/>
          </w:tcPr>
          <w:p>
            <w:pPr>
              <w:jc w:val="right"/>
              <w:ind w:right="5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ind w:right="51"/>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restart"/>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ind w:right="52"/>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(10)</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783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1,316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7"/>
              </w:rPr>
              <w:t>1,643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60" w:hanging="152"/>
        <w:spacing w:after="0"/>
        <w:tabs>
          <w:tab w:leader="none" w:pos="16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56" w:lineRule="exact"/>
        <w:rPr>
          <w:sz w:val="20"/>
          <w:szCs w:val="20"/>
          <w:color w:val="auto"/>
        </w:rPr>
      </w:pPr>
    </w:p>
    <w:p>
      <w:pPr>
        <w:ind w:left="660" w:right="400" w:hanging="652"/>
        <w:spacing w:after="0" w:line="228" w:lineRule="auto"/>
        <w:tabs>
          <w:tab w:leader="none" w:pos="648"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Over the past several years, we have increased our participation in strategic pipeline joint ventures accounted for under the equity method of accounting. We exclude our proportionate share of the depreciation and amortization expense of such unconsolidated entities when reviewing Adjusted EBITDA, similar to our consolidated assets.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hanging="11"/>
        <w:spacing w:after="0" w:line="271" w:lineRule="auto"/>
        <w:rPr>
          <w:sz w:val="20"/>
          <w:szCs w:val="20"/>
          <w:color w:val="auto"/>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See Note 10 to our Condensed Consolidated Financial Statements for a comprehensive discussion regarding our derivatives and risk management activities.</w:t>
      </w:r>
    </w:p>
    <w:p>
      <w:pPr>
        <w:spacing w:after="0" w:line="70" w:lineRule="exact"/>
        <w:rPr>
          <w:sz w:val="20"/>
          <w:szCs w:val="20"/>
          <w:color w:val="auto"/>
        </w:rPr>
      </w:pPr>
    </w:p>
    <w:p>
      <w:pPr>
        <w:ind w:left="20" w:right="40" w:hanging="11"/>
        <w:spacing w:after="0" w:line="254" w:lineRule="auto"/>
        <w:rPr>
          <w:sz w:val="20"/>
          <w:szCs w:val="20"/>
          <w:color w:val="auto"/>
        </w:rPr>
      </w:pPr>
      <w:r>
        <w:rPr>
          <w:rFonts w:ascii="Arial" w:cs="Arial" w:eastAsia="Arial" w:hAnsi="Arial"/>
          <w:sz w:val="18"/>
          <w:szCs w:val="18"/>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5 to our Consolidated Financial Statements included in Part IV of our 2019 Annual Report on Form 10-K for additional inventory disclosures.</w:t>
      </w:r>
    </w:p>
    <w:p>
      <w:pPr>
        <w:spacing w:after="0" w:line="87" w:lineRule="exact"/>
        <w:rPr>
          <w:sz w:val="20"/>
          <w:szCs w:val="20"/>
          <w:color w:val="auto"/>
        </w:rPr>
      </w:pPr>
    </w:p>
    <w:p>
      <w:pPr>
        <w:ind w:left="20" w:right="40" w:hanging="11"/>
        <w:spacing w:after="0" w:line="269" w:lineRule="auto"/>
        <w:rPr>
          <w:sz w:val="20"/>
          <w:szCs w:val="20"/>
          <w:color w:val="auto"/>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74" w:lineRule="exact"/>
        <w:rPr>
          <w:sz w:val="20"/>
          <w:szCs w:val="20"/>
          <w:color w:val="auto"/>
        </w:rPr>
      </w:pPr>
    </w:p>
    <w:p>
      <w:pPr>
        <w:ind w:left="20" w:right="80" w:hanging="11"/>
        <w:spacing w:after="0" w:line="254" w:lineRule="auto"/>
        <w:rPr>
          <w:sz w:val="20"/>
          <w:szCs w:val="20"/>
          <w:color w:val="auto"/>
        </w:rPr>
      </w:pPr>
      <w:r>
        <w:rPr>
          <w:rFonts w:ascii="Arial" w:cs="Arial" w:eastAsia="Arial" w:hAnsi="Arial"/>
          <w:sz w:val="18"/>
          <w:szCs w:val="18"/>
          <w:color w:val="auto"/>
        </w:rPr>
        <w:t>Our total equity-indexed compensation expense includes expense associated with awards that will or may be settled in PAA common units and awards that will or may be settled in cash. The awards that will or may be settled in PAA common units are included in PAA’s diluted net income per unit calculation when the applicable performance criteria have been met. We consider the compensation expense associated with these awards as a selected item impacting comparability as the dilutive impact of the outstanding awards is included in PAA’s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18 to our Consolidated Financial Statements included in Part IV of our 2019 Annual Report on Form 10-K for a comprehensive discussion regarding our equity-indexed compensation plans.</w:t>
      </w:r>
    </w:p>
    <w:p>
      <w:pPr>
        <w:spacing w:after="0" w:line="84" w:lineRule="exact"/>
        <w:rPr>
          <w:sz w:val="20"/>
          <w:szCs w:val="20"/>
          <w:color w:val="auto"/>
        </w:rPr>
      </w:pPr>
    </w:p>
    <w:p>
      <w:pPr>
        <w:ind w:left="20" w:right="20" w:hanging="11"/>
        <w:spacing w:after="0" w:line="301" w:lineRule="auto"/>
        <w:rPr>
          <w:sz w:val="20"/>
          <w:szCs w:val="20"/>
          <w:color w:val="auto"/>
        </w:rPr>
      </w:pPr>
      <w:r>
        <w:rPr>
          <w:rFonts w:ascii="Arial" w:cs="Arial" w:eastAsia="Arial" w:hAnsi="Arial"/>
          <w:sz w:val="16"/>
          <w:szCs w:val="16"/>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 See Note 10 to our Condensed Consolidated Financial Statements for discussion regarding our currency exchange rate risk hedging activities.</w:t>
      </w:r>
    </w:p>
    <w:p>
      <w:pPr>
        <w:spacing w:after="0" w:line="49" w:lineRule="exact"/>
        <w:rPr>
          <w:sz w:val="20"/>
          <w:szCs w:val="20"/>
          <w:color w:val="auto"/>
        </w:rPr>
      </w:pPr>
    </w:p>
    <w:p>
      <w:pPr>
        <w:ind w:left="20" w:right="100" w:hanging="11"/>
        <w:spacing w:after="0" w:line="263" w:lineRule="auto"/>
        <w:rPr>
          <w:sz w:val="20"/>
          <w:szCs w:val="20"/>
          <w:color w:val="auto"/>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12 to our Condensed Consolidated Financial Statements for additional information regarding the Line 901 incident.</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Includes acquisition-related expenses associated with the Felix Midstream acquisition in February 2020. See Note 14 for additional information.</w:t>
      </w:r>
    </w:p>
    <w:p>
      <w:pPr>
        <w:spacing w:after="0" w:line="140" w:lineRule="exact"/>
        <w:rPr>
          <w:sz w:val="20"/>
          <w:szCs w:val="20"/>
          <w:color w:val="auto"/>
        </w:rPr>
      </w:pPr>
    </w:p>
    <w:p>
      <w:pPr>
        <w:ind w:left="20" w:right="520" w:hanging="11"/>
        <w:spacing w:after="0" w:line="277" w:lineRule="auto"/>
        <w:rPr>
          <w:sz w:val="20"/>
          <w:szCs w:val="20"/>
          <w:color w:val="auto"/>
        </w:rPr>
      </w:pPr>
      <w:r>
        <w:rPr>
          <w:rFonts w:ascii="Arial" w:cs="Arial" w:eastAsia="Arial" w:hAnsi="Arial"/>
          <w:sz w:val="18"/>
          <w:szCs w:val="18"/>
          <w:color w:val="auto"/>
        </w:rPr>
        <w:t>Includes net gains recognized in connection with the PAA’s repurchase of its outstanding senior notes on the open market. See Note 8 to our Condensed Consolidated Financial Statements for additional information.</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460" w:hanging="652"/>
        <w:spacing w:after="0" w:line="267" w:lineRule="auto"/>
        <w:tabs>
          <w:tab w:leader="none" w:pos="652" w:val="left"/>
        </w:tabs>
        <w:numPr>
          <w:ilvl w:val="0"/>
          <w:numId w:val="44"/>
        </w:numPr>
        <w:rPr>
          <w:rFonts w:ascii="Arial" w:cs="Arial" w:eastAsia="Arial" w:hAnsi="Arial"/>
          <w:sz w:val="21"/>
          <w:szCs w:val="21"/>
          <w:color w:val="auto"/>
          <w:vertAlign w:val="superscript"/>
        </w:rPr>
      </w:pPr>
      <w:r>
        <w:rPr>
          <w:rFonts w:ascii="Arial" w:cs="Arial" w:eastAsia="Arial" w:hAnsi="Arial"/>
          <w:sz w:val="16"/>
          <w:szCs w:val="16"/>
          <w:color w:val="auto"/>
        </w:rPr>
        <w:t>Other income/(expense), net per our Condensed Consolidated Statements of Operations, adjusted for selected items impacting comparability (“Adjusted Other income/(expense), net”) is included in Adjusted EBITDA and excluded from Segment Adjusted EBITDA.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13 to our Condensed Consolidated Financial Statements for a reconciliation of Segment Adjusted EBITDA to Net income/(loss) attributable to PAGP.</w:t>
      </w:r>
    </w:p>
    <w:p>
      <w:pPr>
        <w:spacing w:after="0" w:line="20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and trucks. The Transportation segment generates revenue through a combination of tariffs, pipeline capacity agreements and other transportation fees. 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9"/>
                <w:szCs w:val="9"/>
                <w:b w:val="1"/>
                <w:bCs w:val="1"/>
                <w:color w:val="auto"/>
              </w:rPr>
              <w:t>(1)</w:t>
            </w:r>
          </w:p>
        </w:tc>
        <w:tc>
          <w:tcPr>
            <w:tcW w:w="180" w:type="dxa"/>
            <w:vAlign w:val="bottom"/>
          </w:tcPr>
          <w:p>
            <w:pPr>
              <w:spacing w:after="0"/>
              <w:rPr>
                <w:sz w:val="14"/>
                <w:szCs w:val="14"/>
                <w:color w:val="auto"/>
              </w:rPr>
            </w:pPr>
          </w:p>
        </w:tc>
        <w:tc>
          <w:tcPr>
            <w:tcW w:w="17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Variance</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06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9"/>
              </w:rPr>
              <w:t>Variance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80" w:type="dxa"/>
            <w:vAlign w:val="bottom"/>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7"/>
              </w:rPr>
              <w:t>1,115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Purchases and related costs</w:t>
            </w:r>
          </w:p>
        </w:tc>
        <w:tc>
          <w:tcPr>
            <w:tcW w:w="18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8 %</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183"/>
        </w:trPr>
        <w:tc>
          <w:tcPr>
            <w:tcW w:w="3480" w:type="dxa"/>
            <w:vAlign w:val="bottom"/>
            <w:gridSpan w:val="2"/>
          </w:tcPr>
          <w:p>
            <w:pPr>
              <w:ind w:left="20"/>
              <w:spacing w:after="0" w:line="182" w:lineRule="exact"/>
              <w:rPr>
                <w:sz w:val="20"/>
                <w:szCs w:val="20"/>
                <w:color w:val="auto"/>
              </w:rPr>
            </w:pPr>
            <w:r>
              <w:rPr>
                <w:rFonts w:ascii="Arial" w:cs="Arial" w:eastAsia="Arial" w:hAnsi="Arial"/>
                <w:sz w:val="18"/>
                <w:szCs w:val="18"/>
                <w:color w:val="auto"/>
                <w:w w:val="92"/>
              </w:rPr>
              <w:t>Segment general and administrative expenses</w:t>
            </w:r>
          </w:p>
        </w:tc>
        <w:tc>
          <w:tcPr>
            <w:tcW w:w="180" w:type="dxa"/>
            <w:vAlign w:val="bottom"/>
          </w:tcPr>
          <w:p>
            <w:pPr>
              <w:spacing w:after="0"/>
              <w:rPr>
                <w:sz w:val="15"/>
                <w:szCs w:val="15"/>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11 %</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151"/>
        </w:trPr>
        <w:tc>
          <w:tcPr>
            <w:tcW w:w="3360" w:type="dxa"/>
            <w:vAlign w:val="bottom"/>
          </w:tcPr>
          <w:p>
            <w:pPr>
              <w:ind w:left="2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 of</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gridSpan w:val="2"/>
          </w:tcPr>
          <w:p>
            <w:pPr>
              <w:ind w:left="120"/>
              <w:spacing w:after="0"/>
              <w:rPr>
                <w:sz w:val="20"/>
                <w:szCs w:val="20"/>
                <w:color w:val="auto"/>
              </w:rPr>
            </w:pPr>
            <w:r>
              <w:rPr>
                <w:rFonts w:ascii="Arial" w:cs="Arial" w:eastAsia="Arial" w:hAnsi="Arial"/>
                <w:sz w:val="18"/>
                <w:szCs w:val="18"/>
                <w:color w:val="auto"/>
              </w:rPr>
              <w:t>unconsolidated entities</w:t>
            </w:r>
          </w:p>
        </w:tc>
        <w:tc>
          <w:tcPr>
            <w:tcW w:w="180" w:type="dxa"/>
            <w:vAlign w:val="bottom"/>
          </w:tcPr>
          <w:p>
            <w:pPr>
              <w:spacing w:after="0"/>
              <w:rPr>
                <w:sz w:val="20"/>
                <w:szCs w:val="20"/>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7 %</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Inventory valuation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gridSpan w:val="2"/>
          </w:tcPr>
          <w:p>
            <w:pPr>
              <w:ind w:left="120"/>
              <w:spacing w:after="0"/>
              <w:rPr>
                <w:sz w:val="20"/>
                <w:szCs w:val="20"/>
                <w:color w:val="auto"/>
              </w:rPr>
            </w:pPr>
            <w:r>
              <w:rPr>
                <w:rFonts w:ascii="Arial" w:cs="Arial" w:eastAsia="Arial" w:hAnsi="Arial"/>
                <w:sz w:val="18"/>
                <w:szCs w:val="18"/>
                <w:color w:val="auto"/>
              </w:rPr>
              <w:t>Deficiencies under minimum volume</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gridSpan w:val="2"/>
          </w:tcPr>
          <w:p>
            <w:pPr>
              <w:ind w:left="120"/>
              <w:spacing w:after="0"/>
              <w:rPr>
                <w:sz w:val="20"/>
                <w:szCs w:val="20"/>
                <w:color w:val="auto"/>
              </w:rPr>
            </w:pPr>
            <w:r>
              <w:rPr>
                <w:rFonts w:ascii="Arial" w:cs="Arial" w:eastAsia="Arial" w:hAnsi="Arial"/>
                <w:sz w:val="18"/>
                <w:szCs w:val="18"/>
                <w:color w:val="auto"/>
              </w:rPr>
              <w:t>commitments, net</w:t>
            </w:r>
          </w:p>
        </w:tc>
        <w:tc>
          <w:tcPr>
            <w:tcW w:w="180" w:type="dxa"/>
            <w:vAlign w:val="bottom"/>
          </w:tcPr>
          <w:p>
            <w:pPr>
              <w:spacing w:after="0"/>
              <w:rPr>
                <w:sz w:val="20"/>
                <w:szCs w:val="20"/>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80" w:type="dxa"/>
            <w:vAlign w:val="bottom"/>
            <w:gridSpan w:val="2"/>
          </w:tcPr>
          <w:p>
            <w:pPr>
              <w:ind w:left="120"/>
              <w:spacing w:after="0"/>
              <w:rPr>
                <w:sz w:val="20"/>
                <w:szCs w:val="20"/>
                <w:color w:val="auto"/>
              </w:rPr>
            </w:pPr>
            <w:r>
              <w:rPr>
                <w:rFonts w:ascii="Arial" w:cs="Arial" w:eastAsia="Arial" w:hAnsi="Arial"/>
                <w:sz w:val="18"/>
                <w:szCs w:val="18"/>
                <w:color w:val="auto"/>
              </w:rPr>
              <w:t>Line 901 incident</w:t>
            </w:r>
          </w:p>
        </w:tc>
        <w:tc>
          <w:tcPr>
            <w:tcW w:w="180" w:type="dxa"/>
            <w:vAlign w:val="bottom"/>
          </w:tcPr>
          <w:p>
            <w:pPr>
              <w:spacing w:after="0"/>
              <w:rPr>
                <w:sz w:val="21"/>
                <w:szCs w:val="21"/>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Significant acquisition-related expenses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Segment Adjusted EBITDA per barrel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80" w:type="dxa"/>
            <w:vAlign w:val="bottom"/>
            <w:gridSpan w:val="2"/>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7"/>
        </w:trPr>
        <w:tc>
          <w:tcPr>
            <w:tcW w:w="3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Daily Volumes</w:t>
            </w:r>
          </w:p>
        </w:tc>
        <w:tc>
          <w:tcPr>
            <w:tcW w:w="18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126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w w:val="99"/>
              </w:rPr>
              <w:t>Variance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00" w:type="dxa"/>
            <w:vAlign w:val="bottom"/>
            <w:gridSpan w:val="2"/>
            <w:vMerge w:val="continue"/>
          </w:tcPr>
          <w:p>
            <w:pPr>
              <w:spacing w:after="0"/>
              <w:rPr>
                <w:sz w:val="16"/>
                <w:szCs w:val="16"/>
                <w:color w:val="auto"/>
              </w:rPr>
            </w:pPr>
          </w:p>
        </w:tc>
        <w:tc>
          <w:tcPr>
            <w:tcW w:w="118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9"/>
                <w:szCs w:val="9"/>
                <w:b w:val="1"/>
                <w:bCs w:val="1"/>
                <w:color w:val="auto"/>
              </w:rPr>
              <w:t>(4)</w:t>
            </w:r>
          </w:p>
        </w:tc>
        <w:tc>
          <w:tcPr>
            <w:tcW w:w="120" w:type="dxa"/>
            <w:vAlign w:val="bottom"/>
          </w:tcPr>
          <w:p>
            <w:pPr>
              <w:spacing w:after="0"/>
              <w:rPr>
                <w:sz w:val="17"/>
                <w:szCs w:val="17"/>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Volumes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Tariff activities volumes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00" w:type="dxa"/>
            <w:vAlign w:val="bottom"/>
            <w:gridSpan w:val="2"/>
          </w:tcPr>
          <w:p>
            <w:pPr>
              <w:ind w:left="120"/>
              <w:spacing w:after="0"/>
              <w:rPr>
                <w:sz w:val="20"/>
                <w:szCs w:val="20"/>
                <w:color w:val="auto"/>
              </w:rPr>
            </w:pPr>
            <w:r>
              <w:rPr>
                <w:rFonts w:ascii="Arial" w:cs="Arial" w:eastAsia="Arial" w:hAnsi="Arial"/>
                <w:sz w:val="18"/>
                <w:szCs w:val="18"/>
                <w:color w:val="auto"/>
              </w:rPr>
              <w:t>Crude oil pipelines (by region):</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3400" w:type="dxa"/>
            <w:vAlign w:val="bottom"/>
            <w:gridSpan w:val="2"/>
          </w:tcPr>
          <w:p>
            <w:pPr>
              <w:ind w:left="240"/>
              <w:spacing w:after="0"/>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4,161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w w:val="93"/>
              </w:rPr>
              <w:t>4,575</w:t>
            </w:r>
          </w:p>
        </w:tc>
        <w:tc>
          <w:tcPr>
            <w:tcW w:w="10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3400" w:type="dxa"/>
            <w:vAlign w:val="bottom"/>
            <w:gridSpan w:val="2"/>
          </w:tcPr>
          <w:p>
            <w:pPr>
              <w:ind w:left="240"/>
              <w:spacing w:after="0"/>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83"/>
        </w:trPr>
        <w:tc>
          <w:tcPr>
            <w:tcW w:w="3400" w:type="dxa"/>
            <w:vAlign w:val="bottom"/>
            <w:gridSpan w:val="2"/>
          </w:tcPr>
          <w:p>
            <w:pPr>
              <w:ind w:left="240"/>
              <w:spacing w:after="0"/>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(5)</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400" w:type="dxa"/>
            <w:vAlign w:val="bottom"/>
            <w:gridSpan w:val="2"/>
          </w:tcPr>
          <w:p>
            <w:pPr>
              <w:ind w:left="220"/>
              <w:spacing w:after="0"/>
              <w:rPr>
                <w:sz w:val="20"/>
                <w:szCs w:val="20"/>
                <w:color w:val="auto"/>
              </w:rPr>
            </w:pPr>
            <w:r>
              <w:rPr>
                <w:rFonts w:ascii="Arial" w:cs="Arial" w:eastAsia="Arial" w:hAnsi="Arial"/>
                <w:sz w:val="18"/>
                <w:szCs w:val="18"/>
                <w:color w:val="auto"/>
              </w:rPr>
              <w:t>Gulf Coast</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10"/>
        </w:trPr>
        <w:tc>
          <w:tcPr>
            <w:tcW w:w="3400" w:type="dxa"/>
            <w:vAlign w:val="bottom"/>
            <w:gridSpan w:val="2"/>
          </w:tcPr>
          <w:p>
            <w:pPr>
              <w:ind w:left="240"/>
              <w:spacing w:after="0"/>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400" w:type="dxa"/>
            <w:vAlign w:val="bottom"/>
            <w:gridSpan w:val="2"/>
          </w:tcPr>
          <w:p>
            <w:pPr>
              <w:ind w:left="220"/>
              <w:spacing w:after="0"/>
              <w:rPr>
                <w:sz w:val="20"/>
                <w:szCs w:val="20"/>
                <w:color w:val="auto"/>
              </w:rPr>
            </w:pPr>
            <w:r>
              <w:rPr>
                <w:rFonts w:ascii="Arial" w:cs="Arial" w:eastAsia="Arial" w:hAnsi="Arial"/>
                <w:sz w:val="18"/>
                <w:szCs w:val="18"/>
                <w:color w:val="auto"/>
              </w:rPr>
              <w:t>Western</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0"/>
        </w:trPr>
        <w:tc>
          <w:tcPr>
            <w:tcW w:w="3400" w:type="dxa"/>
            <w:vAlign w:val="bottom"/>
            <w:gridSpan w:val="2"/>
          </w:tcPr>
          <w:p>
            <w:pPr>
              <w:ind w:left="220"/>
              <w:spacing w:after="0"/>
              <w:rPr>
                <w:sz w:val="20"/>
                <w:szCs w:val="20"/>
                <w:color w:val="auto"/>
              </w:rPr>
            </w:pPr>
            <w:r>
              <w:rPr>
                <w:rFonts w:ascii="Arial" w:cs="Arial" w:eastAsia="Arial" w:hAnsi="Arial"/>
                <w:sz w:val="18"/>
                <w:szCs w:val="18"/>
                <w:color w:val="auto"/>
              </w:rPr>
              <w:t>Canada</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400" w:type="dxa"/>
            <w:vAlign w:val="bottom"/>
            <w:gridSpan w:val="2"/>
            <w:vMerge w:val="restart"/>
          </w:tcPr>
          <w:p>
            <w:pPr>
              <w:ind w:left="120"/>
              <w:spacing w:after="0"/>
              <w:rPr>
                <w:sz w:val="20"/>
                <w:szCs w:val="20"/>
                <w:color w:val="auto"/>
              </w:rPr>
            </w:pPr>
            <w:r>
              <w:rPr>
                <w:rFonts w:ascii="Arial" w:cs="Arial" w:eastAsia="Arial" w:hAnsi="Arial"/>
                <w:sz w:val="18"/>
                <w:szCs w:val="18"/>
                <w:color w:val="auto"/>
              </w:rPr>
              <w:t>Crude oil pipelines</w:t>
            </w: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0" w:type="dxa"/>
            <w:vAlign w:val="bottom"/>
            <w:gridSpan w:val="2"/>
            <w:vMerge w:val="continue"/>
          </w:tcPr>
          <w:p>
            <w:pPr>
              <w:spacing w:after="0"/>
              <w:rPr>
                <w:sz w:val="20"/>
                <w:szCs w:val="20"/>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5,656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w w:val="93"/>
              </w:rPr>
              <w:t>6,522</w:t>
            </w:r>
          </w:p>
        </w:tc>
        <w:tc>
          <w:tcPr>
            <w:tcW w:w="10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3400" w:type="dxa"/>
            <w:vAlign w:val="bottom"/>
            <w:gridSpan w:val="2"/>
          </w:tcPr>
          <w:p>
            <w:pPr>
              <w:ind w:left="120"/>
              <w:spacing w:after="0"/>
              <w:rPr>
                <w:sz w:val="20"/>
                <w:szCs w:val="20"/>
                <w:color w:val="auto"/>
              </w:rPr>
            </w:pPr>
            <w:r>
              <w:rPr>
                <w:rFonts w:ascii="Arial" w:cs="Arial" w:eastAsia="Arial" w:hAnsi="Arial"/>
                <w:sz w:val="18"/>
                <w:szCs w:val="18"/>
                <w:color w:val="auto"/>
              </w:rPr>
              <w:t>NGL pipelines</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3400" w:type="dxa"/>
            <w:vAlign w:val="bottom"/>
            <w:gridSpan w:val="2"/>
            <w:vMerge w:val="restart"/>
          </w:tcPr>
          <w:p>
            <w:pPr>
              <w:ind w:left="20"/>
              <w:spacing w:after="0"/>
              <w:rPr>
                <w:sz w:val="20"/>
                <w:szCs w:val="20"/>
                <w:color w:val="auto"/>
              </w:rPr>
            </w:pPr>
            <w:r>
              <w:rPr>
                <w:rFonts w:ascii="Arial" w:cs="Arial" w:eastAsia="Arial" w:hAnsi="Arial"/>
                <w:sz w:val="18"/>
                <w:szCs w:val="18"/>
                <w:color w:val="auto"/>
              </w:rPr>
              <w:t>Tariff activities total volumes</w:t>
            </w: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0" w:type="dxa"/>
            <w:vAlign w:val="bottom"/>
            <w:gridSpan w:val="2"/>
            <w:vMerge w:val="continue"/>
          </w:tcPr>
          <w:p>
            <w:pPr>
              <w:spacing w:after="0"/>
              <w:rPr>
                <w:sz w:val="20"/>
                <w:szCs w:val="20"/>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5,850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w w:val="93"/>
              </w:rPr>
              <w:t>6,704</w:t>
            </w:r>
          </w:p>
        </w:tc>
        <w:tc>
          <w:tcPr>
            <w:tcW w:w="10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3400" w:type="dxa"/>
            <w:vAlign w:val="bottom"/>
            <w:gridSpan w:val="2"/>
          </w:tcPr>
          <w:p>
            <w:pPr>
              <w:ind w:left="120"/>
              <w:spacing w:after="0"/>
              <w:rPr>
                <w:sz w:val="20"/>
                <w:szCs w:val="20"/>
                <w:color w:val="auto"/>
              </w:rPr>
            </w:pPr>
            <w:r>
              <w:rPr>
                <w:rFonts w:ascii="Arial" w:cs="Arial" w:eastAsia="Arial" w:hAnsi="Arial"/>
                <w:sz w:val="18"/>
                <w:szCs w:val="18"/>
                <w:color w:val="auto"/>
              </w:rPr>
              <w:t>Trucking volumes</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400" w:type="dxa"/>
            <w:vAlign w:val="bottom"/>
            <w:gridSpan w:val="2"/>
            <w:vMerge w:val="restart"/>
          </w:tcPr>
          <w:p>
            <w:pPr>
              <w:ind w:left="20"/>
              <w:spacing w:after="0"/>
              <w:rPr>
                <w:sz w:val="20"/>
                <w:szCs w:val="20"/>
                <w:color w:val="auto"/>
              </w:rPr>
            </w:pPr>
            <w:r>
              <w:rPr>
                <w:rFonts w:ascii="Arial" w:cs="Arial" w:eastAsia="Arial" w:hAnsi="Arial"/>
                <w:sz w:val="18"/>
                <w:szCs w:val="18"/>
                <w:color w:val="auto"/>
              </w:rPr>
              <w:t>Transportation segment total volumes</w:t>
            </w: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400" w:type="dxa"/>
            <w:vAlign w:val="bottom"/>
            <w:gridSpan w:val="2"/>
            <w:vMerge w:val="continue"/>
          </w:tcPr>
          <w:p>
            <w:pPr>
              <w:spacing w:after="0"/>
              <w:rPr>
                <w:sz w:val="20"/>
                <w:szCs w:val="20"/>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5,914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w w:val="93"/>
              </w:rPr>
              <w:t>6,787</w:t>
            </w:r>
          </w:p>
        </w:tc>
        <w:tc>
          <w:tcPr>
            <w:tcW w:w="10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-2468245</wp:posOffset>
            </wp:positionV>
            <wp:extent cx="7063740" cy="2451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63740" cy="2451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128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w w:val="99"/>
              </w:rPr>
              <w:t>Variance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128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9"/>
              </w:rPr>
              <w:t>June 30,</w:t>
            </w:r>
          </w:p>
        </w:tc>
        <w:tc>
          <w:tcPr>
            <w:tcW w:w="12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8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4,423</w:t>
            </w:r>
          </w:p>
        </w:tc>
        <w:tc>
          <w:tcPr>
            <w:tcW w:w="10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6,315</w:t>
            </w:r>
          </w:p>
        </w:tc>
        <w:tc>
          <w:tcPr>
            <w:tcW w:w="1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6,362</w:t>
            </w:r>
          </w:p>
        </w:tc>
        <w:tc>
          <w:tcPr>
            <w:tcW w:w="1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6,505</w:t>
            </w:r>
          </w:p>
        </w:tc>
        <w:tc>
          <w:tcPr>
            <w:tcW w:w="1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6,558</w:t>
            </w:r>
          </w:p>
        </w:tc>
        <w:tc>
          <w:tcPr>
            <w:tcW w:w="1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6,585</w:t>
            </w:r>
          </w:p>
        </w:tc>
        <w:tc>
          <w:tcPr>
            <w:tcW w:w="1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6,646</w:t>
            </w:r>
          </w:p>
        </w:tc>
        <w:tc>
          <w:tcPr>
            <w:tcW w:w="1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00" w:space="220"/>
            <w:col w:w="3820"/>
          </w:cols>
          <w:pgMar w:left="320" w:top="125" w:right="339" w:bottom="1440" w:gutter="0" w:footer="0" w:header="0"/>
          <w:type w:val="continuous"/>
        </w:sectPr>
      </w:pPr>
    </w:p>
    <w:p>
      <w:pPr>
        <w:spacing w:after="0" w:line="305" w:lineRule="exact"/>
        <w:rPr>
          <w:sz w:val="20"/>
          <w:szCs w:val="20"/>
          <w:color w:val="auto"/>
        </w:rPr>
      </w:pPr>
    </w:p>
    <w:p>
      <w:pPr>
        <w:ind w:left="160" w:hanging="152"/>
        <w:spacing w:after="0"/>
        <w:tabs>
          <w:tab w:leader="none" w:pos="160"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94" w:lineRule="exact"/>
        <w:rPr>
          <w:sz w:val="20"/>
          <w:szCs w:val="20"/>
          <w:color w:val="auto"/>
        </w:rPr>
      </w:pPr>
    </w:p>
    <w:p>
      <w:pPr>
        <w:ind w:left="640" w:hanging="632"/>
        <w:spacing w:after="0"/>
        <w:tabs>
          <w:tab w:leader="none" w:pos="640"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Revenues and costs and expenses include intersegment amounts.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ind w:left="20" w:right="46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Region includes volumes (attributable to our interest) from pipelines owned by unconsolidated entities.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52" w:lineRule="exact"/>
        <w:rPr>
          <w:sz w:val="20"/>
          <w:szCs w:val="20"/>
          <w:color w:val="auto"/>
        </w:rPr>
      </w:pPr>
    </w:p>
    <w:p>
      <w:pPr>
        <w:ind w:right="420" w:firstLine="693"/>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Equity Earnings in Unconsolidated Entities and Volumes. </w:t>
      </w:r>
      <w:r>
        <w:rPr>
          <w:rFonts w:ascii="Arial" w:cs="Arial" w:eastAsia="Arial" w:hAnsi="Arial"/>
          <w:sz w:val="18"/>
          <w:szCs w:val="18"/>
          <w:color w:val="auto"/>
        </w:rPr>
        <w:t>The following table presents variances in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purchases and related costs and equity earnings in unconsolidated entities by region:</w:t>
      </w:r>
    </w:p>
    <w:p>
      <w:pPr>
        <w:sectPr>
          <w:pgSz w:w="11900" w:h="16838" w:orient="portrait"/>
          <w:cols w:equalWidth="0" w:num="1">
            <w:col w:w="11220"/>
          </w:cols>
          <w:pgMar w:left="320" w:top="125" w:right="359" w:bottom="1440" w:gutter="0" w:footer="0" w:header="0"/>
          <w:type w:val="continuous"/>
        </w:sectPr>
      </w:pP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7"/>
          </w:tcPr>
          <w:p>
            <w:pPr>
              <w:jc w:val="center"/>
              <w:ind w:right="55"/>
              <w:spacing w:after="0"/>
              <w:rPr>
                <w:sz w:val="20"/>
                <w:szCs w:val="20"/>
                <w:color w:val="auto"/>
              </w:rPr>
            </w:pPr>
            <w:r>
              <w:rPr>
                <w:rFonts w:ascii="Arial" w:cs="Arial" w:eastAsia="Arial" w:hAnsi="Arial"/>
                <w:sz w:val="14"/>
                <w:szCs w:val="14"/>
                <w:b w:val="1"/>
                <w:bCs w:val="1"/>
                <w:color w:val="auto"/>
                <w:w w:val="94"/>
              </w:rPr>
              <w:t>Favorable/(Unfavorable) Variance</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80" w:type="dxa"/>
            <w:vAlign w:val="bottom"/>
            <w:gridSpan w:val="7"/>
          </w:tcPr>
          <w:p>
            <w:pPr>
              <w:jc w:val="center"/>
              <w:ind w:right="55"/>
              <w:spacing w:after="0" w:line="149" w:lineRule="exact"/>
              <w:rPr>
                <w:sz w:val="20"/>
                <w:szCs w:val="20"/>
                <w:color w:val="auto"/>
              </w:rPr>
            </w:pPr>
            <w:r>
              <w:rPr>
                <w:rFonts w:ascii="Arial" w:cs="Arial" w:eastAsia="Arial" w:hAnsi="Arial"/>
                <w:sz w:val="14"/>
                <w:szCs w:val="14"/>
                <w:b w:val="1"/>
                <w:bCs w:val="1"/>
                <w:color w:val="auto"/>
                <w:w w:val="93"/>
              </w:rPr>
              <w:t>Three Months Ended June 30,</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2"/>
              </w:rPr>
              <w:t>2020-2019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0"/>
              </w:rPr>
              <w:t>Revenues</w:t>
            </w:r>
          </w:p>
        </w:tc>
        <w:tc>
          <w:tcPr>
            <w:tcW w:w="100" w:type="dxa"/>
            <w:vAlign w:val="bottom"/>
            <w:vMerge w:val="restart"/>
          </w:tcPr>
          <w:p>
            <w:pPr>
              <w:spacing w:after="0"/>
              <w:rPr>
                <w:sz w:val="13"/>
                <w:szCs w:val="13"/>
                <w:color w:val="auto"/>
              </w:rPr>
            </w:pPr>
          </w:p>
        </w:tc>
        <w:tc>
          <w:tcPr>
            <w:tcW w:w="10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Purchases and</w:t>
            </w:r>
          </w:p>
        </w:tc>
        <w:tc>
          <w:tcPr>
            <w:tcW w:w="140" w:type="dxa"/>
            <w:vAlign w:val="bottom"/>
          </w:tcPr>
          <w:p>
            <w:pPr>
              <w:spacing w:after="0"/>
              <w:rPr>
                <w:sz w:val="13"/>
                <w:szCs w:val="13"/>
                <w:color w:val="auto"/>
              </w:rPr>
            </w:pPr>
          </w:p>
        </w:tc>
        <w:tc>
          <w:tcPr>
            <w:tcW w:w="800" w:type="dxa"/>
            <w:vAlign w:val="bottom"/>
          </w:tcPr>
          <w:p>
            <w:pPr>
              <w:ind w:left="120"/>
              <w:spacing w:after="0" w:line="153"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Related Costs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Permian Basin region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4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South Texas / Eagle Ford region</w:t>
            </w:r>
          </w:p>
        </w:tc>
        <w:tc>
          <w:tcPr>
            <w:tcW w:w="14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00" w:type="dxa"/>
            <w:vAlign w:val="bottom"/>
          </w:tcPr>
          <w:p>
            <w:pPr>
              <w:ind w:left="4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Central region</w:t>
            </w:r>
          </w:p>
        </w:tc>
        <w:tc>
          <w:tcPr>
            <w:tcW w:w="14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00" w:type="dxa"/>
            <w:vAlign w:val="bottom"/>
          </w:tcPr>
          <w:p>
            <w:pPr>
              <w:ind w:left="4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Canada region</w:t>
            </w:r>
          </w:p>
        </w:tc>
        <w:tc>
          <w:tcPr>
            <w:tcW w:w="14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0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Other regions, trucking and pipeline loss</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allowance revenue</w:t>
            </w:r>
          </w:p>
        </w:tc>
        <w:tc>
          <w:tcPr>
            <w:tcW w:w="140" w:type="dxa"/>
            <w:vAlign w:val="bottom"/>
          </w:tcPr>
          <w:p>
            <w:pPr>
              <w:spacing w:after="0"/>
              <w:rPr>
                <w:sz w:val="20"/>
                <w:szCs w:val="20"/>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ind w:left="4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40" w:type="dxa"/>
            <w:vAlign w:val="bottom"/>
            <w:gridSpan w:val="2"/>
          </w:tcPr>
          <w:p>
            <w:pPr>
              <w:ind w:left="100"/>
              <w:spacing w:after="0"/>
              <w:rPr>
                <w:sz w:val="20"/>
                <w:szCs w:val="20"/>
                <w:color w:val="auto"/>
              </w:rPr>
            </w:pPr>
            <w:r>
              <w:rPr>
                <w:rFonts w:ascii="Arial" w:cs="Arial" w:eastAsia="Arial" w:hAnsi="Arial"/>
                <w:sz w:val="18"/>
                <w:szCs w:val="18"/>
                <w:color w:val="auto"/>
              </w:rPr>
              <w:t>Total variance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-1216660</wp:posOffset>
            </wp:positionV>
            <wp:extent cx="6275070" cy="12001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75070" cy="1200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left="460" w:right="680"/>
        <w:spacing w:after="0"/>
        <w:rPr>
          <w:sz w:val="20"/>
          <w:szCs w:val="20"/>
          <w:color w:val="auto"/>
        </w:rPr>
      </w:pPr>
      <w:r>
        <w:rPr>
          <w:rFonts w:ascii="Arial" w:cs="Arial" w:eastAsia="Arial" w:hAnsi="Arial"/>
          <w:sz w:val="14"/>
          <w:szCs w:val="14"/>
          <w:b w:val="1"/>
          <w:bCs w:val="1"/>
          <w:color w:val="auto"/>
        </w:rPr>
        <w:t>Favorable/(Unfavorable) Variance Six Months Ended June 30, 2020-2019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9113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Revenues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Purchases and</w:t>
            </w:r>
          </w:p>
        </w:tc>
        <w:tc>
          <w:tcPr>
            <w:tcW w:w="160" w:type="dxa"/>
            <w:vAlign w:val="bottom"/>
          </w:tcPr>
          <w:p>
            <w:pPr>
              <w:spacing w:after="0"/>
              <w:rPr>
                <w:sz w:val="14"/>
                <w:szCs w:val="14"/>
                <w:color w:val="auto"/>
              </w:rPr>
            </w:pPr>
          </w:p>
        </w:tc>
        <w:tc>
          <w:tcPr>
            <w:tcW w:w="780" w:type="dxa"/>
            <w:vAlign w:val="bottom"/>
          </w:tcPr>
          <w:p>
            <w:pPr>
              <w:jc w:val="right"/>
              <w:ind w:right="175"/>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Related Costs</w:t>
            </w:r>
          </w:p>
        </w:tc>
        <w:tc>
          <w:tcPr>
            <w:tcW w:w="160" w:type="dxa"/>
            <w:vAlign w:val="bottom"/>
          </w:tcPr>
          <w:p>
            <w:pPr>
              <w:spacing w:after="0"/>
              <w:rPr>
                <w:sz w:val="16"/>
                <w:szCs w:val="16"/>
                <w:color w:val="auto"/>
              </w:rPr>
            </w:pPr>
          </w:p>
        </w:tc>
        <w:tc>
          <w:tcPr>
            <w:tcW w:w="78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243"/>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color w:val="auto"/>
                <w:w w:val="93"/>
              </w:rPr>
              <w:t>(34)</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7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140" w:type="dxa"/>
            <w:vAlign w:val="bottom"/>
          </w:tcPr>
          <w:p>
            <w:pPr>
              <w:spacing w:after="0"/>
              <w:rPr>
                <w:sz w:val="24"/>
                <w:szCs w:val="24"/>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center"/>
              <w:ind w:left="70"/>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center"/>
              <w:ind w:left="30"/>
              <w:spacing w:after="0"/>
              <w:rPr>
                <w:sz w:val="20"/>
                <w:szCs w:val="20"/>
                <w:color w:val="auto"/>
              </w:rPr>
            </w:pPr>
            <w:r>
              <w:rPr>
                <w:rFonts w:ascii="Arial" w:cs="Arial" w:eastAsia="Arial" w:hAnsi="Arial"/>
                <w:sz w:val="18"/>
                <w:szCs w:val="18"/>
                <w:color w:val="auto"/>
                <w:w w:val="93"/>
              </w:rPr>
              <w:t>(24)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5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320" w:space="200"/>
            <w:col w:w="3700"/>
          </w:cols>
          <w:pgMar w:left="320" w:top="125" w:right="359" w:bottom="1440" w:gutter="0" w:footer="0" w:header="0"/>
          <w:type w:val="continuous"/>
        </w:sectPr>
      </w:pPr>
    </w:p>
    <w:p>
      <w:pPr>
        <w:spacing w:after="0" w:line="110" w:lineRule="exact"/>
        <w:rPr>
          <w:sz w:val="20"/>
          <w:szCs w:val="20"/>
          <w:color w:val="auto"/>
        </w:rPr>
      </w:pPr>
    </w:p>
    <w:p>
      <w:pPr>
        <w:ind w:left="980" w:right="20" w:hanging="324"/>
        <w:spacing w:after="0" w:line="293" w:lineRule="auto"/>
        <w:tabs>
          <w:tab w:leader="none" w:pos="975"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Permian Basin region. </w:t>
      </w:r>
      <w:r>
        <w:rPr>
          <w:rFonts w:ascii="Arial" w:cs="Arial" w:eastAsia="Arial" w:hAnsi="Arial"/>
          <w:sz w:val="16"/>
          <w:szCs w:val="16"/>
          <w:color w:val="auto"/>
        </w:rPr>
        <w:t>The decrease in revenues, net of purchases and related costs, of $42 million and $26 million for the three and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2020, respectively, compared to the same periods in 2019, was primarily due to lower long-haul pipeline movements to Cushing and Corpus Christi due to tight regional basis differentials, a portion of which are covered by minimum volume commitments and will be made up or paid for in future periods. Despite the voluntary curtailment and shut-in of oil production on our systems due to the low oil prices in the quarter, the decreases on our long-haul pipelines were partially offset by higher volumes on certain of our gathering systems, primarily in the Delaware Basin, including the gathering system we acquired from Felix Midstream in February 2020.</w:t>
      </w:r>
    </w:p>
    <w:p>
      <w:pPr>
        <w:spacing w:after="0" w:line="191" w:lineRule="exact"/>
        <w:rPr>
          <w:rFonts w:ascii="Arial" w:cs="Arial" w:eastAsia="Arial" w:hAnsi="Arial"/>
          <w:sz w:val="16"/>
          <w:szCs w:val="16"/>
          <w:i w:val="1"/>
          <w:iCs w:val="1"/>
          <w:color w:val="auto"/>
        </w:rPr>
      </w:pPr>
    </w:p>
    <w:p>
      <w:pPr>
        <w:ind w:left="980" w:right="40"/>
        <w:spacing w:after="0" w:line="263" w:lineRule="auto"/>
        <w:rPr>
          <w:rFonts w:ascii="Arial" w:cs="Arial" w:eastAsia="Arial" w:hAnsi="Arial"/>
          <w:sz w:val="16"/>
          <w:szCs w:val="16"/>
          <w:i w:val="1"/>
          <w:iCs w:val="1"/>
          <w:color w:val="auto"/>
        </w:rPr>
      </w:pPr>
      <w:r>
        <w:rPr>
          <w:rFonts w:ascii="Arial" w:cs="Arial" w:eastAsia="Arial" w:hAnsi="Arial"/>
          <w:sz w:val="18"/>
          <w:szCs w:val="18"/>
          <w:color w:val="auto"/>
        </w:rPr>
        <w:t>The increase in equity earnings over the comparative periods was primarily from our 65% interest in the Cactus II pipeline, which was placed in service in the third quarter of 2019, partially offset by lower equity earnings from our 30% interest in BridgeTex Pipeline Company, LLC primarily due to lower volumes.</w:t>
      </w:r>
    </w:p>
    <w:p>
      <w:pPr>
        <w:spacing w:after="0" w:line="210" w:lineRule="exact"/>
        <w:rPr>
          <w:rFonts w:ascii="Arial" w:cs="Arial" w:eastAsia="Arial" w:hAnsi="Arial"/>
          <w:sz w:val="16"/>
          <w:szCs w:val="16"/>
          <w:i w:val="1"/>
          <w:iCs w:val="1"/>
          <w:color w:val="auto"/>
        </w:rPr>
      </w:pPr>
    </w:p>
    <w:p>
      <w:pPr>
        <w:jc w:val="both"/>
        <w:ind w:left="980" w:right="200" w:hanging="324"/>
        <w:spacing w:after="0" w:line="263" w:lineRule="auto"/>
        <w:tabs>
          <w:tab w:leader="none" w:pos="975"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South Texas / Eagle Ford region. </w:t>
      </w:r>
      <w:r>
        <w:rPr>
          <w:rFonts w:ascii="Arial" w:cs="Arial" w:eastAsia="Arial" w:hAnsi="Arial"/>
          <w:sz w:val="18"/>
          <w:szCs w:val="18"/>
          <w:color w:val="auto"/>
        </w:rPr>
        <w:t>Equity earnings from our 50% interest in Eagle Ford Pipeline LLC decreased for the three and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2020 compared to the three and six months ended June 30, 2019 due to a combination of lower joint tariff volumes from the Permian Basin, and to a lesser extent, lower regional receipts.</w:t>
      </w:r>
    </w:p>
    <w:p>
      <w:pPr>
        <w:spacing w:after="0" w:line="210" w:lineRule="exact"/>
        <w:rPr>
          <w:rFonts w:ascii="Arial" w:cs="Arial" w:eastAsia="Arial" w:hAnsi="Arial"/>
          <w:sz w:val="18"/>
          <w:szCs w:val="18"/>
          <w:i w:val="1"/>
          <w:iCs w:val="1"/>
          <w:color w:val="auto"/>
        </w:rPr>
      </w:pPr>
    </w:p>
    <w:p>
      <w:pPr>
        <w:ind w:left="980" w:hanging="324"/>
        <w:spacing w:after="0" w:line="263" w:lineRule="auto"/>
        <w:tabs>
          <w:tab w:leader="none" w:pos="975"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Central region. </w:t>
      </w:r>
      <w:r>
        <w:rPr>
          <w:rFonts w:ascii="Arial" w:cs="Arial" w:eastAsia="Arial" w:hAnsi="Arial"/>
          <w:sz w:val="18"/>
          <w:szCs w:val="18"/>
          <w:color w:val="auto"/>
        </w:rPr>
        <w:t>The decrease in revenues, net of purchases and related costs, for the three and six months ended June 30, 2020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periods in 2019 was primarily due to lower volumes, primarily due to voluntary curtailments and shut-ins by oil producers due to the low crude oil prices during the quarter and increased competition in the region.</w:t>
      </w:r>
    </w:p>
    <w:p>
      <w:pPr>
        <w:spacing w:after="0" w:line="210" w:lineRule="exact"/>
        <w:rPr>
          <w:rFonts w:ascii="Arial" w:cs="Arial" w:eastAsia="Arial" w:hAnsi="Arial"/>
          <w:sz w:val="18"/>
          <w:szCs w:val="18"/>
          <w:i w:val="1"/>
          <w:iCs w:val="1"/>
          <w:color w:val="auto"/>
        </w:rPr>
      </w:pPr>
    </w:p>
    <w:p>
      <w:pPr>
        <w:ind w:left="980" w:right="60"/>
        <w:spacing w:after="0" w:line="342" w:lineRule="auto"/>
        <w:rPr>
          <w:rFonts w:ascii="Arial" w:cs="Arial" w:eastAsia="Arial" w:hAnsi="Arial"/>
          <w:sz w:val="18"/>
          <w:szCs w:val="18"/>
          <w:i w:val="1"/>
          <w:iCs w:val="1"/>
          <w:color w:val="auto"/>
        </w:rPr>
      </w:pPr>
      <w:r>
        <w:rPr>
          <w:rFonts w:ascii="Arial" w:cs="Arial" w:eastAsia="Arial" w:hAnsi="Arial"/>
          <w:sz w:val="16"/>
          <w:szCs w:val="16"/>
          <w:color w:val="auto"/>
        </w:rPr>
        <w:t>The decrease in equity earnings for the three and six months ended June 30, 2020 compared to the same periods in 2019 was primarily due to the impact of refinery downtime on certain of the demand pull pipelines out of Cushing, Oklahoma, in which we own a 50% interest.</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80" w:right="120" w:hanging="324"/>
        <w:spacing w:after="0" w:line="308" w:lineRule="auto"/>
        <w:tabs>
          <w:tab w:leader="none" w:pos="975" w:val="left"/>
        </w:tabs>
        <w:numPr>
          <w:ilvl w:val="0"/>
          <w:numId w:val="4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Canada region. </w:t>
      </w:r>
      <w:r>
        <w:rPr>
          <w:rFonts w:ascii="Arial" w:cs="Arial" w:eastAsia="Arial" w:hAnsi="Arial"/>
          <w:sz w:val="17"/>
          <w:szCs w:val="17"/>
          <w:color w:val="auto"/>
        </w:rPr>
        <w:t>Revenues decreased for the three and six months ended June 30, 2020 compared to the three and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2019 primarily due to voluntary curtailments and shut-ins by oil producers due to the low crude oil prices during the quarter.</w:t>
      </w:r>
    </w:p>
    <w:p>
      <w:pPr>
        <w:spacing w:after="0" w:line="173" w:lineRule="exact"/>
        <w:rPr>
          <w:rFonts w:ascii="Arial" w:cs="Arial" w:eastAsia="Arial" w:hAnsi="Arial"/>
          <w:sz w:val="17"/>
          <w:szCs w:val="17"/>
          <w:i w:val="1"/>
          <w:iCs w:val="1"/>
          <w:color w:val="auto"/>
        </w:rPr>
      </w:pPr>
    </w:p>
    <w:p>
      <w:pPr>
        <w:ind w:left="980" w:right="60" w:hanging="324"/>
        <w:spacing w:after="0" w:line="301" w:lineRule="auto"/>
        <w:tabs>
          <w:tab w:leader="none" w:pos="975"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Other regions, trucking and pipeline loss allowance revenue. </w:t>
      </w:r>
      <w:r>
        <w:rPr>
          <w:rFonts w:ascii="Arial" w:cs="Arial" w:eastAsia="Arial" w:hAnsi="Arial"/>
          <w:sz w:val="16"/>
          <w:szCs w:val="16"/>
          <w:color w:val="auto"/>
        </w:rPr>
        <w:t>The decrease in other revenues, net of purchases and related costs,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and six months ended June 30, 2020 compared to the three and six months ended June 30, 2019 was primarily due to lower pipeline loss allowance revenue in 2020 due to lower prices and volumes. Additionally, volumes in our Rocky Mountain region decreased as they were also impacted by voluntary curtailments and shut-ins by oil producers due to the low crude oil prices during the quarter.</w:t>
      </w:r>
    </w:p>
    <w:p>
      <w:pPr>
        <w:spacing w:after="0" w:line="18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The decrease in field operating costs for the three and six months ended June 30, 2020 compared to the same periods in</w:t>
      </w:r>
      <w:r>
        <w:rPr>
          <w:rFonts w:ascii="Arial" w:cs="Arial" w:eastAsia="Arial" w:hAnsi="Arial"/>
          <w:sz w:val="16"/>
          <w:szCs w:val="16"/>
          <w:i w:val="1"/>
          <w:iCs w:val="1"/>
          <w:color w:val="auto"/>
        </w:rPr>
        <w:t xml:space="preserve"> </w:t>
      </w:r>
      <w:r>
        <w:rPr>
          <w:rFonts w:ascii="Arial" w:cs="Arial" w:eastAsia="Arial" w:hAnsi="Arial"/>
          <w:sz w:val="16"/>
          <w:szCs w:val="16"/>
          <w:color w:val="auto"/>
        </w:rPr>
        <w:t>2019 was primarily due to (i) a decrease in power costs, including a reduction in the use of drag reducing agents due to lower volumes, (ii) additional estimated costs recognized in the second quarter of 2019 associated with the Line 901 incident (which impact field operating costs but are excluded from Segment Adjusted EBITDA and thus are reflected as an “Adjustment” in the table above), (iii) lower compensation costs and (iv) a decrease due to timing of integrity management activities. In addition, the six-month comparative period was favorably impacted by lower equity-based compensation costs on liability-classified awards (which are not included as an “Adjustment” in the table above) due to a decrease in the PAA common unit price.</w:t>
      </w:r>
    </w:p>
    <w:p>
      <w:pPr>
        <w:spacing w:after="0" w:line="191"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i w:val="1"/>
          <w:iCs w:val="1"/>
          <w:color w:val="auto"/>
        </w:rPr>
        <w:t>Maintenance Capital</w:t>
      </w:r>
      <w:r>
        <w:rPr>
          <w:rFonts w:ascii="Arial" w:cs="Arial" w:eastAsia="Arial" w:hAnsi="Arial"/>
          <w:sz w:val="16"/>
          <w:szCs w:val="16"/>
          <w:color w:val="auto"/>
        </w:rPr>
        <w:t>. Maintenance capital consists of capital expenditures for the replacement and/or refurbishment of partially or fully</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depreciated assets in order to maintain the operating and/or earnings capacity of our existing assets. The decrease in maintenance capital spending for the three months ended June 30, 2020 compared to the same period in 2019 was primarily due to the timing of integrity management activities.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9"/>
                <w:szCs w:val="9"/>
                <w:b w:val="1"/>
                <w:bCs w:val="1"/>
                <w:color w:val="auto"/>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114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Variance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80" w:type="dxa"/>
            <w:vAlign w:val="bottom"/>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4"/>
          </w:tcPr>
          <w:p>
            <w:pPr>
              <w:jc w:val="center"/>
              <w:ind w:left="355"/>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5"/>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5"/>
          </w:tcPr>
          <w:p>
            <w:pPr>
              <w:jc w:val="center"/>
              <w:ind w:left="315"/>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Purchases and related costs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ind w:left="2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(88)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183"/>
        </w:trPr>
        <w:tc>
          <w:tcPr>
            <w:tcW w:w="3480" w:type="dxa"/>
            <w:vAlign w:val="bottom"/>
            <w:gridSpan w:val="3"/>
          </w:tcPr>
          <w:p>
            <w:pPr>
              <w:ind w:left="20"/>
              <w:spacing w:after="0" w:line="182" w:lineRule="exact"/>
              <w:rPr>
                <w:sz w:val="20"/>
                <w:szCs w:val="20"/>
                <w:color w:val="auto"/>
              </w:rPr>
            </w:pPr>
            <w:r>
              <w:rPr>
                <w:rFonts w:ascii="Arial" w:cs="Arial" w:eastAsia="Arial" w:hAnsi="Arial"/>
                <w:sz w:val="18"/>
                <w:szCs w:val="18"/>
                <w:color w:val="auto"/>
                <w:w w:val="92"/>
              </w:rPr>
              <w:t>Segment general and administrative expenses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ind w:left="2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ind w:left="20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ind w:right="14"/>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ind w:left="24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51"/>
        </w:trPr>
        <w:tc>
          <w:tcPr>
            <w:tcW w:w="3360" w:type="dxa"/>
            <w:vAlign w:val="bottom"/>
          </w:tcPr>
          <w:p>
            <w:pPr>
              <w:ind w:left="180"/>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5"/>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right w:val="single" w:sz="8" w:color="auto"/>
            </w:tcBorders>
            <w:gridSpan w:val="3"/>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8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gridSpan w:val="3"/>
          </w:tcPr>
          <w:p>
            <w:pPr>
              <w:ind w:left="120"/>
              <w:spacing w:after="0"/>
              <w:rPr>
                <w:sz w:val="20"/>
                <w:szCs w:val="20"/>
                <w:color w:val="auto"/>
              </w:rPr>
            </w:pPr>
            <w:r>
              <w:rPr>
                <w:rFonts w:ascii="Arial" w:cs="Arial" w:eastAsia="Arial" w:hAnsi="Arial"/>
                <w:sz w:val="18"/>
                <w:szCs w:val="18"/>
                <w:color w:val="auto"/>
              </w:rPr>
              <w:t>Depreciation and amortization of</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gridSpan w:val="3"/>
          </w:tcPr>
          <w:p>
            <w:pPr>
              <w:ind w:left="120"/>
              <w:spacing w:after="0"/>
              <w:rPr>
                <w:sz w:val="20"/>
                <w:szCs w:val="20"/>
                <w:color w:val="auto"/>
              </w:rPr>
            </w:pPr>
            <w:r>
              <w:rPr>
                <w:rFonts w:ascii="Arial" w:cs="Arial" w:eastAsia="Arial" w:hAnsi="Arial"/>
                <w:sz w:val="18"/>
                <w:szCs w:val="18"/>
                <w:color w:val="auto"/>
              </w:rPr>
              <w:t>unconsolidated entities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75"/>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(Gains)/losses from derivative activities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gridSpan w:val="3"/>
          </w:tcPr>
          <w:p>
            <w:pPr>
              <w:ind w:left="120"/>
              <w:spacing w:after="0"/>
              <w:rPr>
                <w:sz w:val="20"/>
                <w:szCs w:val="20"/>
                <w:color w:val="auto"/>
              </w:rPr>
            </w:pPr>
            <w:r>
              <w:rPr>
                <w:rFonts w:ascii="Arial" w:cs="Arial" w:eastAsia="Arial" w:hAnsi="Arial"/>
                <w:sz w:val="18"/>
                <w:szCs w:val="18"/>
                <w:color w:val="auto"/>
              </w:rPr>
              <w:t>Deficiencies under minimum volume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gridSpan w:val="3"/>
          </w:tcPr>
          <w:p>
            <w:pPr>
              <w:ind w:left="120"/>
              <w:spacing w:after="0"/>
              <w:rPr>
                <w:sz w:val="20"/>
                <w:szCs w:val="20"/>
                <w:color w:val="auto"/>
              </w:rPr>
            </w:pPr>
            <w:r>
              <w:rPr>
                <w:rFonts w:ascii="Arial" w:cs="Arial" w:eastAsia="Arial" w:hAnsi="Arial"/>
                <w:sz w:val="18"/>
                <w:szCs w:val="18"/>
                <w:color w:val="auto"/>
              </w:rPr>
              <w:t>commitments, net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75"/>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Equity-indexed compensation expense</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5"/>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Segment Adjusted EBITDA per barrel</w:t>
            </w: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4"/>
                <w:szCs w:val="24"/>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0.46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0.51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525"/>
        </w:trPr>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w w:val="99"/>
              </w:rPr>
              <w:t>Variance</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24"/>
                <w:szCs w:val="24"/>
                <w:color w:val="auto"/>
              </w:rPr>
            </w:pPr>
          </w:p>
        </w:tc>
        <w:tc>
          <w:tcPr>
            <w:tcW w:w="114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Variance</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4"/>
          </w:tcPr>
          <w:p>
            <w:pPr>
              <w:jc w:val="center"/>
              <w:ind w:left="375"/>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5"/>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5"/>
          </w:tcPr>
          <w:p>
            <w:pPr>
              <w:jc w:val="center"/>
              <w:ind w:left="335"/>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9"/>
                <w:szCs w:val="9"/>
                <w:b w:val="1"/>
                <w:bCs w:val="1"/>
                <w:color w:val="auto"/>
              </w:rPr>
              <w:t>(4)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bottom w:val="single" w:sz="8" w:color="CCEEFF"/>
            </w:tcBorders>
            <w:gridSpan w:val="2"/>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9"/>
              </w:rPr>
              <w:t>Volumes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338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8"/>
                <w:szCs w:val="18"/>
                <w:color w:val="auto"/>
                <w:w w:val="93"/>
              </w:rPr>
              <w:t>Liquids storage (average monthly capacity in</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5"/>
            <w:vMerge w:val="restart"/>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348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millions of barrels) </w:t>
            </w:r>
            <w:r>
              <w:rPr>
                <w:rFonts w:ascii="Arial" w:cs="Arial" w:eastAsia="Arial" w:hAnsi="Arial"/>
                <w:sz w:val="23"/>
                <w:szCs w:val="23"/>
                <w:color w:val="auto"/>
                <w:vertAlign w:val="superscript"/>
              </w:rPr>
              <w:t>(5)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5"/>
            <w:vMerge w:val="continue"/>
            <w:shd w:val="clear" w:color="auto" w:fill="CCEEFF"/>
          </w:tcPr>
          <w:p>
            <w:pPr>
              <w:spacing w:after="0"/>
              <w:rPr>
                <w:sz w:val="19"/>
                <w:szCs w:val="19"/>
                <w:color w:val="auto"/>
              </w:rPr>
            </w:pPr>
          </w:p>
        </w:tc>
        <w:tc>
          <w:tcPr>
            <w:tcW w:w="740" w:type="dxa"/>
            <w:vAlign w:val="bottom"/>
            <w:tcBorders>
              <w:right w:val="single" w:sz="8" w:color="auto"/>
            </w:tcBorders>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Arial" w:cs="Arial" w:eastAsia="Arial" w:hAnsi="Arial"/>
                <w:sz w:val="18"/>
                <w:szCs w:val="18"/>
                <w:color w:val="auto"/>
              </w:rPr>
              <w:t>Natural gas storage (average monthly</w:t>
            </w: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4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36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vMerge w:val="restart"/>
          </w:tcPr>
          <w:p>
            <w:pPr>
              <w:ind w:left="28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54"/>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6 %</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ind w:right="55"/>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vMerge w:val="restart"/>
          </w:tcPr>
          <w:p>
            <w:pPr>
              <w:jc w:val="right"/>
              <w:ind w:right="7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3"/>
        </w:trPr>
        <w:tc>
          <w:tcPr>
            <w:tcW w:w="34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working capacity in billions of cubic feet)</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gridSpan w:val="3"/>
            <w:shd w:val="clear" w:color="auto" w:fill="CCEEFF"/>
          </w:tcPr>
          <w:p>
            <w:pPr>
              <w:ind w:left="20"/>
              <w:spacing w:after="0" w:line="195" w:lineRule="exact"/>
              <w:rPr>
                <w:sz w:val="20"/>
                <w:szCs w:val="20"/>
                <w:color w:val="auto"/>
              </w:rPr>
            </w:pPr>
            <w:r>
              <w:rPr>
                <w:rFonts w:ascii="Arial" w:cs="Arial" w:eastAsia="Arial" w:hAnsi="Arial"/>
                <w:sz w:val="18"/>
                <w:szCs w:val="18"/>
                <w:color w:val="auto"/>
              </w:rPr>
              <w:t>NGL fractionation (average volumes in</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137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138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thousands of barrels per day)</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gridSpan w:val="2"/>
            <w:vMerge w:val="continue"/>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Arial" w:cs="Arial" w:eastAsia="Arial" w:hAnsi="Arial"/>
                <w:sz w:val="18"/>
                <w:szCs w:val="18"/>
                <w:color w:val="auto"/>
              </w:rPr>
              <w:t>Facilities segment total volumes (average</w:t>
            </w: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4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26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vMerge w:val="restart"/>
          </w:tcPr>
          <w:p>
            <w:pPr>
              <w:ind w:left="200"/>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gridSpan w:val="2"/>
            <w:vMerge w:val="restart"/>
          </w:tcPr>
          <w:p>
            <w:pPr>
              <w:spacing w:after="0"/>
              <w:rPr>
                <w:sz w:val="10"/>
                <w:szCs w:val="10"/>
                <w:color w:val="auto"/>
              </w:rPr>
            </w:pPr>
          </w:p>
        </w:tc>
        <w:tc>
          <w:tcPr>
            <w:tcW w:w="300" w:type="dxa"/>
            <w:vAlign w:val="bottom"/>
            <w:vMerge w:val="restart"/>
          </w:tcPr>
          <w:p>
            <w:pPr>
              <w:spacing w:after="0"/>
              <w:rPr>
                <w:sz w:val="10"/>
                <w:szCs w:val="10"/>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 %</w:t>
            </w:r>
          </w:p>
        </w:tc>
        <w:tc>
          <w:tcPr>
            <w:tcW w:w="120" w:type="dxa"/>
            <w:vAlign w:val="bottom"/>
            <w:tcBorders>
              <w:right w:val="single" w:sz="8" w:color="auto"/>
            </w:tcBorders>
            <w:vMerge w:val="restart"/>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ind w:left="24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vMerge w:val="restart"/>
          </w:tcPr>
          <w:p>
            <w:pPr>
              <w:jc w:val="right"/>
              <w:ind w:right="72"/>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7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3480" w:type="dxa"/>
            <w:vAlign w:val="bottom"/>
            <w:gridSpan w:val="3"/>
          </w:tcPr>
          <w:p>
            <w:pPr>
              <w:ind w:left="180"/>
              <w:spacing w:after="0" w:line="202" w:lineRule="exact"/>
              <w:rPr>
                <w:sz w:val="20"/>
                <w:szCs w:val="20"/>
                <w:color w:val="auto"/>
              </w:rPr>
            </w:pPr>
            <w:r>
              <w:rPr>
                <w:rFonts w:ascii="Arial" w:cs="Arial" w:eastAsia="Arial" w:hAnsi="Arial"/>
                <w:sz w:val="18"/>
                <w:szCs w:val="18"/>
                <w:color w:val="auto"/>
                <w:w w:val="99"/>
              </w:rPr>
              <w:t xml:space="preserve">monthly volumes in millions of barrels) </w:t>
            </w:r>
            <w:r>
              <w:rPr>
                <w:rFonts w:ascii="Arial" w:cs="Arial" w:eastAsia="Arial" w:hAnsi="Arial"/>
                <w:sz w:val="23"/>
                <w:szCs w:val="23"/>
                <w:color w:val="auto"/>
                <w:w w:val="99"/>
                <w:vertAlign w:val="superscript"/>
              </w:rPr>
              <w:t>(6)</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vMerge w:val="continue"/>
          </w:tcPr>
          <w:p>
            <w:pPr>
              <w:spacing w:after="0"/>
              <w:rPr>
                <w:sz w:val="21"/>
                <w:szCs w:val="21"/>
                <w:color w:val="auto"/>
              </w:rPr>
            </w:pPr>
          </w:p>
        </w:tc>
        <w:tc>
          <w:tcPr>
            <w:tcW w:w="100" w:type="dxa"/>
            <w:vAlign w:val="bottom"/>
            <w:gridSpan w:val="2"/>
            <w:vMerge w:val="continue"/>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620" w:type="dxa"/>
            <w:vAlign w:val="bottom"/>
            <w:tcBorders>
              <w:bottom w:val="single" w:sz="8" w:color="auto"/>
            </w:tcBorders>
            <w:gridSpan w:val="2"/>
            <w:vMerge w:val="continue"/>
          </w:tcPr>
          <w:p>
            <w:pPr>
              <w:spacing w:after="0"/>
              <w:rPr>
                <w:sz w:val="21"/>
                <w:szCs w:val="21"/>
                <w:color w:val="auto"/>
              </w:rPr>
            </w:pPr>
          </w:p>
        </w:tc>
        <w:tc>
          <w:tcPr>
            <w:tcW w:w="120" w:type="dxa"/>
            <w:vAlign w:val="bottom"/>
            <w:tcBorders>
              <w:right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60" w:hanging="152"/>
        <w:spacing w:after="0"/>
        <w:tabs>
          <w:tab w:leader="none" w:pos="160" w:val="left"/>
        </w:tabs>
        <w:numPr>
          <w:ilvl w:val="0"/>
          <w:numId w:val="49"/>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ectPr>
          <w:pgSz w:w="11900" w:h="16838" w:orient="portrait"/>
          <w:cols w:equalWidth="0" w:num="1">
            <w:col w:w="11240"/>
          </w:cols>
          <w:pgMar w:left="320" w:top="125" w:right="339" w:bottom="1440" w:gutter="0" w:footer="0" w:header="0"/>
        </w:sectPr>
      </w:pP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ind w:left="660" w:right="480" w:hanging="652"/>
        <w:spacing w:after="0" w:line="227" w:lineRule="auto"/>
        <w:tabs>
          <w:tab w:leader="none" w:pos="648"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ectPr>
          <w:pgSz w:w="11900" w:h="16838" w:orient="portrait"/>
          <w:cols w:equalWidth="0" w:num="1">
            <w:col w:w="11240"/>
          </w:cols>
          <w:pgMar w:left="320" w:top="125" w:right="3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Average monthly volumes are calculated as total volumes for the period divided by the number of months in the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facilities owned by unconsolidated entities.</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60" w:right="180" w:hanging="652"/>
        <w:spacing w:after="0" w:line="269" w:lineRule="auto"/>
        <w:tabs>
          <w:tab w:leader="none" w:pos="648" w:val="left"/>
        </w:tabs>
        <w:numPr>
          <w:ilvl w:val="0"/>
          <w:numId w:val="51"/>
        </w:numPr>
        <w:rPr>
          <w:rFonts w:ascii="Arial" w:cs="Arial" w:eastAsia="Arial" w:hAnsi="Arial"/>
          <w:sz w:val="21"/>
          <w:szCs w:val="21"/>
          <w:color w:val="auto"/>
          <w:vertAlign w:val="superscript"/>
        </w:rPr>
      </w:pPr>
      <w:r>
        <w:rPr>
          <w:rFonts w:ascii="Arial" w:cs="Arial" w:eastAsia="Arial" w:hAnsi="Arial"/>
          <w:sz w:val="16"/>
          <w:szCs w:val="16"/>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operating results.</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Variances in revenues and average monthly volumes were primarily driven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197" w:lineRule="exact"/>
        <w:rPr>
          <w:sz w:val="20"/>
          <w:szCs w:val="20"/>
          <w:color w:val="auto"/>
        </w:rPr>
      </w:pPr>
    </w:p>
    <w:p>
      <w:pPr>
        <w:ind w:left="980" w:right="100" w:hanging="324"/>
        <w:spacing w:after="0" w:line="263" w:lineRule="auto"/>
        <w:tabs>
          <w:tab w:leader="none" w:pos="975"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Rail Terminals. </w:t>
      </w:r>
      <w:r>
        <w:rPr>
          <w:rFonts w:ascii="Arial" w:cs="Arial" w:eastAsia="Arial" w:hAnsi="Arial"/>
          <w:sz w:val="18"/>
          <w:szCs w:val="18"/>
          <w:color w:val="auto"/>
        </w:rPr>
        <w:t>Revenues from our rail terminals decreased by $12 million and $17 million for the three and six months ended June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three and six months ended June 30, 2019, respectively, primarily due to decreased activity at certain of our rail terminals as a result of less favorable market conditions.</w:t>
      </w:r>
    </w:p>
    <w:p>
      <w:pPr>
        <w:spacing w:after="0" w:line="210" w:lineRule="exact"/>
        <w:rPr>
          <w:rFonts w:ascii="Arial" w:cs="Arial" w:eastAsia="Arial" w:hAnsi="Arial"/>
          <w:sz w:val="18"/>
          <w:szCs w:val="18"/>
          <w:i w:val="1"/>
          <w:iCs w:val="1"/>
          <w:color w:val="auto"/>
        </w:rPr>
      </w:pPr>
    </w:p>
    <w:p>
      <w:pPr>
        <w:ind w:left="980" w:right="40" w:hanging="324"/>
        <w:spacing w:after="0" w:line="259"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Crude Oil Storage. </w:t>
      </w:r>
      <w:r>
        <w:rPr>
          <w:rFonts w:ascii="Arial" w:cs="Arial" w:eastAsia="Arial" w:hAnsi="Arial"/>
          <w:sz w:val="18"/>
          <w:szCs w:val="18"/>
          <w:color w:val="auto"/>
        </w:rPr>
        <w:t>Revenues from our crude oil storage operations increased by $10 million and $16 million for the three and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2020 compared to three and six months ended June 30, 2019, respectively, primarily due to (i) the addition of an aggregate of 2.7 million barrels of storage capacity at our Midland, Cushing and St. James terminals and (ii) increased activity at certain of our West Coast terminals.</w:t>
      </w:r>
    </w:p>
    <w:p>
      <w:pPr>
        <w:spacing w:after="0" w:line="213" w:lineRule="exact"/>
        <w:rPr>
          <w:rFonts w:ascii="Arial" w:cs="Arial" w:eastAsia="Arial" w:hAnsi="Arial"/>
          <w:sz w:val="18"/>
          <w:szCs w:val="18"/>
          <w:color w:val="auto"/>
        </w:rPr>
      </w:pPr>
    </w:p>
    <w:p>
      <w:pPr>
        <w:ind w:left="980" w:hanging="324"/>
        <w:spacing w:after="0" w:line="254" w:lineRule="auto"/>
        <w:tabs>
          <w:tab w:leader="none" w:pos="975"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Revenues from our NGL operations decreased by $11 million for the three months ended June 30, 2020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2019 due primarily to the sale of certain NGL terminals in the fourth quarter of 2019 and the second quarter of 2020 and a net unfavorable foreign exchange impact of approximately $3 million. Revenues increased by $6 million for the six months ended June 30, 2020 compared to the same period in 2019 due to the favorable impact of the receipt of a deficiency payment of approximately $20 million upon the expiration of a multi-year contract and from higher fees at certain of our NGL storage facilities. Such favorable impact was partially offset by the sale of certain NGL terminals in the fourth quarter of 2019 and second quarter of 2020 and a net unfavorable foreign exchange impact of approximately $4 million.</w:t>
      </w:r>
    </w:p>
    <w:p>
      <w:pPr>
        <w:spacing w:after="0" w:line="221" w:lineRule="exact"/>
        <w:rPr>
          <w:rFonts w:ascii="Arial" w:cs="Arial" w:eastAsia="Arial" w:hAnsi="Arial"/>
          <w:sz w:val="18"/>
          <w:szCs w:val="18"/>
          <w:i w:val="1"/>
          <w:iCs w:val="1"/>
          <w:color w:val="auto"/>
        </w:rPr>
      </w:pPr>
    </w:p>
    <w:p>
      <w:pPr>
        <w:ind w:left="980" w:right="40" w:hanging="324"/>
        <w:spacing w:after="0" w:line="263"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Natural Gas Processing. </w:t>
      </w:r>
      <w:r>
        <w:rPr>
          <w:rFonts w:ascii="Arial" w:cs="Arial" w:eastAsia="Arial" w:hAnsi="Arial"/>
          <w:sz w:val="18"/>
          <w:szCs w:val="18"/>
          <w:color w:val="auto"/>
        </w:rPr>
        <w:t>Revenues, net of purchases and related costs, from our natural gas processing operations decreased by $6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both the three and six months ended June 30, 2020 compared to the same periods in 2019 primarily due to the unfavorable impact of a $5 million payment to resolve a contractual dispute.</w:t>
      </w:r>
    </w:p>
    <w:p>
      <w:pPr>
        <w:spacing w:after="0" w:line="211" w:lineRule="exact"/>
        <w:rPr>
          <w:sz w:val="20"/>
          <w:szCs w:val="20"/>
          <w:color w:val="auto"/>
        </w:rPr>
      </w:pPr>
    </w:p>
    <w:p>
      <w:pPr>
        <w:ind w:right="40" w:firstLine="648"/>
        <w:spacing w:after="0" w:line="274"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The decrease in field operating costs for the three and six months ended June 30, 2020 compared to the same periods in</w:t>
      </w:r>
      <w:r>
        <w:rPr>
          <w:rFonts w:ascii="Arial" w:cs="Arial" w:eastAsia="Arial" w:hAnsi="Arial"/>
          <w:sz w:val="16"/>
          <w:szCs w:val="16"/>
          <w:i w:val="1"/>
          <w:iCs w:val="1"/>
          <w:color w:val="auto"/>
        </w:rPr>
        <w:t xml:space="preserve"> </w:t>
      </w:r>
      <w:r>
        <w:rPr>
          <w:rFonts w:ascii="Arial" w:cs="Arial" w:eastAsia="Arial" w:hAnsi="Arial"/>
          <w:sz w:val="16"/>
          <w:szCs w:val="16"/>
          <w:color w:val="auto"/>
        </w:rPr>
        <w:t>2019 was primarily due a net favorable foreign exchange impact as well as decreases resulting from (i) the sale of certain NGL terminals referenced above,</w:t>
      </w:r>
    </w:p>
    <w:p>
      <w:pPr>
        <w:spacing w:after="0" w:line="1" w:lineRule="exact"/>
        <w:rPr>
          <w:sz w:val="20"/>
          <w:szCs w:val="20"/>
          <w:color w:val="auto"/>
        </w:rPr>
      </w:pPr>
    </w:p>
    <w:p>
      <w:pPr>
        <w:jc w:val="both"/>
        <w:ind w:right="180" w:firstLine="8"/>
        <w:spacing w:after="0" w:line="239" w:lineRule="auto"/>
        <w:tabs>
          <w:tab w:leader="none" w:pos="2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timing of integrity management activities, (iii) reduced activity at our rail terminals and (iv) reductions in compensation and insurance costs, partially offset by (v) the impact of less favorable mark-to-market gains in the current period on fuel hedges (which impacts field operating costs but are excluded from Segment Adjusted EBITDA and thus are reflected as an “Adjustment” in the table above).</w:t>
      </w:r>
    </w:p>
    <w:p>
      <w:pPr>
        <w:spacing w:after="0" w:line="216" w:lineRule="exact"/>
        <w:rPr>
          <w:sz w:val="20"/>
          <w:szCs w:val="20"/>
          <w:color w:val="auto"/>
        </w:rPr>
      </w:pPr>
    </w:p>
    <w:p>
      <w:pPr>
        <w:jc w:val="both"/>
        <w:ind w:right="160" w:firstLine="648"/>
        <w:spacing w:after="0" w:line="262" w:lineRule="auto"/>
        <w:rPr>
          <w:sz w:val="20"/>
          <w:szCs w:val="20"/>
          <w:color w:val="auto"/>
        </w:rPr>
      </w:pPr>
      <w:r>
        <w:rPr>
          <w:rFonts w:ascii="Arial" w:cs="Arial" w:eastAsia="Arial" w:hAnsi="Arial"/>
          <w:sz w:val="17"/>
          <w:szCs w:val="17"/>
          <w:i w:val="1"/>
          <w:iCs w:val="1"/>
          <w:color w:val="auto"/>
        </w:rPr>
        <w:t xml:space="preserve">Segment General and Administrative Expenses. </w:t>
      </w:r>
      <w:r>
        <w:rPr>
          <w:rFonts w:ascii="Arial" w:cs="Arial" w:eastAsia="Arial" w:hAnsi="Arial"/>
          <w:sz w:val="17"/>
          <w:szCs w:val="17"/>
          <w:color w:val="auto"/>
        </w:rPr>
        <w:t>The increase in segment general and administrative expenses for the three and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2020 compared to the same periods in 2019 was primarily due to legal costs (the benefit from this action will be reflected in future periods). The increase during the six-month comparative period was partially offset by lower equity-based compensation costs on liability-classified awards (which are not included as an “Adjustment” in the table above) due to a decrease in the PAA common unit price</w:t>
      </w:r>
    </w:p>
    <w:p>
      <w:pPr>
        <w:spacing w:after="0" w:line="19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decrease in maintenance capital spending for the three and six months ended June 30, 2020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2019 was primarily due to the timing of integrity management activities.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including regional differentials, and (iii) the effects of competition on our lease gathering and NGL margins. In addition, the execution of our risk management strategies in conjunction with our assets can provide upside in certain markets.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9"/>
                <w:szCs w:val="9"/>
                <w:b w:val="1"/>
                <w:bCs w:val="1"/>
                <w:color w:val="auto"/>
              </w:rPr>
              <w:t>(1)</w:t>
            </w:r>
          </w:p>
        </w:tc>
        <w:tc>
          <w:tcPr>
            <w:tcW w:w="160" w:type="dxa"/>
            <w:vAlign w:val="bottom"/>
          </w:tcPr>
          <w:p>
            <w:pPr>
              <w:spacing w:after="0"/>
              <w:rPr>
                <w:sz w:val="14"/>
                <w:szCs w:val="14"/>
                <w:color w:val="auto"/>
              </w:rPr>
            </w:pPr>
          </w:p>
        </w:tc>
        <w:tc>
          <w:tcPr>
            <w:tcW w:w="17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2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240" w:type="dxa"/>
            <w:vAlign w:val="bottom"/>
          </w:tcPr>
          <w:p>
            <w:pPr>
              <w:spacing w:after="0"/>
              <w:rPr>
                <w:sz w:val="14"/>
                <w:szCs w:val="14"/>
                <w:color w:val="auto"/>
              </w:rPr>
            </w:pPr>
          </w:p>
        </w:tc>
        <w:tc>
          <w:tcPr>
            <w:tcW w:w="114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7,915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15,938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Purchases and related costs</w:t>
            </w:r>
          </w:p>
        </w:tc>
        <w:tc>
          <w:tcPr>
            <w:tcW w:w="16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w w:val="98"/>
              </w:rPr>
              <w:t>(2,903)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w w:val="91"/>
              </w:rPr>
              <w:t>(7,700)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4,797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w w:val="92"/>
              </w:rPr>
              <w:t>(10,717)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89"/>
              </w:rPr>
              <w:t>(15,262)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4,545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2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160" w:type="dxa"/>
            <w:vAlign w:val="bottom"/>
          </w:tcPr>
          <w:p>
            <w:pPr>
              <w:spacing w:after="0"/>
              <w:rPr>
                <w:sz w:val="15"/>
                <w:szCs w:val="15"/>
                <w:color w:val="auto"/>
              </w:rPr>
            </w:pPr>
          </w:p>
        </w:tc>
        <w:tc>
          <w:tcPr>
            <w:tcW w:w="680" w:type="dxa"/>
            <w:vAlign w:val="bottom"/>
            <w:vMerge w:val="restart"/>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ind w:right="1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(Gains)/losses from derivative activities,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of inventory valuation adjustments</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gridSpan w:val="2"/>
          </w:tcPr>
          <w:p>
            <w:pPr>
              <w:ind w:left="120"/>
              <w:spacing w:after="0"/>
              <w:rPr>
                <w:sz w:val="20"/>
                <w:szCs w:val="20"/>
                <w:color w:val="auto"/>
              </w:rPr>
            </w:pPr>
            <w:r>
              <w:rPr>
                <w:rFonts w:ascii="Arial" w:cs="Arial" w:eastAsia="Arial" w:hAnsi="Arial"/>
                <w:sz w:val="18"/>
                <w:szCs w:val="18"/>
                <w:color w:val="auto"/>
              </w:rPr>
              <w:t>Long-term inventory costing</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12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20"/>
                <w:szCs w:val="20"/>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8"/>
              </w:rPr>
              <w:t>Equity-indexed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gridSpan w:val="2"/>
          </w:tcPr>
          <w:p>
            <w:pPr>
              <w:ind w:left="120"/>
              <w:spacing w:after="0"/>
              <w:rPr>
                <w:sz w:val="20"/>
                <w:szCs w:val="20"/>
                <w:color w:val="auto"/>
              </w:rPr>
            </w:pPr>
            <w:r>
              <w:rPr>
                <w:rFonts w:ascii="Arial" w:cs="Arial" w:eastAsia="Arial" w:hAnsi="Arial"/>
                <w:sz w:val="18"/>
                <w:szCs w:val="18"/>
                <w:color w:val="auto"/>
              </w:rPr>
              <w:t>Net (gain)/loss on foreign currency</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120"/>
              <w:spacing w:after="0"/>
              <w:rPr>
                <w:sz w:val="20"/>
                <w:szCs w:val="20"/>
                <w:color w:val="auto"/>
              </w:rPr>
            </w:pPr>
            <w:r>
              <w:rPr>
                <w:rFonts w:ascii="Arial" w:cs="Arial" w:eastAsia="Arial" w:hAnsi="Arial"/>
                <w:sz w:val="18"/>
                <w:szCs w:val="18"/>
                <w:color w:val="auto"/>
              </w:rPr>
              <w:t>revaluation</w:t>
            </w:r>
          </w:p>
        </w:tc>
        <w:tc>
          <w:tcPr>
            <w:tcW w:w="16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9"/>
                <w:szCs w:val="9"/>
                <w:b w:val="1"/>
                <w:bCs w:val="1"/>
                <w:color w:val="auto"/>
              </w:rPr>
              <w:t>(4)</w:t>
            </w:r>
          </w:p>
        </w:tc>
        <w:tc>
          <w:tcPr>
            <w:tcW w:w="19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3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40" w:type="dxa"/>
            <w:vAlign w:val="bottom"/>
            <w:gridSpan w:val="2"/>
            <w:vMerge w:val="continue"/>
          </w:tcPr>
          <w:p>
            <w:pPr>
              <w:spacing w:after="0"/>
              <w:rPr>
                <w:sz w:val="16"/>
                <w:szCs w:val="16"/>
                <w:color w:val="auto"/>
              </w:rPr>
            </w:pPr>
          </w:p>
        </w:tc>
        <w:tc>
          <w:tcPr>
            <w:tcW w:w="120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of barrels per day)</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Volumes</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Crude oil lease gathering purchases</w:t>
            </w:r>
          </w:p>
        </w:tc>
        <w:tc>
          <w:tcPr>
            <w:tcW w:w="840" w:type="dxa"/>
            <w:vAlign w:val="bottom"/>
          </w:tcPr>
          <w:p>
            <w:pPr>
              <w:jc w:val="right"/>
              <w:ind w:right="59"/>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ind w:right="55"/>
              <w:spacing w:after="0"/>
              <w:rPr>
                <w:sz w:val="20"/>
                <w:szCs w:val="20"/>
                <w:color w:val="auto"/>
              </w:rPr>
            </w:pPr>
            <w:r>
              <w:rPr>
                <w:rFonts w:ascii="Arial" w:cs="Arial" w:eastAsia="Arial" w:hAnsi="Arial"/>
                <w:sz w:val="18"/>
                <w:szCs w:val="18"/>
                <w:color w:val="auto"/>
                <w:w w:val="93"/>
              </w:rPr>
              <w:t>1,102</w:t>
            </w:r>
          </w:p>
        </w:tc>
        <w:tc>
          <w:tcPr>
            <w:tcW w:w="12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NGL sales</w:t>
            </w:r>
          </w:p>
        </w:tc>
        <w:tc>
          <w:tcPr>
            <w:tcW w:w="840" w:type="dxa"/>
            <w:vAlign w:val="bottom"/>
          </w:tcPr>
          <w:p>
            <w:pPr>
              <w:jc w:val="right"/>
              <w:ind w:right="59"/>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jc w:val="right"/>
              <w:ind w:right="55"/>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3"/>
                <w:szCs w:val="23"/>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240" w:type="dxa"/>
            <w:vAlign w:val="bottom"/>
            <w:gridSpan w:val="2"/>
            <w:vMerge w:val="restart"/>
          </w:tcPr>
          <w:p>
            <w:pPr>
              <w:ind w:left="180"/>
              <w:spacing w:after="0"/>
              <w:rPr>
                <w:sz w:val="20"/>
                <w:szCs w:val="20"/>
                <w:color w:val="auto"/>
              </w:rPr>
            </w:pPr>
            <w:r>
              <w:rPr>
                <w:rFonts w:ascii="Arial" w:cs="Arial" w:eastAsia="Arial" w:hAnsi="Arial"/>
                <w:sz w:val="18"/>
                <w:szCs w:val="18"/>
                <w:color w:val="auto"/>
              </w:rPr>
              <w:t>Supply and Logistics segment total</w:t>
            </w: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40" w:type="dxa"/>
            <w:vAlign w:val="bottom"/>
            <w:gridSpan w:val="2"/>
            <w:vMerge w:val="continue"/>
          </w:tcPr>
          <w:p>
            <w:pPr>
              <w:spacing w:after="0"/>
              <w:rPr>
                <w:sz w:val="18"/>
                <w:szCs w:val="18"/>
                <w:color w:val="auto"/>
              </w:rPr>
            </w:pPr>
          </w:p>
        </w:tc>
        <w:tc>
          <w:tcPr>
            <w:tcW w:w="840" w:type="dxa"/>
            <w:vAlign w:val="bottom"/>
            <w:vMerge w:val="restart"/>
          </w:tcPr>
          <w:p>
            <w:pPr>
              <w:jc w:val="right"/>
              <w:ind w:right="59"/>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vMerge w:val="restart"/>
          </w:tcPr>
          <w:p>
            <w:pPr>
              <w:jc w:val="right"/>
              <w:ind w:right="55"/>
              <w:spacing w:after="0"/>
              <w:rPr>
                <w:sz w:val="20"/>
                <w:szCs w:val="20"/>
                <w:color w:val="auto"/>
              </w:rPr>
            </w:pPr>
            <w:r>
              <w:rPr>
                <w:rFonts w:ascii="Arial" w:cs="Arial" w:eastAsia="Arial" w:hAnsi="Arial"/>
                <w:sz w:val="18"/>
                <w:szCs w:val="18"/>
                <w:color w:val="auto"/>
                <w:w w:val="93"/>
              </w:rPr>
              <w:t>1,260</w:t>
            </w:r>
          </w:p>
        </w:tc>
        <w:tc>
          <w:tcPr>
            <w:tcW w:w="120" w:type="dxa"/>
            <w:vAlign w:val="bottom"/>
          </w:tcPr>
          <w:p>
            <w:pPr>
              <w:spacing w:after="0"/>
              <w:rPr>
                <w:sz w:val="18"/>
                <w:szCs w:val="18"/>
                <w:color w:val="auto"/>
              </w:rPr>
            </w:pPr>
          </w:p>
        </w:tc>
        <w:tc>
          <w:tcPr>
            <w:tcW w:w="960" w:type="dxa"/>
            <w:vAlign w:val="bottom"/>
            <w:vMerge w:val="restart"/>
          </w:tcPr>
          <w:p>
            <w:pPr>
              <w:jc w:val="right"/>
              <w:ind w:right="17"/>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volumes</w:t>
            </w:r>
          </w:p>
        </w:tc>
        <w:tc>
          <w:tcPr>
            <w:tcW w:w="8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660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660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60" w:hanging="152"/>
        <w:spacing w:after="0"/>
        <w:tabs>
          <w:tab w:leader="none" w:pos="160" w:val="left"/>
        </w:tabs>
        <w:numPr>
          <w:ilvl w:val="0"/>
          <w:numId w:val="54"/>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138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80" w:type="dxa"/>
            <w:vAlign w:val="bottom"/>
            <w:tcBorders>
              <w:bottom w:val="single" w:sz="8" w:color="auto"/>
            </w:tcBorders>
            <w:gridSpan w:val="3"/>
          </w:tcPr>
          <w:p>
            <w:pPr>
              <w:jc w:val="center"/>
              <w:ind w:left="499"/>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ind w:right="19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7"/>
                <w:szCs w:val="17"/>
                <w:color w:val="auto"/>
              </w:rPr>
            </w:pPr>
          </w:p>
        </w:tc>
        <w:tc>
          <w:tcPr>
            <w:tcW w:w="1380" w:type="dxa"/>
            <w:vAlign w:val="bottom"/>
            <w:gridSpan w:val="3"/>
          </w:tcPr>
          <w:p>
            <w:pPr>
              <w:ind w:left="220"/>
              <w:spacing w:after="0"/>
              <w:rPr>
                <w:sz w:val="20"/>
                <w:szCs w:val="20"/>
                <w:color w:val="auto"/>
              </w:rPr>
            </w:pPr>
            <w:r>
              <w:rPr>
                <w:rFonts w:ascii="Arial" w:cs="Arial" w:eastAsia="Arial" w:hAnsi="Arial"/>
                <w:sz w:val="14"/>
                <w:szCs w:val="14"/>
                <w:b w:val="1"/>
                <w:bCs w:val="1"/>
                <w:color w:val="auto"/>
              </w:rPr>
              <w:t>Volumes</w:t>
            </w:r>
          </w:p>
        </w:tc>
        <w:tc>
          <w:tcPr>
            <w:tcW w:w="620" w:type="dxa"/>
            <w:vAlign w:val="bottom"/>
          </w:tcPr>
          <w:p>
            <w:pPr>
              <w:jc w:val="right"/>
              <w:ind w:right="2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w w:val="93"/>
              </w:rPr>
              <w:t>1,115</w:t>
            </w:r>
          </w:p>
        </w:tc>
        <w:tc>
          <w:tcPr>
            <w:tcW w:w="100" w:type="dxa"/>
            <w:vAlign w:val="bottom"/>
          </w:tcPr>
          <w:p>
            <w:pPr>
              <w:spacing w:after="0"/>
              <w:rPr>
                <w:sz w:val="21"/>
                <w:szCs w:val="21"/>
                <w:color w:val="auto"/>
              </w:rPr>
            </w:pPr>
          </w:p>
        </w:tc>
        <w:tc>
          <w:tcPr>
            <w:tcW w:w="98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0"/>
        </w:trPr>
        <w:tc>
          <w:tcPr>
            <w:tcW w:w="820" w:type="dxa"/>
            <w:vAlign w:val="bottom"/>
          </w:tcPr>
          <w:p>
            <w:pPr>
              <w:jc w:val="right"/>
              <w:ind w:right="59"/>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ind w:right="75"/>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820" w:type="dxa"/>
            <w:vAlign w:val="bottom"/>
          </w:tcPr>
          <w:p>
            <w:pPr>
              <w:jc w:val="right"/>
              <w:ind w:right="59"/>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75"/>
              <w:spacing w:after="0"/>
              <w:rPr>
                <w:sz w:val="20"/>
                <w:szCs w:val="20"/>
                <w:color w:val="auto"/>
              </w:rPr>
            </w:pPr>
            <w:r>
              <w:rPr>
                <w:rFonts w:ascii="Arial" w:cs="Arial" w:eastAsia="Arial" w:hAnsi="Arial"/>
                <w:sz w:val="18"/>
                <w:szCs w:val="18"/>
                <w:color w:val="auto"/>
                <w:w w:val="93"/>
              </w:rPr>
              <w:t>1,357</w:t>
            </w:r>
          </w:p>
        </w:tc>
        <w:tc>
          <w:tcPr>
            <w:tcW w:w="10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3" w:lineRule="exact"/>
        <w:rPr>
          <w:sz w:val="20"/>
          <w:szCs w:val="20"/>
          <w:color w:val="auto"/>
        </w:rPr>
      </w:pPr>
    </w:p>
    <w:p>
      <w:pPr>
        <w:sectPr>
          <w:pgSz w:w="11900" w:h="16838" w:orient="portrait"/>
          <w:cols w:equalWidth="0" w:num="2">
            <w:col w:w="7140" w:space="220"/>
            <w:col w:w="3880"/>
          </w:cols>
          <w:pgMar w:left="320" w:top="125"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Revenues and costs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72" w:lineRule="exact"/>
        <w:rPr>
          <w:sz w:val="20"/>
          <w:szCs w:val="20"/>
          <w:color w:val="auto"/>
        </w:rPr>
      </w:pPr>
    </w:p>
    <w:p>
      <w:pPr>
        <w:ind w:left="20" w:right="48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Average daily volumes are calculated as the total volumes for the period divided by the number of days in the period.</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range of the NYMEX WTI benchmark price of crude oil (in dollars per barrel):</w:t>
      </w:r>
    </w:p>
    <w:p>
      <w:pPr>
        <w:spacing w:after="0" w:line="298"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NYMEX WTI</w:t>
      </w:r>
    </w:p>
    <w:p>
      <w:pPr>
        <w:spacing w:after="0" w:line="4"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Crude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13335</wp:posOffset>
            </wp:positionV>
            <wp:extent cx="18859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Low</w:t>
            </w: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High</w:t>
            </w:r>
          </w:p>
        </w:tc>
      </w:tr>
      <w:tr>
        <w:trPr>
          <w:trHeight w:val="249"/>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2020</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center"/>
              <w:ind w:left="474"/>
              <w:spacing w:after="0"/>
              <w:rPr>
                <w:sz w:val="20"/>
                <w:szCs w:val="20"/>
                <w:color w:val="auto"/>
              </w:rPr>
            </w:pPr>
            <w:r>
              <w:rPr>
                <w:rFonts w:ascii="Arial" w:cs="Arial" w:eastAsia="Arial" w:hAnsi="Arial"/>
                <w:sz w:val="18"/>
                <w:szCs w:val="18"/>
                <w:color w:val="auto"/>
                <w:w w:val="93"/>
              </w:rPr>
              <w:t>(38)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Three months ended June 30, 2019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514"/>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66</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8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Six months ended June 30, 2020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474"/>
              <w:spacing w:after="0"/>
              <w:rPr>
                <w:sz w:val="20"/>
                <w:szCs w:val="20"/>
                <w:color w:val="auto"/>
              </w:rPr>
            </w:pPr>
            <w:r>
              <w:rPr>
                <w:rFonts w:ascii="Arial" w:cs="Arial" w:eastAsia="Arial" w:hAnsi="Arial"/>
                <w:sz w:val="18"/>
                <w:szCs w:val="18"/>
                <w:color w:val="auto"/>
                <w:w w:val="93"/>
              </w:rPr>
              <w:t>(38)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63</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June 30, 2019</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514"/>
              <w:spacing w:after="0"/>
              <w:rPr>
                <w:sz w:val="20"/>
                <w:szCs w:val="20"/>
                <w:color w:val="auto"/>
              </w:rPr>
            </w:pPr>
            <w:r>
              <w:rPr>
                <w:rFonts w:ascii="Arial" w:cs="Arial" w:eastAsia="Arial" w:hAnsi="Arial"/>
                <w:sz w:val="18"/>
                <w:szCs w:val="18"/>
                <w:color w:val="auto"/>
                <w:w w:val="89"/>
              </w:rPr>
              <w:t>46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66</w:t>
            </w:r>
          </w:p>
        </w:tc>
      </w:tr>
      <w:tr>
        <w:trPr>
          <w:trHeight w:val="27"/>
        </w:trPr>
        <w:tc>
          <w:tcPr>
            <w:tcW w:w="8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Our crude oil and NGL supply, logistics and distribution operations are not directly affected by the absolute level of prices. 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Additionally, net revenues are impacted by net gains and losses from certain derivative activities during the periods.</w:t>
      </w:r>
    </w:p>
    <w:p>
      <w:pPr>
        <w:spacing w:after="0" w:line="171" w:lineRule="exact"/>
        <w:rPr>
          <w:sz w:val="20"/>
          <w:szCs w:val="20"/>
          <w:color w:val="auto"/>
        </w:rPr>
      </w:pPr>
    </w:p>
    <w:p>
      <w:pPr>
        <w:ind w:right="660" w:firstLine="648"/>
        <w:spacing w:after="0" w:line="263"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The following summarizes the significant items impacting our Supply and Logistics Segment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w:t>
      </w:r>
    </w:p>
    <w:p>
      <w:pPr>
        <w:spacing w:after="0" w:line="197" w:lineRule="exact"/>
        <w:rPr>
          <w:sz w:val="20"/>
          <w:szCs w:val="20"/>
          <w:color w:val="auto"/>
        </w:rPr>
      </w:pPr>
    </w:p>
    <w:p>
      <w:pPr>
        <w:ind w:left="980" w:hanging="324"/>
        <w:spacing w:after="0" w:line="254" w:lineRule="auto"/>
        <w:tabs>
          <w:tab w:leader="none" w:pos="97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Crude Oil Operations. </w:t>
      </w:r>
      <w:r>
        <w:rPr>
          <w:rFonts w:ascii="Arial" w:cs="Arial" w:eastAsia="Arial" w:hAnsi="Arial"/>
          <w:sz w:val="18"/>
          <w:szCs w:val="18"/>
          <w:color w:val="auto"/>
        </w:rPr>
        <w:t>Revenues, net of purchases and related costs, (“net revenues”) from our crude oil operations decreased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six months ended June 30, 2020 compared to the three and six months ended June 30, 2019, primarily due to a combination of (i) significant curtailments and shut-ins by producers due to the low crude oil prices in the second quarter, (ii) less favorable differentials in the Permian Basin and Canada and (iii) the impact of weighted average inventory costing resulting in lower margins during the period (which will result in higher margins in the second half of 2020), partially offset by the favorable impact of contango market conditions during the second quarter of 2020. The decrease in the six-month comparative period was partially offset by favorable arbitrage opportunities in Canada during the first quarter of 2020.</w:t>
      </w:r>
    </w:p>
    <w:p>
      <w:pPr>
        <w:spacing w:after="0" w:line="221" w:lineRule="exact"/>
        <w:rPr>
          <w:rFonts w:ascii="Arial" w:cs="Arial" w:eastAsia="Arial" w:hAnsi="Arial"/>
          <w:sz w:val="18"/>
          <w:szCs w:val="18"/>
          <w:color w:val="auto"/>
        </w:rPr>
      </w:pPr>
    </w:p>
    <w:p>
      <w:pPr>
        <w:ind w:left="980" w:right="200" w:hanging="324"/>
        <w:spacing w:after="0" w:line="259" w:lineRule="auto"/>
        <w:tabs>
          <w:tab w:leader="none" w:pos="97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Net revenues from our NGL operations decreased for the three and six months ended June 30, 2020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six months ended June 30, 2019, primarily due to weaker fractionation spreads, lower border flows through our straddle plants and the decision to decrease shoulder month sales volumes and increase winter month sales volumes, plus the absence of the favorable impact from certain non-recurring items recorded in the second quarter of 2019.</w:t>
      </w:r>
    </w:p>
    <w:p>
      <w:pPr>
        <w:spacing w:after="0" w:line="213" w:lineRule="exact"/>
        <w:rPr>
          <w:rFonts w:ascii="Arial" w:cs="Arial" w:eastAsia="Arial" w:hAnsi="Arial"/>
          <w:sz w:val="18"/>
          <w:szCs w:val="18"/>
          <w:color w:val="auto"/>
        </w:rPr>
      </w:pPr>
    </w:p>
    <w:p>
      <w:pPr>
        <w:ind w:left="980" w:right="80" w:hanging="324"/>
        <w:spacing w:after="0" w:line="254" w:lineRule="auto"/>
        <w:tabs>
          <w:tab w:leader="none" w:pos="975"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Impact from Certain Derivative Activities Net of Inventory Valuation Adjustments. </w:t>
      </w:r>
      <w:r>
        <w:rPr>
          <w:rFonts w:ascii="Arial" w:cs="Arial" w:eastAsia="Arial" w:hAnsi="Arial"/>
          <w:sz w:val="18"/>
          <w:szCs w:val="18"/>
          <w:color w:val="auto"/>
        </w:rPr>
        <w:t>The impact from certain derivative activities on our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includes mark-to-market and other gains and losses resulting from certain derivative instruments that are related to underlying activities in another period (or the reversal of mark-to-market gains and losses from a prior period), losses on derivatives that are related to investing activities (such as the purchase of linefill) and inventory valuation adjustments, as applicable. See Note 10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221" w:lineRule="exact"/>
        <w:rPr>
          <w:rFonts w:ascii="Arial" w:cs="Arial" w:eastAsia="Arial" w:hAnsi="Arial"/>
          <w:sz w:val="18"/>
          <w:szCs w:val="18"/>
          <w:i w:val="1"/>
          <w:iCs w:val="1"/>
          <w:color w:val="auto"/>
        </w:rPr>
      </w:pPr>
    </w:p>
    <w:p>
      <w:pPr>
        <w:ind w:left="980" w:right="40" w:hanging="324"/>
        <w:spacing w:after="0" w:line="255" w:lineRule="auto"/>
        <w:tabs>
          <w:tab w:leader="none" w:pos="97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Inventory Costing Adjustments. </w:t>
      </w:r>
      <w:r>
        <w:rPr>
          <w:rFonts w:ascii="Arial" w:cs="Arial" w:eastAsia="Arial" w:hAnsi="Arial"/>
          <w:sz w:val="18"/>
          <w:szCs w:val="18"/>
          <w:color w:val="auto"/>
        </w:rPr>
        <w:t>Our net revenues are impacted by changes in the weighted average cost of our crude oil and NGL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980" w:right="160" w:hanging="324"/>
        <w:spacing w:after="0" w:line="286" w:lineRule="auto"/>
        <w:tabs>
          <w:tab w:leader="none" w:pos="975"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Foreign Exchange Impacts. </w:t>
      </w:r>
      <w:r>
        <w:rPr>
          <w:rFonts w:ascii="Arial" w:cs="Arial" w:eastAsia="Arial" w:hAnsi="Arial"/>
          <w:sz w:val="17"/>
          <w:szCs w:val="17"/>
          <w:color w:val="auto"/>
        </w:rPr>
        <w:t>Our net revenues are impacted by fluctuations in the value of CAD to USD, resulting in foreign exchange gains</w:t>
      </w:r>
      <w:r>
        <w:rPr>
          <w:rFonts w:ascii="Arial" w:cs="Arial" w:eastAsia="Arial" w:hAnsi="Arial"/>
          <w:sz w:val="17"/>
          <w:szCs w:val="17"/>
          <w:i w:val="1"/>
          <w:iCs w:val="1"/>
          <w:color w:val="auto"/>
        </w:rPr>
        <w:t xml:space="preserve"> </w:t>
      </w:r>
      <w:r>
        <w:rPr>
          <w:rFonts w:ascii="Arial" w:cs="Arial" w:eastAsia="Arial" w:hAnsi="Arial"/>
          <w:sz w:val="17"/>
          <w:szCs w:val="17"/>
          <w:color w:val="auto"/>
        </w:rPr>
        <w:t>and losses on U.S. denominated net assets within our Canadian operations. These non-cash gains and losses impact our net revenues but are excluded from Segment Adjusted EBITDA and thus are reflected as an “Adjustment” in the table above.</w:t>
      </w:r>
    </w:p>
    <w:p>
      <w:pPr>
        <w:spacing w:after="0" w:line="192" w:lineRule="exact"/>
        <w:rPr>
          <w:rFonts w:ascii="Arial" w:cs="Arial" w:eastAsia="Arial" w:hAnsi="Arial"/>
          <w:sz w:val="17"/>
          <w:szCs w:val="17"/>
          <w:color w:val="auto"/>
        </w:rPr>
      </w:pPr>
    </w:p>
    <w:p>
      <w:pPr>
        <w:ind w:left="980" w:right="120" w:hanging="324"/>
        <w:spacing w:after="0" w:line="263" w:lineRule="auto"/>
        <w:tabs>
          <w:tab w:leader="none" w:pos="975"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three and six months ended June 30, 2020 compared to the same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in 2019 was primarily driven by a decrease in long-haul third-party trucking costs and a decrease in company personnel and truck costs as additional pipeline capacity came into service after the first half of 2019.</w:t>
      </w:r>
    </w:p>
    <w:p>
      <w:pPr>
        <w:spacing w:after="0" w:line="210" w:lineRule="exact"/>
        <w:rPr>
          <w:rFonts w:ascii="Arial" w:cs="Arial" w:eastAsia="Arial" w:hAnsi="Arial"/>
          <w:sz w:val="18"/>
          <w:szCs w:val="18"/>
          <w:i w:val="1"/>
          <w:iCs w:val="1"/>
          <w:color w:val="auto"/>
        </w:rPr>
      </w:pPr>
    </w:p>
    <w:p>
      <w:pPr>
        <w:ind w:left="980" w:right="100" w:hanging="324"/>
        <w:spacing w:after="0" w:line="301" w:lineRule="auto"/>
        <w:tabs>
          <w:tab w:leader="none" w:pos="975"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Segment General and Administrative Expenses</w:t>
      </w:r>
      <w:r>
        <w:rPr>
          <w:rFonts w:ascii="Arial" w:cs="Arial" w:eastAsia="Arial" w:hAnsi="Arial"/>
          <w:sz w:val="16"/>
          <w:szCs w:val="16"/>
          <w:color w:val="auto"/>
        </w:rPr>
        <w:t>. The decrease in segment general and administrative expenses for the three and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2020 compared to the same periods in 2019 was primarily driven by lower compensation costs and decreased travel and entertainment costs. The six-month comparative period was further favorably impacted by a decrease in equity-based compensation costs on liability-classified awards (which are not included as an “Adjustment” in the table above) due to a decrease in the PAA common unit price.</w:t>
      </w:r>
    </w:p>
    <w:p>
      <w:pPr>
        <w:spacing w:after="0" w:line="18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increase in maintenance capital spending for the three and six months ended June 30, 2020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2019 was due to higher tractor trailer lease buyouts.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Depreciation and amortization expense increased for the three and six months ended June 30, 2020 compared to the three and six months ended June 30, 2019 largely driven by (i) additional depreciation expense associated with the completion of various capital expansion projects and (ii) a reduction in the useful lives of certain assets.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56"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The net loss on asset sales and asset impairments for the six months ended June 30, 2020 was largely driven by (i) non-cash impairment losses of approximately $446 million related to the write-down of certain pipeline and other long-lived assets due to the current macroeconomic and geopolitical conditions including the collapse of oil prices driven by both the decrease in demand caused by the COVID-19 pandemic and excess supply, as well as changing market conditions and expected lower crude oil production in certain regions, and (ii) approximately $167 million of impairment losses recognized on assets upon classification as held for sale. See Note 14 for additional information regarding these asset impairments.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Goodwill Impairment Losses</w:t>
      </w:r>
    </w:p>
    <w:p>
      <w:pPr>
        <w:spacing w:after="0" w:line="25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During the first quarter of 2020, we recognized a goodwill impairment charge of $2.5 billion, representing the entire balance of goodwill. See Note 6 to our Condensed Consolidated Financial Statements for additional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on/(Impairment of) Investments in Unconsolidated Entities, Net</w:t>
      </w:r>
    </w:p>
    <w:p>
      <w:pPr>
        <w:spacing w:after="0" w:line="229"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auto"/>
        </w:rPr>
        <w:t>During the three and six months ended June 30, 2020, we recognized a loss of $69 million and $112 million, respectively, related to the write-down of certain of our investments in unconsolidated entities. Additionally, during the six months ended June 30, 2020, we recognized a gain of</w:t>
      </w:r>
    </w:p>
    <w:p>
      <w:pPr>
        <w:jc w:val="both"/>
        <w:ind w:right="180"/>
        <w:spacing w:after="0" w:line="253" w:lineRule="auto"/>
        <w:rPr>
          <w:sz w:val="20"/>
          <w:szCs w:val="20"/>
          <w:color w:val="auto"/>
        </w:rPr>
      </w:pPr>
      <w:r>
        <w:rPr>
          <w:rFonts w:ascii="Arial" w:cs="Arial" w:eastAsia="Arial" w:hAnsi="Arial"/>
          <w:sz w:val="18"/>
          <w:szCs w:val="18"/>
          <w:color w:val="auto"/>
        </w:rPr>
        <w:t>$21 million related to our sale of a 10% interest in Saddlehorn Pipeline Company, LLC. See Note 7 to our Condensed Consolidated Financial Statements for additional information. During the six months ended June 30, 2019, we recognized a non-cash gain of $267 million related to a fair value adjustment resulting from the accounting for the contribution of our undivided joint interest in the Capline pipeline system for an equity interest in Capline Pipeline Company LLC.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The increase in interest expense for the three and six months ended June 30, 2020 compared to the three and six months ended June 30, 2019 was primarily due to (i) lower capitalized interest in the 2020 period driven by fewer capital projects under construction and (ii) a higher weighted average debt balance during the 2020 period from higher PAA commercial paper and credit facility borrowings.</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income/(expense), net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84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1"/>
        </w:trPr>
        <w:tc>
          <w:tcPr>
            <w:tcW w:w="67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w w:val="95"/>
              </w:rPr>
              <w:t>Gain/(loss) related to mark-to-market adjustment of the Preferred Distribution Rate Reset</w:t>
            </w:r>
          </w:p>
        </w:tc>
        <w:tc>
          <w:tcPr>
            <w:tcW w:w="700" w:type="dxa"/>
            <w:vAlign w:val="bottom"/>
            <w:vMerge w:val="restart"/>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3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w w:val="99"/>
              </w:rPr>
              <w:t>(9)</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Option </w:t>
            </w:r>
            <w:r>
              <w:rPr>
                <w:rFonts w:ascii="Arial" w:cs="Arial" w:eastAsia="Arial" w:hAnsi="Arial"/>
                <w:sz w:val="23"/>
                <w:szCs w:val="23"/>
                <w:color w:val="auto"/>
                <w:vertAlign w:val="superscript"/>
              </w:rPr>
              <w:t>(1)</w:t>
            </w:r>
          </w:p>
        </w:tc>
        <w:tc>
          <w:tcPr>
            <w:tcW w:w="70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20"/>
              <w:spacing w:after="0"/>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(2)</w:t>
            </w:r>
          </w:p>
        </w:tc>
        <w:tc>
          <w:tcPr>
            <w:tcW w:w="700" w:type="dxa"/>
            <w:vAlign w:val="bottom"/>
          </w:tcPr>
          <w:p>
            <w:pPr>
              <w:spacing w:after="0"/>
              <w:rPr>
                <w:sz w:val="23"/>
                <w:szCs w:val="23"/>
                <w:color w:val="auto"/>
              </w:rPr>
            </w:pPr>
          </w:p>
        </w:tc>
        <w:tc>
          <w:tcPr>
            <w:tcW w:w="360" w:type="dxa"/>
            <w:vAlign w:val="bottom"/>
          </w:tcPr>
          <w:p>
            <w:pPr>
              <w:jc w:val="right"/>
              <w:ind w:right="74"/>
              <w:spacing w:after="0"/>
              <w:rPr>
                <w:sz w:val="20"/>
                <w:szCs w:val="20"/>
                <w:color w:val="auto"/>
              </w:rPr>
            </w:pPr>
            <w:r>
              <w:rPr>
                <w:rFonts w:ascii="Arial" w:cs="Arial" w:eastAsia="Arial" w:hAnsi="Arial"/>
                <w:sz w:val="18"/>
                <w:szCs w:val="18"/>
                <w:color w:val="auto"/>
                <w:w w:val="89"/>
              </w:rPr>
              <w:t>23</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p>
        </w:tc>
        <w:tc>
          <w:tcPr>
            <w:tcW w:w="700" w:type="dxa"/>
            <w:vAlign w:val="bottom"/>
            <w:tcBorders>
              <w:top w:val="single" w:sz="8" w:color="auto"/>
            </w:tcBorders>
          </w:tcPr>
          <w:p>
            <w:pPr>
              <w:jc w:val="right"/>
              <w:ind w:right="5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89"/>
              </w:rPr>
              <w:t>18</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Note 10 to our Condensed Consolidated Financial Statements for additional information.</w:t>
      </w:r>
    </w:p>
    <w:p>
      <w:pPr>
        <w:spacing w:after="0" w:line="117" w:lineRule="exact"/>
        <w:rPr>
          <w:sz w:val="20"/>
          <w:szCs w:val="20"/>
          <w:color w:val="auto"/>
        </w:rPr>
      </w:pPr>
    </w:p>
    <w:p>
      <w:pPr>
        <w:ind w:left="20" w:right="540" w:hanging="11"/>
        <w:spacing w:after="0" w:line="308" w:lineRule="auto"/>
        <w:rPr>
          <w:sz w:val="20"/>
          <w:szCs w:val="20"/>
          <w:color w:val="auto"/>
        </w:rPr>
      </w:pPr>
      <w:r>
        <w:rPr>
          <w:rFonts w:ascii="Arial" w:cs="Arial" w:eastAsia="Arial" w:hAnsi="Arial"/>
          <w:sz w:val="17"/>
          <w:szCs w:val="17"/>
          <w:color w:val="auto"/>
        </w:rPr>
        <w:t>The net loss during the three and six months ended June 30, 2020 was primarily related to the impact that the change in in the U.S. dollar to Canadian dollar exchange rate had on the portion of our intercompany net investment that is not long-term in nature.</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 (Expense)/Benefit</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9"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The increase in the income tax benefit for the three and six months ended June 30, 2020 compared to the three and six months ended June 30, 2019 was primarily due to the impact of lower earnings at PAA, including goodwill impairment losses, on income attributable to PAGP.</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(ii) borrowings under PAA’s credit facilities or the PAA commercial paper program and (iii) funds received from sales of equity and debt securities. In addition, we may supplement these sources of liquidity with proceeds from our divestiture program, as further discussed below in the section entitled “—Acquisitions and Capital Expenditures.” Our primary cash requirements include, but are not limited to, (i) ordinary course of business uses, such as the payment of amounts related to the purchase of crude oil, NGL and other products, other expenses and interest payments on outstanding debt, (ii) 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PAA’s credit facilities. In addition, we generally expect to fund our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equity or debt securities and the sale of assets.</w:t>
      </w:r>
    </w:p>
    <w:p>
      <w:pPr>
        <w:spacing w:after="0" w:line="195" w:lineRule="exact"/>
        <w:rPr>
          <w:sz w:val="20"/>
          <w:szCs w:val="20"/>
          <w:color w:val="auto"/>
        </w:rPr>
      </w:pPr>
    </w:p>
    <w:p>
      <w:pPr>
        <w:ind w:right="220" w:firstLine="648"/>
        <w:spacing w:after="0" w:line="293" w:lineRule="auto"/>
        <w:rPr>
          <w:sz w:val="20"/>
          <w:szCs w:val="20"/>
          <w:color w:val="auto"/>
        </w:rPr>
      </w:pPr>
      <w:r>
        <w:rPr>
          <w:rFonts w:ascii="Arial" w:cs="Arial" w:eastAsia="Arial" w:hAnsi="Arial"/>
          <w:sz w:val="17"/>
          <w:szCs w:val="17"/>
          <w:color w:val="auto"/>
        </w:rPr>
        <w:t>As of June 30, 2020, although we had a working capital deficit of $471 million, we had approximately $2.9 billion of liquidity available to meet our ongoing operating, investing and financing needs, subject to continued covenant compliance, as noted below (in millions):</w:t>
      </w:r>
    </w:p>
    <w:tbl>
      <w:tblPr>
        <w:tblLayout w:type="fixed"/>
        <w:tblInd w:w="0" w:type="dxa"/>
        <w:tblCellMar>
          <w:top w:w="0" w:type="dxa"/>
          <w:left w:w="0" w:type="dxa"/>
          <w:bottom w:w="0" w:type="dxa"/>
          <w:right w:w="0" w:type="dxa"/>
        </w:tblCellMar>
      </w:tblPr>
      <w:tr>
        <w:trPr>
          <w:trHeight w:val="149"/>
        </w:trPr>
        <w:tc>
          <w:tcPr>
            <w:tcW w:w="9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right"/>
              <w:ind w:right="635"/>
              <w:spacing w:after="0" w:line="149" w:lineRule="exact"/>
              <w:rPr>
                <w:sz w:val="20"/>
                <w:szCs w:val="20"/>
                <w:color w:val="auto"/>
              </w:rPr>
            </w:pPr>
            <w:r>
              <w:rPr>
                <w:rFonts w:ascii="Arial" w:cs="Arial" w:eastAsia="Arial" w:hAnsi="Arial"/>
                <w:sz w:val="14"/>
                <w:szCs w:val="14"/>
                <w:b w:val="1"/>
                <w:bCs w:val="1"/>
                <w:color w:val="auto"/>
              </w:rPr>
              <w:t>As of</w:t>
            </w:r>
          </w:p>
        </w:tc>
      </w:tr>
      <w:tr>
        <w:trPr>
          <w:trHeight w:val="192"/>
        </w:trPr>
        <w:tc>
          <w:tcPr>
            <w:tcW w:w="95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June 30, 2020</w:t>
            </w:r>
          </w:p>
        </w:tc>
      </w:tr>
      <w:tr>
        <w:trPr>
          <w:trHeight w:val="27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3"/>
                <w:szCs w:val="23"/>
                <w:color w:val="auto"/>
                <w:vertAlign w:val="superscript"/>
              </w:rPr>
              <w:t>(1) (2)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1,505</w:t>
            </w:r>
          </w:p>
        </w:tc>
      </w:tr>
      <w:tr>
        <w:trPr>
          <w:trHeight w:val="270"/>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3"/>
                <w:szCs w:val="23"/>
                <w:color w:val="auto"/>
                <w:vertAlign w:val="superscript"/>
              </w:rPr>
              <w:t>(1) (2)</w:t>
            </w:r>
          </w:p>
        </w:tc>
        <w:tc>
          <w:tcPr>
            <w:tcW w:w="2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1,383</w:t>
            </w:r>
          </w:p>
        </w:tc>
      </w:tr>
      <w:tr>
        <w:trPr>
          <w:trHeight w:val="243"/>
        </w:trPr>
        <w:tc>
          <w:tcPr>
            <w:tcW w:w="9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2,888</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1440" w:type="dxa"/>
            <w:vAlign w:val="bottom"/>
          </w:tcPr>
          <w:p>
            <w:pPr>
              <w:jc w:val="right"/>
              <w:ind w:right="75"/>
              <w:spacing w:after="0"/>
              <w:rPr>
                <w:sz w:val="20"/>
                <w:szCs w:val="20"/>
                <w:color w:val="auto"/>
              </w:rPr>
            </w:pPr>
            <w:r>
              <w:rPr>
                <w:rFonts w:ascii="Arial" w:cs="Arial" w:eastAsia="Arial" w:hAnsi="Arial"/>
                <w:sz w:val="18"/>
                <w:szCs w:val="18"/>
                <w:color w:val="auto"/>
              </w:rPr>
              <w:t>42</w:t>
            </w:r>
          </w:p>
        </w:tc>
      </w:tr>
      <w:tr>
        <w:trPr>
          <w:trHeight w:val="27"/>
        </w:trPr>
        <w:tc>
          <w:tcPr>
            <w:tcW w:w="9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9"/>
        </w:trPr>
        <w:tc>
          <w:tcPr>
            <w:tcW w:w="9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2,930</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766445</wp:posOffset>
            </wp:positionV>
            <wp:extent cx="24599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620" w:hanging="11"/>
        <w:spacing w:after="0" w:line="277" w:lineRule="auto"/>
        <w:rPr>
          <w:sz w:val="20"/>
          <w:szCs w:val="20"/>
          <w:color w:val="auto"/>
        </w:rPr>
      </w:pPr>
      <w:r>
        <w:rPr>
          <w:rFonts w:ascii="Arial" w:cs="Arial" w:eastAsia="Arial" w:hAnsi="Arial"/>
          <w:sz w:val="18"/>
          <w:szCs w:val="18"/>
          <w:color w:val="auto"/>
        </w:rPr>
        <w:t>Represents availability prior to giving effect to borrowings outstanding under the PAA commercial paper program, which reduce available capacity under the facilities. There were no commercial paper borrowings outstanding as of June 30, 2020.</w:t>
      </w:r>
    </w:p>
    <w:p>
      <w:pPr>
        <w:spacing w:after="0" w:line="62" w:lineRule="exact"/>
        <w:rPr>
          <w:sz w:val="20"/>
          <w:szCs w:val="20"/>
          <w:color w:val="auto"/>
        </w:rPr>
      </w:pPr>
    </w:p>
    <w:p>
      <w:pPr>
        <w:ind w:right="80" w:hanging="11"/>
        <w:spacing w:after="0" w:line="277" w:lineRule="auto"/>
        <w:rPr>
          <w:sz w:val="20"/>
          <w:szCs w:val="20"/>
          <w:color w:val="auto"/>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$95 million and $17 million, respectively.</w:t>
      </w:r>
    </w:p>
    <w:p>
      <w:pPr>
        <w:spacing w:after="0" w:line="197" w:lineRule="exact"/>
        <w:rPr>
          <w:sz w:val="20"/>
          <w:szCs w:val="20"/>
          <w:color w:val="auto"/>
        </w:rPr>
      </w:pPr>
    </w:p>
    <w:p>
      <w:pPr>
        <w:sectPr>
          <w:pgSz w:w="11900" w:h="16838" w:orient="portrait"/>
          <w:cols w:equalWidth="0" w:num="2">
            <w:col w:w="140" w:space="520"/>
            <w:col w:w="10560"/>
          </w:cols>
          <w:pgMar w:left="320" w:top="125" w:right="359" w:bottom="1440" w:gutter="0" w:footer="0" w:header="0"/>
          <w:type w:val="continuous"/>
        </w:sectPr>
      </w:pPr>
    </w:p>
    <w:p>
      <w:pPr>
        <w:ind w:firstLine="648"/>
        <w:spacing w:after="0" w:line="270" w:lineRule="auto"/>
        <w:rPr>
          <w:sz w:val="20"/>
          <w:szCs w:val="20"/>
          <w:color w:val="auto"/>
        </w:rPr>
      </w:pPr>
      <w:r>
        <w:rPr>
          <w:rFonts w:ascii="Arial" w:cs="Arial" w:eastAsia="Arial" w:hAnsi="Arial"/>
          <w:sz w:val="17"/>
          <w:szCs w:val="17"/>
          <w:color w:val="auto"/>
        </w:rPr>
        <w:t>Current macroeconomic and geopolitical conditions including the collapse of oil prices driven by both the decrease in demand caused by the COVID-19 pandemic and excess supply has caused liquidity issues impacting many energy companies; however, we believe that we have, and will continue to have, the ability to access the PAA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In addition, usage of the PAA credit facilities, which provide the financial backstop for the PAA commercial paper program, is subject to ongoing compliance with covenants. As of June 30, 2020, PAA was in compliance with all such covenants. Also, see Item 1A. “Risk Factors” included in our 2019 Annual Report on Form 10-K and Item 1A. “Risk Factors” in Part II of our Quarterly Report on Form 10-Q for the quarter ended March 31, 2020 for further discussion regarding such risks that may impact our liquidity and 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2019 Annual Report on Form 10-K.</w:t>
      </w:r>
    </w:p>
    <w:p>
      <w:pPr>
        <w:spacing w:after="0" w:line="184"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Net cash provided by operating activities for the first six months of 2020 and 2019 was $972 million and $1,468 million,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192" w:lineRule="exact"/>
        <w:rPr>
          <w:sz w:val="20"/>
          <w:szCs w:val="20"/>
          <w:color w:val="auto"/>
        </w:rPr>
      </w:pPr>
    </w:p>
    <w:p>
      <w:pPr>
        <w:ind w:firstLine="648"/>
        <w:spacing w:after="0" w:line="291" w:lineRule="auto"/>
        <w:rPr>
          <w:sz w:val="20"/>
          <w:szCs w:val="20"/>
          <w:color w:val="auto"/>
        </w:rPr>
      </w:pPr>
      <w:r>
        <w:rPr>
          <w:rFonts w:ascii="Arial" w:cs="Arial" w:eastAsia="Arial" w:hAnsi="Arial"/>
          <w:sz w:val="17"/>
          <w:szCs w:val="17"/>
          <w:color w:val="auto"/>
        </w:rPr>
        <w:t>During the six months ended June 30, 2020, we increased the volume of our crude oil inventory to be stored during the contango market; however, this increase was offset by lower prices for our inventory stored at the end of the current period compared to the end of 2019.</w:t>
      </w:r>
    </w:p>
    <w:p>
      <w:pPr>
        <w:spacing w:after="0" w:line="17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During the six months ended June 30, 2019, our cash provided by operating activities was positively impacted by decreases in the volume of inventory that we held, primarily due to the sale of NGL and crude oil inventory. The favorable effects from the liquidation of such inventory were partially offset by the timing of revenue recognized during the period for which cash was received in prior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 addition to our operating needs discussed above, on a consolidated basis, we also use cash for our acquisition activities and expansion capital projects and maintenance capital activities. Historically, we have financed these expenditures primarily with cash generated by operating activities and the financing activities discussed in “—Equity and Debt Financing Activities” below. In recent years, we have also used proceeds from our divestiture program. We have made and will continue to make capital expenditures for acquisitions, expansion capital projects and maintenance activities. However, in the near term we do not plan to issue common equity to fund such activities.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In February 2020, we acquired a crude oil gathering system and related assets in the Delaware Basin for approximately $300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our Condensed Consolidated Financial Statements for additional information.</w:t>
      </w:r>
    </w:p>
    <w:p>
      <w:pPr>
        <w:spacing w:after="0" w:line="223"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i w:val="1"/>
          <w:iCs w:val="1"/>
          <w:color w:val="auto"/>
        </w:rPr>
        <w:t xml:space="preserve">Capital Projects. </w:t>
      </w:r>
      <w:r>
        <w:rPr>
          <w:rFonts w:ascii="Arial" w:cs="Arial" w:eastAsia="Arial" w:hAnsi="Arial"/>
          <w:sz w:val="16"/>
          <w:szCs w:val="16"/>
          <w:color w:val="auto"/>
        </w:rPr>
        <w:t>We invested $654 million in midstream infrastructure during the six months ended June 30, 2020, and we expect to invest</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$1.0 billion during the full year ending December 31, 2020. Our expected capital investment for 2020 reflects a reduction from our expected capital investment at year-end 2019 due to the current dynamic and uncertain market conditions. See “—Acquisitions and Capital Projects” for additional information. We expect to fund our 2020 capital program with retained cash flow, proceeds from assets sold as part of our divestiture program or debt.</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In January 2020, we entered into a definitive agreement to sell certain of our Los Angeles Basin crude oil terminals for $195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certain adjustments and expect the transaction to close in the second half of 2020. In April 2020, we sold certain NGL terminals for $163 million, subject to certain adjustments. See Note 14 to our Condensed Consolidated Financial Statements for additional information. Additionally, we sold a 10% ownership interest in Saddlehorn Pipeline Company, LLC for proceeds of approximately $78 million. See Note 7 to our Condensed Consolidated Financial Statements for additional information.</w:t>
      </w:r>
    </w:p>
    <w:p>
      <w:pPr>
        <w:spacing w:after="0" w:line="21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Ongoing Acquisition, Divestiture and Investment Activities. </w:t>
      </w:r>
      <w:r>
        <w:rPr>
          <w:rFonts w:ascii="Arial" w:cs="Arial" w:eastAsia="Arial" w:hAnsi="Arial"/>
          <w:sz w:val="17"/>
          <w:szCs w:val="17"/>
          <w:color w:val="auto"/>
        </w:rPr>
        <w:t>We intend to continue to focus on activities to enhance investment returns and</w:t>
      </w:r>
      <w:r>
        <w:rPr>
          <w:rFonts w:ascii="Arial" w:cs="Arial" w:eastAsia="Arial" w:hAnsi="Arial"/>
          <w:sz w:val="17"/>
          <w:szCs w:val="17"/>
          <w:i w:val="1"/>
          <w:iCs w:val="1"/>
          <w:color w:val="auto"/>
        </w:rPr>
        <w:t xml:space="preserve"> </w:t>
      </w:r>
      <w:r>
        <w:rPr>
          <w:rFonts w:ascii="Arial" w:cs="Arial" w:eastAsia="Arial" w:hAnsi="Arial"/>
          <w:sz w:val="17"/>
          <w:szCs w:val="17"/>
          <w:color w:val="auto"/>
        </w:rPr>
        <w:t>reinforce capital discipline through asset optimization, joint ventures, potential divestitures and similar arrangements. 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 Also, see Item 1A. “Risk Factors—Risks Related to PAA’s Business” of our 2019 Annual Report on Form 10-K for further discussion regarding risks related to our acquisitions and divestitures.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a consolidated basis, our financing activities primarily relate to funding expansion capital projects, acquisitions and refinancing of debt maturities, as well as short-term working capital (including borrowings for NYMEX and ICE margin deposits) and hedged inventory borrowings related to our NGL business and contango market activities. Our financing activities have primarily consisted of equity offerings, PAA senior notes offerings and borrowings and repayments under the credit facilities or the PAA commercial paper program and other debt agreements, as well as payment of distributions to our Class A shareholders and noncontrolling interests.</w:t>
      </w:r>
    </w:p>
    <w:p>
      <w:pPr>
        <w:spacing w:after="0" w:line="21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i w:val="1"/>
          <w:iCs w:val="1"/>
          <w:color w:val="auto"/>
        </w:rPr>
        <w:t xml:space="preserve">PAGP Registration Statements. </w:t>
      </w:r>
      <w:r>
        <w:rPr>
          <w:rFonts w:ascii="Arial" w:cs="Arial" w:eastAsia="Arial" w:hAnsi="Arial"/>
          <w:sz w:val="17"/>
          <w:szCs w:val="17"/>
          <w:color w:val="auto"/>
        </w:rPr>
        <w:t>We have filed with the SEC a shelf registration statement that, subject to effectiveness at the time of use, allows us</w:t>
      </w:r>
      <w:r>
        <w:rPr>
          <w:rFonts w:ascii="Arial" w:cs="Arial" w:eastAsia="Arial" w:hAnsi="Arial"/>
          <w:sz w:val="17"/>
          <w:szCs w:val="17"/>
          <w:i w:val="1"/>
          <w:iCs w:val="1"/>
          <w:color w:val="auto"/>
        </w:rPr>
        <w:t xml:space="preserve"> </w:t>
      </w:r>
      <w:r>
        <w:rPr>
          <w:rFonts w:ascii="Arial" w:cs="Arial" w:eastAsia="Arial" w:hAnsi="Arial"/>
          <w:sz w:val="17"/>
          <w:szCs w:val="17"/>
          <w:color w:val="auto"/>
        </w:rPr>
        <w:t>to issue up to an aggregate of $1.0 billion of equity securities (the “PAGP Traditional Shelf”). At June 30, 2020, we had approximately $939 million of unsold securities available under the PAGP Traditional Shelf. We also have access to a shelf registration statement (the “PAGP WKSI Shelf”), which provides us with the ability to offer and sell an unlimited amount of equity securities, subject to market conditions and capital needs. We did not conduct any offerings under the PAGP Traditional Shelf or the PAGP WKSI Shelf during the six months ended June 30, 2020.</w:t>
      </w:r>
    </w:p>
    <w:p>
      <w:pPr>
        <w:spacing w:after="0" w:line="20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 xml:space="preserve">PAA Registration Statements. </w:t>
      </w:r>
      <w:r>
        <w:rPr>
          <w:rFonts w:ascii="Arial" w:cs="Arial" w:eastAsia="Arial" w:hAnsi="Arial"/>
          <w:sz w:val="18"/>
          <w:szCs w:val="18"/>
          <w:color w:val="auto"/>
        </w:rPr>
        <w:t>PAA periodically accesses the capital markets for both equity and debt financing. PAA has filed with the SEC a</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shelf registration statement that, subject to effectiveness at the time of use, allows PAA to issue up to an aggregate of $1.1 billion of debt or equity securities (the “PAA Traditional Shelf”). At June 30, 2020, PAA had approximately $1.1 billion of unsold securities available under the PAA Traditional Shelf. PAA did not conduct any offerings under the PAA Traditional Shelf during the six months ended June 30, 2020. PAA also has access to a universal shelf registration statement (the “PAA WKSI Shelf”), which provides it with the ability to offer and sell an unlimited amount of debt and equity securities, subject to market conditions and capital needs. The offering of PAA’s $750 million, 3.80% senior notes in June 2020 was conducted under the PAA WKSI Shelf.</w:t>
      </w:r>
    </w:p>
    <w:p>
      <w:pPr>
        <w:spacing w:after="0" w:line="22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Credit Agreements, Commercial Paper Program and Indentures. </w:t>
      </w:r>
      <w:r>
        <w:rPr>
          <w:rFonts w:ascii="Arial" w:cs="Arial" w:eastAsia="Arial" w:hAnsi="Arial"/>
          <w:sz w:val="18"/>
          <w:szCs w:val="18"/>
          <w:color w:val="auto"/>
        </w:rPr>
        <w:t>The credit agreements for the PAA revolving credit facilities (which impact</w:t>
      </w:r>
      <w:r>
        <w:rPr>
          <w:rFonts w:ascii="Arial" w:cs="Arial" w:eastAsia="Arial" w:hAnsi="Arial"/>
          <w:sz w:val="18"/>
          <w:szCs w:val="18"/>
          <w:i w:val="1"/>
          <w:iCs w:val="1"/>
          <w:color w:val="auto"/>
        </w:rPr>
        <w:t xml:space="preserve"> </w:t>
      </w:r>
      <w:r>
        <w:rPr>
          <w:rFonts w:ascii="Arial" w:cs="Arial" w:eastAsia="Arial" w:hAnsi="Arial"/>
          <w:sz w:val="18"/>
          <w:szCs w:val="18"/>
          <w:color w:val="auto"/>
        </w:rPr>
        <w:t>PAA’s ability to access the PAA commercial paper program because they provide the financial backstop that supports PAA’s short-term credit ratings) and its GO Zone term loans and the indentures governing its senior notes contain cross-default provisions. A default under PAA’s credit agreements or indentures would permit the lenders to accelerate the maturity of the outstanding debt. As long as PAA is in compliance with the provisions in its credit agreements, its ability to make distributions of available cash is not restricted. As of June 30, 2020, PAA was in compliance with the covenants contained in its credit agreements and indentures.</w:t>
      </w:r>
    </w:p>
    <w:p>
      <w:pPr>
        <w:spacing w:after="0" w:line="21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During the six months ended June 30, 2020, we had net repayments on PAA’s credit facilities and commercial paper program of $418 million. The net repayments resulted primarily from cash flow from operating activities, proceeds from asset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sales and the issuance of PAA’s $750 million, 3.80% senior notes in June 2020, which offset borrowings during the period related to funding needs for capital investments, inventory purchases and other general partnership purposes.</w:t>
      </w:r>
    </w:p>
    <w:p>
      <w:pPr>
        <w:spacing w:after="0" w:line="19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During the six months ended June 30, 2019, we had net borrowings under the PAA credit facilities and commercial paper program of $318 million. These borrowings resulted primarily from funds needed for general partnership purposes.</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June 2020, PAA completed the offering of $750 million, 3.80% senior notes due September 2030 at a public offering price of 99.794%. Interest payments are due on March 15 and September 15 of each year, commencing on September 15, 2020. PAA intends to use the net proceeds from this offering of $742 million, after deducting the underwriting discount and offering expenses, to partially repay the principal amounts of our 5.00% senior notes due February 2021 and, pending such repayment, have used a portion of the proceeds to repay outstanding borrowings under our commercial paper program, credit facilities and for general partnership purposes.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Class A Shareholders</w:t>
      </w:r>
    </w:p>
    <w:p>
      <w:pPr>
        <w:spacing w:after="0" w:line="22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i w:val="1"/>
          <w:iCs w:val="1"/>
          <w:color w:val="auto"/>
        </w:rPr>
        <w:t xml:space="preserve">Distributions to our Class A shareholders. </w:t>
      </w:r>
      <w:r>
        <w:rPr>
          <w:rFonts w:ascii="Arial" w:cs="Arial" w:eastAsia="Arial" w:hAnsi="Arial"/>
          <w:sz w:val="17"/>
          <w:szCs w:val="17"/>
          <w:color w:val="auto"/>
        </w:rPr>
        <w:t>We distribute all of our available cash within 55 days following the end of each quarter to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of record.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law or contractual obligations and funding of future distributions to our shareholders. On August 14, 2020, we will pay a quarterly distribution of $0.18 per Class A share ($0.72 per Class A share on an annualized basis), which is unchanged from our prior quarterly distribution, but equates to a reduction of 50% compared to the quarterly distribution of $0.36 per Class A share ($1.44 per Class A share on an annualized basis) paid in February 2020. This reduction was made in response to the current dynamic and uncertain market conditions to further reinforce our commitment to maintaining a solid capital structure and strong liquidity. See “—Executive Summary —</w:t>
      </w:r>
      <w:r>
        <w:rPr>
          <w:rFonts w:ascii="Arial" w:cs="Arial" w:eastAsia="Arial" w:hAnsi="Arial"/>
          <w:sz w:val="17"/>
          <w:szCs w:val="17"/>
          <w:i w:val="1"/>
          <w:iCs w:val="1"/>
          <w:color w:val="auto"/>
        </w:rPr>
        <w:t>Recent Events &amp; Outlook</w:t>
      </w:r>
      <w:r>
        <w:rPr>
          <w:rFonts w:ascii="Arial" w:cs="Arial" w:eastAsia="Arial" w:hAnsi="Arial"/>
          <w:sz w:val="17"/>
          <w:szCs w:val="17"/>
          <w:color w:val="auto"/>
        </w:rPr>
        <w:t>” for further discussion. See Note 9 to our Condensed Consolidated Financial Statements for details of distributions paid during or pertaining to the first six months of 2020. Also, see Item 5. “Market for Registrant’s Shares, Related Shareholder Matters and Issuer Purchases of Equity Securities—Cash Distribution Policy” included in our 2019 Annual Report on Form 10-K for additional discussion regarding distributions.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Noncontrolling Interests</w:t>
      </w:r>
    </w:p>
    <w:p>
      <w:pPr>
        <w:spacing w:after="0" w:line="25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Distributions to noncontrolling interests represent amounts paid on interests in consolidated entities that are not owned by us. As of June 30, 2020, noncontrolling interests in our subsidiaries consisted of (i) limited partner interests in PAA including a 69% interest in PAA’s common units and PAA’s Series A preferred units combined and 100% of PAA’s Series B preferred units, (ii) an approximate 25% limited partner interest in AAP and (iii) a 33% interest in Red River LLC. See Note 9 to our Condensed Consolidated Financial Statements for additional information.</w:t>
      </w:r>
    </w:p>
    <w:p>
      <w:pPr>
        <w:spacing w:after="0" w:line="198"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i w:val="1"/>
          <w:iCs w:val="1"/>
          <w:color w:val="auto"/>
        </w:rPr>
        <w:t xml:space="preserve">Distributions to PAA’s Series A preferred unitholders. </w:t>
      </w:r>
      <w:r>
        <w:rPr>
          <w:rFonts w:ascii="Arial" w:cs="Arial" w:eastAsia="Arial" w:hAnsi="Arial"/>
          <w:sz w:val="16"/>
          <w:szCs w:val="16"/>
          <w:color w:val="auto"/>
        </w:rPr>
        <w:t>On August 14, 2020, PAA will pay a cash distribution of $37 million ($0.525 per unit) on its</w:t>
      </w:r>
      <w:r>
        <w:rPr>
          <w:rFonts w:ascii="Arial" w:cs="Arial" w:eastAsia="Arial" w:hAnsi="Arial"/>
          <w:sz w:val="16"/>
          <w:szCs w:val="16"/>
          <w:i w:val="1"/>
          <w:iCs w:val="1"/>
          <w:color w:val="auto"/>
        </w:rPr>
        <w:t xml:space="preserve"> </w:t>
      </w:r>
      <w:r>
        <w:rPr>
          <w:rFonts w:ascii="Arial" w:cs="Arial" w:eastAsia="Arial" w:hAnsi="Arial"/>
          <w:sz w:val="16"/>
          <w:szCs w:val="16"/>
          <w:color w:val="auto"/>
        </w:rPr>
        <w:t>Series A preferred units outstanding as of July 31, 2020, the record date for such distribution for the period from April 1, 2020 through June 30, 2020. See Note 9 to our Condensed Consolidated Financial Statements for details of distributions made during or pertaining to the first six months of 2020.</w:t>
      </w:r>
    </w:p>
    <w:p>
      <w:pPr>
        <w:spacing w:after="0" w:line="149"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i w:val="1"/>
          <w:iCs w:val="1"/>
          <w:color w:val="auto"/>
        </w:rPr>
        <w:t xml:space="preserve">Distributions to PAA’s Series B preferred unitholders. </w:t>
      </w:r>
      <w:r>
        <w:rPr>
          <w:rFonts w:ascii="Arial" w:cs="Arial" w:eastAsia="Arial" w:hAnsi="Arial"/>
          <w:sz w:val="17"/>
          <w:szCs w:val="17"/>
          <w:color w:val="auto"/>
        </w:rPr>
        <w:t>Distributions on PAA’s Series B preferred units are payable in cash semi-annually in arrears</w:t>
      </w:r>
      <w:r>
        <w:rPr>
          <w:rFonts w:ascii="Arial" w:cs="Arial" w:eastAsia="Arial" w:hAnsi="Arial"/>
          <w:sz w:val="17"/>
          <w:szCs w:val="17"/>
          <w:i w:val="1"/>
          <w:iCs w:val="1"/>
          <w:color w:val="auto"/>
        </w:rPr>
        <w:t xml:space="preserve"> </w:t>
      </w:r>
      <w:r>
        <w:rPr>
          <w:rFonts w:ascii="Arial" w:cs="Arial" w:eastAsia="Arial" w:hAnsi="Arial"/>
          <w:sz w:val="17"/>
          <w:szCs w:val="17"/>
          <w:color w:val="auto"/>
        </w:rPr>
        <w:t>on the 15th day of May and November. See Note 9 to our Condensed Consolidated Financial Statements for additional information.</w:t>
      </w:r>
    </w:p>
    <w:p>
      <w:pPr>
        <w:spacing w:after="0" w:line="14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Distributions to PAA’s common unitholders. </w:t>
      </w:r>
      <w:r>
        <w:rPr>
          <w:rFonts w:ascii="Arial" w:cs="Arial" w:eastAsia="Arial" w:hAnsi="Arial"/>
          <w:sz w:val="18"/>
          <w:szCs w:val="18"/>
          <w:color w:val="auto"/>
        </w:rPr>
        <w:t>On August 14, 2020, PAA will pay a quarterly distribution of $0.18 per common unit ($0.72 per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unit on an annualized basis) on its common units outstanding as of July 31, 2020, the record date for such distribution for the period from January 1, 2020 through March 31, 2020. See Note 9 to our Condensed Consolidated Financial Statements for details of distributions paid during or pertaining to the first six months of 2020.</w:t>
      </w:r>
    </w:p>
    <w:p>
      <w:pPr>
        <w:spacing w:after="0" w:line="21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 and cost of borrowing.</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12 to our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range in term from thirty-day evergreen to five years, with a limited number of contracts with remaining terms extending up to 13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June 30, 2020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Remainder of</w:t>
            </w:r>
          </w:p>
        </w:tc>
        <w:tc>
          <w:tcPr>
            <w:tcW w:w="18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2025 and</w:t>
            </w:r>
          </w:p>
        </w:tc>
        <w:tc>
          <w:tcPr>
            <w:tcW w:w="200" w:type="dxa"/>
            <w:vAlign w:val="bottom"/>
          </w:tcPr>
          <w:p>
            <w:pPr>
              <w:spacing w:after="0"/>
              <w:rPr>
                <w:sz w:val="14"/>
                <w:szCs w:val="14"/>
                <w:color w:val="auto"/>
              </w:rPr>
            </w:pPr>
          </w:p>
        </w:tc>
        <w:tc>
          <w:tcPr>
            <w:tcW w:w="7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Thereafter</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Long-term debt and related interest payments </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218</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1,049</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1,159</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1,662</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1,083</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9,633</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14,804</w:t>
            </w:r>
          </w:p>
        </w:tc>
        <w:tc>
          <w:tcPr>
            <w:tcW w:w="0" w:type="dxa"/>
            <w:vAlign w:val="bottom"/>
          </w:tcPr>
          <w:p>
            <w:pPr>
              <w:spacing w:after="0"/>
              <w:rPr>
                <w:sz w:val="1"/>
                <w:szCs w:val="1"/>
                <w:color w:val="auto"/>
              </w:rPr>
            </w:pP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24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75"/>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37"/>
        </w:trPr>
        <w:tc>
          <w:tcPr>
            <w:tcW w:w="4280" w:type="dxa"/>
            <w:vAlign w:val="bottom"/>
          </w:tcPr>
          <w:p>
            <w:pPr>
              <w:ind w:left="12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rPr>
                <w:sz w:val="20"/>
                <w:szCs w:val="20"/>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1,635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75"/>
              <w:spacing w:after="0"/>
              <w:rPr>
                <w:sz w:val="20"/>
                <w:szCs w:val="20"/>
                <w:color w:val="auto"/>
              </w:rPr>
            </w:pPr>
            <w:r>
              <w:rPr>
                <w:rFonts w:ascii="Arial" w:cs="Arial" w:eastAsia="Arial" w:hAnsi="Arial"/>
                <w:sz w:val="18"/>
                <w:szCs w:val="18"/>
                <w:color w:val="auto"/>
              </w:rPr>
              <w:t>11,183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18,504</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4,404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6,861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6,423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5,886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5,641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15,026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44,241</w:t>
            </w:r>
          </w:p>
        </w:tc>
        <w:tc>
          <w:tcPr>
            <w:tcW w:w="0" w:type="dxa"/>
            <w:vAlign w:val="bottom"/>
          </w:tcPr>
          <w:p>
            <w:pPr>
              <w:spacing w:after="0"/>
              <w:rPr>
                <w:sz w:val="1"/>
                <w:szCs w:val="1"/>
                <w:color w:val="auto"/>
              </w:rPr>
            </w:pPr>
          </w:p>
        </w:tc>
      </w:tr>
      <w:tr>
        <w:trPr>
          <w:trHeight w:val="263"/>
        </w:trPr>
        <w:tc>
          <w:tcPr>
            <w:tcW w:w="4280" w:type="dxa"/>
            <w:vAlign w:val="bottom"/>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5,040</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8,496</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8,012</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7,925</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7,063</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26,209</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62,745</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4" w:right="80" w:hanging="11"/>
        <w:spacing w:after="0" w:line="273" w:lineRule="auto"/>
        <w:rPr>
          <w:sz w:val="20"/>
          <w:szCs w:val="20"/>
          <w:color w:val="auto"/>
        </w:rPr>
      </w:pPr>
      <w:r>
        <w:rPr>
          <w:rFonts w:ascii="Arial" w:cs="Arial" w:eastAsia="Arial" w:hAnsi="Arial"/>
          <w:sz w:val="17"/>
          <w:szCs w:val="17"/>
          <w:color w:val="auto"/>
        </w:rPr>
        <w:t>Includes debt service payments, interest payments due on PAA’s senior notes and the commitment fee on assumed available capacity under the PAA credit facilities, as well as long-term borrowings under the PAA credit agreements and the PAA commercial paper program, if any. Although there may be short-term borrowings under the PAA credit agreements and the PAA commercial paper program, we historically repay and borrow at varying amounts. As such, we have included only the maximum commitment fee (as if no short-term borrowings were outstanding on the PAA credit agreements or the PAA commercial paper program) in the amounts above. For additional information regarding PAA’s debt obligations, see Note 8 to our Condensed Consolidated Financial Statements.</w:t>
      </w:r>
    </w:p>
    <w:p>
      <w:pPr>
        <w:spacing w:after="0" w:line="70" w:lineRule="exact"/>
        <w:rPr>
          <w:sz w:val="20"/>
          <w:szCs w:val="20"/>
          <w:color w:val="auto"/>
        </w:rPr>
      </w:pPr>
    </w:p>
    <w:p>
      <w:pPr>
        <w:ind w:left="4" w:right="180" w:hanging="11"/>
        <w:spacing w:after="0" w:line="263" w:lineRule="auto"/>
        <w:rPr>
          <w:sz w:val="20"/>
          <w:szCs w:val="20"/>
          <w:color w:val="auto"/>
        </w:rPr>
      </w:pPr>
      <w:r>
        <w:rPr>
          <w:rFonts w:ascii="Arial" w:cs="Arial" w:eastAsia="Arial" w:hAnsi="Arial"/>
          <w:sz w:val="18"/>
          <w:szCs w:val="18"/>
          <w:color w:val="auto"/>
        </w:rPr>
        <w:t>Includes both operating and finance leases as defined by FASB guidance. Leases are primarily for (i) railcars, (ii) office space, (iii), land, (iv) vehicles, (v) storage tanks and (vi) tractor trailers. See Note 14 to our Consolidated Financial Statements included in Part IV of our 2019 Annual Report on Form 10-K for additional information.</w:t>
      </w:r>
    </w:p>
    <w:p>
      <w:pPr>
        <w:spacing w:after="0" w:line="76" w:lineRule="exact"/>
        <w:rPr>
          <w:sz w:val="20"/>
          <w:szCs w:val="20"/>
          <w:color w:val="auto"/>
        </w:rPr>
      </w:pPr>
    </w:p>
    <w:p>
      <w:pPr>
        <w:ind w:left="4" w:right="160" w:hanging="11"/>
        <w:spacing w:after="0" w:line="291" w:lineRule="auto"/>
        <w:rPr>
          <w:sz w:val="20"/>
          <w:szCs w:val="20"/>
          <w:color w:val="auto"/>
        </w:rPr>
      </w:pPr>
      <w:r>
        <w:rPr>
          <w:rFonts w:ascii="Arial" w:cs="Arial" w:eastAsia="Arial" w:hAnsi="Arial"/>
          <w:sz w:val="16"/>
          <w:szCs w:val="16"/>
          <w:color w:val="auto"/>
        </w:rPr>
        <w:t>Includes (i) other long-term liabilities, (ii) storage, processing and transportation agreements (including certain agreements for which the amount and timing of expected payments is subject to the completion of underlying construction projects), (iii) certain rights-of-way easements and</w:t>
      </w:r>
    </w:p>
    <w:p>
      <w:pPr>
        <w:ind w:left="4" w:right="120" w:hanging="4"/>
        <w:spacing w:after="0" w:line="295" w:lineRule="auto"/>
        <w:tabs>
          <w:tab w:leader="none" w:pos="309"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noncancelable commitments related to our capital expansion projects, including projected contributions for our share of the capital spending of our equity method investments. The storage, processing and transportation agreements include approximately $1.9 billion associated with agreements to store, process and transport crude oil at posted tariff rates on pipelines or at facilities that are owned by equity method investees. A portion of our commitment to transport is supported by crude oil buy/sell or other agreements with third parties with commensurate quantities.</w:t>
      </w:r>
    </w:p>
    <w:p>
      <w:pPr>
        <w:spacing w:after="0" w:line="53" w:lineRule="exact"/>
        <w:rPr>
          <w:sz w:val="20"/>
          <w:szCs w:val="20"/>
          <w:color w:val="auto"/>
        </w:rPr>
      </w:pPr>
    </w:p>
    <w:p>
      <w:pPr>
        <w:ind w:left="4" w:right="40" w:hanging="11"/>
        <w:spacing w:after="0" w:line="286" w:lineRule="auto"/>
        <w:rPr>
          <w:sz w:val="20"/>
          <w:szCs w:val="20"/>
          <w:color w:val="auto"/>
        </w:rPr>
      </w:pPr>
      <w:r>
        <w:rPr>
          <w:rFonts w:ascii="Arial" w:cs="Arial" w:eastAsia="Arial" w:hAnsi="Arial"/>
          <w:sz w:val="17"/>
          <w:szCs w:val="17"/>
          <w:color w:val="auto"/>
        </w:rPr>
        <w:t>Amounts are primarily based on estimated volumes and market prices based on average activity during June 2020.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0" w:lineRule="exact"/>
        <w:rPr>
          <w:sz w:val="20"/>
          <w:szCs w:val="20"/>
          <w:color w:val="auto"/>
        </w:rPr>
      </w:pPr>
    </w:p>
    <w:p>
      <w:pPr>
        <w:sectPr>
          <w:pgSz w:w="11900" w:h="16838" w:orient="portrait"/>
          <w:cols w:equalWidth="0" w:num="2">
            <w:col w:w="140" w:space="516"/>
            <w:col w:w="10584"/>
          </w:cols>
          <w:pgMar w:left="320" w:top="125" w:right="33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Additionally, we issue letters of credit to support insurance programs, derivative transactions, including hedging-related margin obligations, and construction activities. At June 30, 2020 and December 31, 2019, we had outstanding letters of credit of approximately $112 million and $157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2019 Annual Report on Form 10-K.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Related Primarily to the COVID-19 Pandemic and Excess Supply Situation:</w:t>
      </w:r>
    </w:p>
    <w:p>
      <w:pPr>
        <w:spacing w:after="0" w:line="252" w:lineRule="exact"/>
        <w:rPr>
          <w:sz w:val="20"/>
          <w:szCs w:val="20"/>
          <w:color w:val="auto"/>
        </w:rPr>
      </w:pPr>
    </w:p>
    <w:p>
      <w:pPr>
        <w:ind w:left="980" w:right="120" w:hanging="324"/>
        <w:spacing w:after="0"/>
        <w:tabs>
          <w:tab w:leader="none" w:pos="9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further declines in global crude oil demand and crude oil prices that correspondingly lead to a significant reduction of domestic crude oil,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216" w:lineRule="exact"/>
        <w:rPr>
          <w:rFonts w:ascii="Arial" w:cs="Arial" w:eastAsia="Arial" w:hAnsi="Arial"/>
          <w:sz w:val="18"/>
          <w:szCs w:val="18"/>
          <w:color w:val="auto"/>
        </w:rPr>
      </w:pPr>
    </w:p>
    <w:p>
      <w:pPr>
        <w:ind w:left="980" w:right="40" w:hanging="324"/>
        <w:spacing w:after="0" w:line="262" w:lineRule="auto"/>
        <w:tabs>
          <w:tab w:leader="none" w:pos="975" w:val="left"/>
        </w:tabs>
        <w:numPr>
          <w:ilvl w:val="0"/>
          <w:numId w:val="58"/>
        </w:numPr>
        <w:rPr>
          <w:rFonts w:ascii="Arial" w:cs="Arial" w:eastAsia="Arial" w:hAnsi="Arial"/>
          <w:sz w:val="17"/>
          <w:szCs w:val="17"/>
          <w:color w:val="auto"/>
        </w:rPr>
      </w:pPr>
      <w:r>
        <w:rPr>
          <w:rFonts w:ascii="Arial" w:cs="Arial" w:eastAsia="Arial" w:hAnsi="Arial"/>
          <w:sz w:val="17"/>
          <w:szCs w:val="17"/>
          <w:color w:val="auto"/>
        </w:rPr>
        <w:t>uncertainty regarding the length of time it will take for the United States, Canada, and the rest of the world to slow the spread of the COVID-19 virus to the point where applicable authorities are comfortable easing current restrictions on various commercial and economic activities and the extent to which consumer demand and demand for crude oil rebound once such restrictions are lifted; such restrictions are designed to protect public health but also have the effect of significantly reducing demand for crude oil;</w:t>
      </w:r>
    </w:p>
    <w:p>
      <w:pPr>
        <w:spacing w:after="0" w:line="199" w:lineRule="exact"/>
        <w:rPr>
          <w:rFonts w:ascii="Arial" w:cs="Arial" w:eastAsia="Arial" w:hAnsi="Arial"/>
          <w:sz w:val="17"/>
          <w:szCs w:val="17"/>
          <w:color w:val="auto"/>
        </w:rPr>
      </w:pPr>
    </w:p>
    <w:p>
      <w:pPr>
        <w:ind w:left="980" w:right="200" w:hanging="324"/>
        <w:spacing w:after="0" w:line="261" w:lineRule="auto"/>
        <w:tabs>
          <w:tab w:leader="none" w:pos="9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uncertainty regarding the future actions of foreign oil producers such as Saudi Arabia and Russia and the risk that they take actions that will prolong or exacerbate the current over-supply of crude oil;</w:t>
      </w:r>
    </w:p>
    <w:p>
      <w:pPr>
        <w:spacing w:after="0" w:line="197" w:lineRule="exact"/>
        <w:rPr>
          <w:rFonts w:ascii="Arial" w:cs="Arial" w:eastAsia="Arial" w:hAnsi="Arial"/>
          <w:sz w:val="18"/>
          <w:szCs w:val="18"/>
          <w:color w:val="auto"/>
        </w:rPr>
      </w:pPr>
    </w:p>
    <w:p>
      <w:pPr>
        <w:ind w:left="980" w:right="100" w:hanging="324"/>
        <w:spacing w:after="0" w:line="324" w:lineRule="auto"/>
        <w:tabs>
          <w:tab w:leader="none" w:pos="975" w:val="left"/>
        </w:tabs>
        <w:numPr>
          <w:ilvl w:val="0"/>
          <w:numId w:val="58"/>
        </w:numPr>
        <w:rPr>
          <w:rFonts w:ascii="Arial" w:cs="Arial" w:eastAsia="Arial" w:hAnsi="Arial"/>
          <w:sz w:val="16"/>
          <w:szCs w:val="16"/>
          <w:color w:val="auto"/>
        </w:rPr>
      </w:pPr>
      <w:r>
        <w:rPr>
          <w:rFonts w:ascii="Arial" w:cs="Arial" w:eastAsia="Arial" w:hAnsi="Arial"/>
          <w:sz w:val="16"/>
          <w:szCs w:val="16"/>
          <w:color w:val="auto"/>
        </w:rPr>
        <w:t>uncertainty regarding the timing, pace and extent of an economic recovery in the United States and elsewhere, which in turn will likely affect demand for crude oil and therefore the demand for the midstream services we provide and the commercial opportunities available to us;</w:t>
      </w:r>
    </w:p>
    <w:p>
      <w:pPr>
        <w:spacing w:after="0" w:line="151" w:lineRule="exact"/>
        <w:rPr>
          <w:rFonts w:ascii="Arial" w:cs="Arial" w:eastAsia="Arial" w:hAnsi="Arial"/>
          <w:sz w:val="16"/>
          <w:szCs w:val="16"/>
          <w:color w:val="auto"/>
        </w:rPr>
      </w:pPr>
    </w:p>
    <w:p>
      <w:pPr>
        <w:ind w:left="980" w:right="400" w:hanging="324"/>
        <w:spacing w:after="0" w:line="270" w:lineRule="auto"/>
        <w:tabs>
          <w:tab w:leader="none" w:pos="975"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effect of an overhang of significant amounts of crude oil inventory stored in the United States and elsewhere and the impact that such inventory overhang ultimately has on the timing of a return to market conditions that are more conducive to an increase in drilling and production activities in the United States and a resulting increase in demand for the midstream services we provide;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240" w:hanging="324"/>
        <w:spacing w:after="0" w:line="241" w:lineRule="auto"/>
        <w:tabs>
          <w:tab w:leader="none" w:pos="9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216" w:lineRule="exact"/>
        <w:rPr>
          <w:rFonts w:ascii="Arial" w:cs="Arial" w:eastAsia="Arial" w:hAnsi="Arial"/>
          <w:sz w:val="18"/>
          <w:szCs w:val="18"/>
          <w:color w:val="auto"/>
        </w:rPr>
      </w:pPr>
    </w:p>
    <w:p>
      <w:pPr>
        <w:jc w:val="both"/>
        <w:ind w:left="980" w:right="260" w:hanging="324"/>
        <w:spacing w:after="0" w:line="324" w:lineRule="auto"/>
        <w:tabs>
          <w:tab w:leader="none" w:pos="975"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151" w:lineRule="exact"/>
        <w:rPr>
          <w:rFonts w:ascii="Arial" w:cs="Arial" w:eastAsia="Arial" w:hAnsi="Arial"/>
          <w:sz w:val="16"/>
          <w:szCs w:val="16"/>
          <w:color w:val="auto"/>
        </w:rPr>
      </w:pPr>
    </w:p>
    <w:p>
      <w:pPr>
        <w:ind w:left="980" w:hanging="324"/>
        <w:spacing w:after="0"/>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operational difficulties due to physical distancing restrictions and the additional demands such restrictions may place on our employees;</w:t>
      </w:r>
    </w:p>
    <w:p>
      <w:pPr>
        <w:spacing w:after="0" w:line="261" w:lineRule="exact"/>
        <w:rPr>
          <w:rFonts w:ascii="Arial" w:cs="Arial" w:eastAsia="Arial" w:hAnsi="Arial"/>
          <w:sz w:val="16"/>
          <w:szCs w:val="16"/>
          <w:color w:val="auto"/>
        </w:rPr>
      </w:pPr>
    </w:p>
    <w:p>
      <w:pPr>
        <w:ind w:left="980" w:hanging="324"/>
        <w:spacing w:after="0" w:line="277" w:lineRule="auto"/>
        <w:tabs>
          <w:tab w:leader="none" w:pos="9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and hedging strategies;</w:t>
      </w:r>
    </w:p>
    <w:p>
      <w:pPr>
        <w:spacing w:after="0" w:line="197" w:lineRule="exact"/>
        <w:rPr>
          <w:rFonts w:ascii="Arial" w:cs="Arial" w:eastAsia="Arial" w:hAnsi="Arial"/>
          <w:sz w:val="18"/>
          <w:szCs w:val="18"/>
          <w:color w:val="auto"/>
        </w:rPr>
      </w:pPr>
    </w:p>
    <w:p>
      <w:pPr>
        <w:ind w:left="980" w:right="60" w:hanging="324"/>
        <w:spacing w:after="0" w:line="261" w:lineRule="auto"/>
        <w:tabs>
          <w:tab w:leader="none" w:pos="9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inability to reduce capital expenditures to the extent forecasted, whether due to the incurrence of unexpected or unplanned expenditures, third-party claims or other factors;</w:t>
      </w:r>
    </w:p>
    <w:p>
      <w:pPr>
        <w:spacing w:after="0" w:line="197" w:lineRule="exact"/>
        <w:rPr>
          <w:rFonts w:ascii="Arial" w:cs="Arial" w:eastAsia="Arial" w:hAnsi="Arial"/>
          <w:sz w:val="18"/>
          <w:szCs w:val="18"/>
          <w:color w:val="auto"/>
        </w:rPr>
      </w:pPr>
    </w:p>
    <w:p>
      <w:pPr>
        <w:ind w:left="980" w:right="340" w:hanging="324"/>
        <w:spacing w:after="0" w:line="261" w:lineRule="auto"/>
        <w:tabs>
          <w:tab w:leader="none" w:pos="9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inability to complete forecasted asset sale transactions due to governmental action, litigation, counterparty non-performance or other factors;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Factors:</w:t>
      </w:r>
    </w:p>
    <w:p>
      <w:pPr>
        <w:spacing w:after="0" w:line="252" w:lineRule="exact"/>
        <w:rPr>
          <w:sz w:val="20"/>
          <w:szCs w:val="20"/>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252" w:lineRule="exact"/>
        <w:rPr>
          <w:rFonts w:ascii="Arial" w:cs="Arial" w:eastAsia="Arial" w:hAnsi="Arial"/>
          <w:sz w:val="18"/>
          <w:szCs w:val="18"/>
          <w:color w:val="auto"/>
        </w:rPr>
      </w:pPr>
    </w:p>
    <w:p>
      <w:pPr>
        <w:ind w:left="980" w:right="240" w:hanging="324"/>
        <w:spacing w:after="0" w:line="342" w:lineRule="auto"/>
        <w:tabs>
          <w:tab w:leader="none" w:pos="975" w:val="left"/>
        </w:tabs>
        <w:numPr>
          <w:ilvl w:val="0"/>
          <w:numId w:val="60"/>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in ways that adversely impact our business;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980" w:right="120" w:hanging="324"/>
        <w:spacing w:after="0" w:line="277" w:lineRule="auto"/>
        <w:tabs>
          <w:tab w:leader="none" w:pos="9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52" w:lineRule="exact"/>
        <w:rPr>
          <w:rFonts w:ascii="Arial" w:cs="Arial" w:eastAsia="Arial" w:hAnsi="Arial"/>
          <w:sz w:val="18"/>
          <w:szCs w:val="18"/>
          <w:color w:val="auto"/>
        </w:rPr>
      </w:pPr>
    </w:p>
    <w:p>
      <w:pPr>
        <w:ind w:left="980" w:right="420" w:hanging="324"/>
        <w:spacing w:after="0" w:line="277" w:lineRule="auto"/>
        <w:tabs>
          <w:tab w:leader="none" w:pos="9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197" w:lineRule="exact"/>
        <w:rPr>
          <w:rFonts w:ascii="Arial" w:cs="Arial" w:eastAsia="Arial" w:hAnsi="Arial"/>
          <w:sz w:val="18"/>
          <w:szCs w:val="18"/>
          <w:color w:val="auto"/>
        </w:rPr>
      </w:pPr>
    </w:p>
    <w:p>
      <w:pPr>
        <w:ind w:left="980" w:right="280" w:hanging="324"/>
        <w:spacing w:after="0" w:line="291" w:lineRule="auto"/>
        <w:tabs>
          <w:tab w:leader="none" w:pos="975"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successful integration and future performance of acquired assets or businesses and the successful operation of joint ventures and joint operating arrangements we enter into from time to time, whether relating to assets operated by us or by third parties;</w:t>
      </w:r>
    </w:p>
    <w:p>
      <w:pPr>
        <w:spacing w:after="0" w:line="146" w:lineRule="exact"/>
        <w:rPr>
          <w:rFonts w:ascii="Arial" w:cs="Arial" w:eastAsia="Arial" w:hAnsi="Arial"/>
          <w:sz w:val="17"/>
          <w:szCs w:val="17"/>
          <w:color w:val="auto"/>
        </w:rPr>
      </w:pPr>
    </w:p>
    <w:p>
      <w:pPr>
        <w:ind w:left="980" w:right="540" w:hanging="324"/>
        <w:spacing w:after="0" w:line="277" w:lineRule="auto"/>
        <w:tabs>
          <w:tab w:leader="none" w:pos="9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280" w:hanging="324"/>
        <w:spacing w:after="0" w:line="261" w:lineRule="auto"/>
        <w:tabs>
          <w:tab w:leader="none" w:pos="9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 including legislation or regulatory initiatives that prohibit, restrict or regulate hydraulic fracturing;</w:t>
      </w:r>
    </w:p>
    <w:p>
      <w:pPr>
        <w:spacing w:after="0" w:line="197" w:lineRule="exact"/>
        <w:rPr>
          <w:rFonts w:ascii="Arial" w:cs="Arial" w:eastAsia="Arial" w:hAnsi="Arial"/>
          <w:sz w:val="18"/>
          <w:szCs w:val="18"/>
          <w:color w:val="auto"/>
        </w:rPr>
      </w:pPr>
    </w:p>
    <w:p>
      <w:pPr>
        <w:ind w:left="980" w:right="20" w:hanging="324"/>
        <w:spacing w:after="0" w:line="342" w:lineRule="auto"/>
        <w:tabs>
          <w:tab w:leader="none" w:pos="975" w:val="left"/>
        </w:tabs>
        <w:numPr>
          <w:ilvl w:val="0"/>
          <w:numId w:val="61"/>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0" w:lineRule="exact"/>
        <w:rPr>
          <w:rFonts w:ascii="Arial" w:cs="Arial" w:eastAsia="Arial" w:hAnsi="Arial"/>
          <w:sz w:val="16"/>
          <w:szCs w:val="16"/>
          <w:color w:val="auto"/>
        </w:rPr>
      </w:pPr>
    </w:p>
    <w:p>
      <w:pPr>
        <w:ind w:left="980" w:hanging="324"/>
        <w:spacing w:after="0" w:line="263" w:lineRule="auto"/>
        <w:tabs>
          <w:tab w:leader="none" w:pos="9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general economic, market or business conditions (both within the United States and globally and including the potential for a recession or significant slowdown in economic activity levels) and the amplification of other risks caused by volatile financial markets, capital constraints and liquidity concerns;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right="500" w:hanging="324"/>
        <w:spacing w:after="0" w:line="277" w:lineRule="auto"/>
        <w:tabs>
          <w:tab w:leader="none" w:pos="9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 and</w:t>
      </w:r>
    </w:p>
    <w:p>
      <w:pPr>
        <w:spacing w:after="0" w:line="248" w:lineRule="exact"/>
        <w:rPr>
          <w:rFonts w:ascii="Arial" w:cs="Arial" w:eastAsia="Arial" w:hAnsi="Arial"/>
          <w:sz w:val="16"/>
          <w:szCs w:val="16"/>
          <w:color w:val="auto"/>
        </w:rPr>
      </w:pPr>
    </w:p>
    <w:p>
      <w:pPr>
        <w:ind w:left="980" w:right="360" w:hanging="324"/>
        <w:spacing w:after="0" w:line="277" w:lineRule="auto"/>
        <w:tabs>
          <w:tab w:leader="none" w:pos="9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2019 Annual Report on Form 10-K and in Part II of our Quarterly Report on Form 10-Q for the quarter ended March 31, 2020.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80" w:hanging="324"/>
        <w:spacing w:after="0"/>
        <w:tabs>
          <w:tab w:leader="none" w:pos="980"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980" w:right="30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crude oil derivatives to hedge commodity price risk inherent in our Supply and Logistics and Transportation segments. Our objectives for these derivatives include hedging anticipated purchases and sales, stored inventory and basis differentials. We manage these exposures with various instruments including futures, forwards, swaps and options.</w:t>
      </w:r>
    </w:p>
    <w:p>
      <w:pPr>
        <w:spacing w:after="0" w:line="183" w:lineRule="exact"/>
        <w:rPr>
          <w:rFonts w:ascii="Arial" w:cs="Arial" w:eastAsia="Arial" w:hAnsi="Arial"/>
          <w:sz w:val="18"/>
          <w:szCs w:val="18"/>
          <w:i w:val="1"/>
          <w:iCs w:val="1"/>
          <w:color w:val="auto"/>
        </w:rPr>
      </w:pPr>
    </w:p>
    <w:p>
      <w:pPr>
        <w:ind w:left="980" w:hanging="324"/>
        <w:spacing w:after="0"/>
        <w:tabs>
          <w:tab w:leader="none" w:pos="980"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980" w:right="8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futures, swaps and options.</w:t>
      </w:r>
    </w:p>
    <w:p>
      <w:pPr>
        <w:spacing w:after="0" w:line="183" w:lineRule="exact"/>
        <w:rPr>
          <w:rFonts w:ascii="Arial" w:cs="Arial" w:eastAsia="Arial" w:hAnsi="Arial"/>
          <w:sz w:val="18"/>
          <w:szCs w:val="18"/>
          <w:i w:val="1"/>
          <w:iCs w:val="1"/>
          <w:color w:val="auto"/>
        </w:rPr>
      </w:pPr>
    </w:p>
    <w:p>
      <w:pPr>
        <w:ind w:left="980" w:hanging="324"/>
        <w:spacing w:after="0"/>
        <w:tabs>
          <w:tab w:leader="none" w:pos="980"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NGL and other</w:t>
      </w:r>
    </w:p>
    <w:p>
      <w:pPr>
        <w:spacing w:after="0" w:line="252" w:lineRule="exact"/>
        <w:rPr>
          <w:sz w:val="20"/>
          <w:szCs w:val="20"/>
          <w:color w:val="auto"/>
        </w:rPr>
      </w:pPr>
    </w:p>
    <w:p>
      <w:pPr>
        <w:ind w:left="980" w:right="280"/>
        <w:spacing w:after="0" w:line="263" w:lineRule="auto"/>
        <w:rPr>
          <w:sz w:val="20"/>
          <w:szCs w:val="20"/>
          <w:color w:val="auto"/>
        </w:rPr>
      </w:pPr>
      <w:r>
        <w:rPr>
          <w:rFonts w:ascii="Arial" w:cs="Arial" w:eastAsia="Arial" w:hAnsi="Arial"/>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futures, forwards, swaps and options.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10 to our Condensed Consolidated Financial Statements for further discussion regarding our hedging strategies and objectives.</w:t>
      </w:r>
    </w:p>
    <w:p>
      <w:pPr>
        <w:spacing w:after="0" w:line="237" w:lineRule="exact"/>
        <w:rPr>
          <w:sz w:val="20"/>
          <w:szCs w:val="20"/>
          <w:color w:val="auto"/>
        </w:rPr>
      </w:pPr>
    </w:p>
    <w:p>
      <w:pPr>
        <w:ind w:right="80" w:firstLine="648"/>
        <w:spacing w:after="0" w:line="276" w:lineRule="auto"/>
        <w:rPr>
          <w:sz w:val="20"/>
          <w:szCs w:val="20"/>
          <w:color w:val="auto"/>
        </w:rPr>
      </w:pPr>
      <w:r>
        <w:rPr>
          <w:rFonts w:ascii="Arial" w:cs="Arial" w:eastAsia="Arial" w:hAnsi="Arial"/>
          <w:sz w:val="18"/>
          <w:szCs w:val="18"/>
          <w:color w:val="auto"/>
        </w:rPr>
        <w:t>The fair value of our commodity derivatives and the change in fair value as of June 30, 2020 that would be expected from a 10% price increase or decrease is shown in the table below (in millions):</w:t>
      </w:r>
    </w:p>
    <w:tbl>
      <w:tblPr>
        <w:tblLayout w:type="fixed"/>
        <w:tblInd w:w="0" w:type="dxa"/>
        <w:tblCellMar>
          <w:top w:w="0" w:type="dxa"/>
          <w:left w:w="0" w:type="dxa"/>
          <w:bottom w:w="0" w:type="dxa"/>
          <w:right w:w="0" w:type="dxa"/>
        </w:tblCellMar>
      </w:tblPr>
      <w:tr>
        <w:trPr>
          <w:trHeight w:val="150"/>
        </w:trPr>
        <w:tc>
          <w:tcPr>
            <w:tcW w:w="67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line="150" w:lineRule="exact"/>
              <w:rPr>
                <w:sz w:val="20"/>
                <w:szCs w:val="20"/>
                <w:color w:val="auto"/>
              </w:rPr>
            </w:pPr>
            <w:r>
              <w:rPr>
                <w:rFonts w:ascii="Arial" w:cs="Arial" w:eastAsia="Arial" w:hAnsi="Arial"/>
                <w:sz w:val="14"/>
                <w:szCs w:val="14"/>
                <w:b w:val="1"/>
                <w:bCs w:val="1"/>
                <w:color w:val="auto"/>
              </w:rPr>
              <w:t>Effect of 10%</w:t>
            </w:r>
          </w:p>
        </w:tc>
        <w:tc>
          <w:tcPr>
            <w:tcW w:w="180" w:type="dxa"/>
            <w:vAlign w:val="bottom"/>
          </w:tcPr>
          <w:p>
            <w:pPr>
              <w:spacing w:after="0"/>
              <w:rPr>
                <w:sz w:val="13"/>
                <w:szCs w:val="13"/>
                <w:color w:val="auto"/>
              </w:rPr>
            </w:pPr>
          </w:p>
        </w:tc>
        <w:tc>
          <w:tcPr>
            <w:tcW w:w="1260" w:type="dxa"/>
            <w:vAlign w:val="bottom"/>
          </w:tcPr>
          <w:p>
            <w:pPr>
              <w:jc w:val="center"/>
              <w:ind w:right="97"/>
              <w:spacing w:after="0" w:line="150" w:lineRule="exact"/>
              <w:rPr>
                <w:sz w:val="20"/>
                <w:szCs w:val="20"/>
                <w:color w:val="auto"/>
              </w:rPr>
            </w:pPr>
            <w:r>
              <w:rPr>
                <w:rFonts w:ascii="Arial" w:cs="Arial" w:eastAsia="Arial" w:hAnsi="Arial"/>
                <w:sz w:val="14"/>
                <w:szCs w:val="14"/>
                <w:b w:val="1"/>
                <w:bCs w:val="1"/>
                <w:color w:val="auto"/>
                <w:w w:val="95"/>
              </w:rPr>
              <w:t>Effect of 10%</w:t>
            </w:r>
          </w:p>
        </w:tc>
        <w:tc>
          <w:tcPr>
            <w:tcW w:w="0" w:type="dxa"/>
            <w:vAlign w:val="bottom"/>
          </w:tcPr>
          <w:p>
            <w:pPr>
              <w:spacing w:after="0"/>
              <w:rPr>
                <w:sz w:val="1"/>
                <w:szCs w:val="1"/>
                <w:color w:val="auto"/>
              </w:rPr>
            </w:pPr>
          </w:p>
        </w:tc>
      </w:tr>
      <w:tr>
        <w:trPr>
          <w:trHeight w:val="192"/>
        </w:trPr>
        <w:tc>
          <w:tcPr>
            <w:tcW w:w="67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8"/>
              </w:rPr>
              <w:t>Price Increase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24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080" w:type="dxa"/>
            <w:vAlign w:val="bottom"/>
          </w:tcPr>
          <w:p>
            <w:pPr>
              <w:spacing w:after="0"/>
              <w:rPr>
                <w:sz w:val="21"/>
                <w:szCs w:val="21"/>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9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 and other</w:t>
            </w:r>
          </w:p>
        </w:tc>
        <w:tc>
          <w:tcPr>
            <w:tcW w:w="10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9"/>
              </w:rPr>
              <w:t>67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4"/>
        </w:trPr>
        <w:tc>
          <w:tcPr>
            <w:tcW w:w="6700" w:type="dxa"/>
            <w:vAlign w:val="bottom"/>
          </w:tcPr>
          <w:p>
            <w:pPr>
              <w:ind w:left="120"/>
              <w:spacing w:after="0"/>
              <w:rPr>
                <w:sz w:val="20"/>
                <w:szCs w:val="20"/>
                <w:color w:val="auto"/>
              </w:rPr>
            </w:pPr>
            <w:r>
              <w:rPr>
                <w:rFonts w:ascii="Arial" w:cs="Arial" w:eastAsia="Arial" w:hAnsi="Arial"/>
                <w:sz w:val="18"/>
                <w:szCs w:val="18"/>
                <w:color w:val="auto"/>
              </w:rPr>
              <w:t>Total fair value</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83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June 30, 2020, approximately $200 million, was subject to interest rate re-sets that generally range from one day to approximately one month. The average interest rate on variable rate debt that was outstanding during the six months ended June 30, 2020 was 1.9%, based upon rates in effect during such period. The fair value of our interest rate derivatives was a liability of $5 million as of June 30, 2020. A 10% increase in the forward LIBOR curve as of June 30, 2020 would have resulted in an increase of $10 million to the fair value of our interest rate derivatives. A 10% decrease in the forward LIBOR curve as of June 30, 2020 would have resulted in a decrease of $10 million to the fair value of our interest rate derivatives. See Note 10 to our Condensed Consolidated Financial Statements for a discussion of our interest rate risk hedging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 liability of $3 million as of June 30, 2020. A 10% increase in the exchange rate (USD-to-CAD) would have resulted in a decrease of $9 million to the fair value of our foreign currency derivatives. A 10% decrease in the exchange rate (USD-to-CAD) would have resulted in an increase of $9 million to the fair value of our foreign currency derivatives. See Note 10 to our Condensed Consolidated Financial Statements for a discussion of our currency exchange rate risk hedging.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Preferred Distribution Rate Reset Option of PAA’s Series A preferred units is an embedded derivative that must be bifurcated from the related host contract, PAA’s partnership agreement, and recorded at fair value in our Condensed Consolidated Balance Sheets. The valuation model utilized for this embedded derivative contains inputs including PAA’s common unit price, ten-year U.S. treasury rates, default probabilities and timing estimates to ultimately calculate the fair value of PAA’s Series A preferred units with and without the Preferred Distribution Rate Reset Option. The fair value of this embedded derivative was a liability of $17 million as of June 30, 2020. A 10% increase or decrease in the fair value would have an impact of $2 million. See Note 10 to our Condensed Consolidated Financial Statements for a discussion of embedded derivatives.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71"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June 30, 2020, the end of the period covered by this report, and, based on such evaluation, our Chief Executive Officer and Chief Financial Officer have concluded that our DCP is effective.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second quarter of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12 to our Condensed Consolidated Financial Statements, and is incorporated herein by reference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Other than the risk factors contained in Part II, Item 1A of our Quarterly Report on Form 10-Q for the quarter ended March 31, 2020, there are no material changes from the risk factors as previously disclosed in Part I, Item 1A of our 2019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5"/>
              </w:rPr>
              <w:t>Exhibit No.</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140" w:type="dxa"/>
            <w:vAlign w:val="bottom"/>
            <w:gridSpan w:val="7"/>
          </w:tcPr>
          <w:p>
            <w:pPr>
              <w:ind w:left="6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34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77"/>
        </w:trPr>
        <w:tc>
          <w:tcPr>
            <w:tcW w:w="13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40" w:type="dxa"/>
            <w:vAlign w:val="bottom"/>
            <w:gridSpan w:val="9"/>
          </w:tcPr>
          <w:p>
            <w:pPr>
              <w:spacing w:after="0"/>
              <w:rPr>
                <w:rFonts w:ascii="Arial" w:cs="Arial" w:eastAsia="Arial" w:hAnsi="Arial"/>
                <w:sz w:val="18"/>
                <w:szCs w:val="18"/>
                <w:color w:val="0000FF"/>
                <w:w w:val="97"/>
              </w:rPr>
            </w:pPr>
            <w:hyperlink r:id="rId125">
              <w:r>
                <w:rPr>
                  <w:rFonts w:ascii="Arial" w:cs="Arial" w:eastAsia="Arial" w:hAnsi="Arial"/>
                  <w:sz w:val="18"/>
                  <w:szCs w:val="18"/>
                  <w:color w:val="0000FF"/>
                  <w:w w:val="97"/>
                </w:rPr>
                <w:t>Certificate of Limited Partnership of Plains GP Holdings, L.P. (incorporated by reference to Exhibit 3.1 to our Registration</w:t>
              </w:r>
            </w:hyperlink>
          </w:p>
        </w:tc>
      </w:tr>
      <w:tr>
        <w:trPr>
          <w:trHeight w:val="155"/>
        </w:trPr>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Statement on Form S-1 (333-190227) filed July 29, 2013).</w:t>
              </w:r>
            </w:hyperlink>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3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40" w:type="dxa"/>
            <w:vAlign w:val="bottom"/>
            <w:gridSpan w:val="9"/>
          </w:tcPr>
          <w:p>
            <w:pPr>
              <w:spacing w:after="0"/>
              <w:rPr>
                <w:rFonts w:ascii="Arial" w:cs="Arial" w:eastAsia="Arial" w:hAnsi="Arial"/>
                <w:sz w:val="18"/>
                <w:szCs w:val="18"/>
                <w:color w:val="0000FF"/>
                <w:w w:val="92"/>
              </w:rPr>
            </w:pPr>
            <w:hyperlink r:id="rId126">
              <w:r>
                <w:rPr>
                  <w:rFonts w:ascii="Arial" w:cs="Arial" w:eastAsia="Arial" w:hAnsi="Arial"/>
                  <w:sz w:val="18"/>
                  <w:szCs w:val="18"/>
                  <w:color w:val="0000FF"/>
                  <w:w w:val="92"/>
                </w:rPr>
                <w:t>Second Amended and Restated Agreement of Limited Partnership of Plains GP Holdings, L.P. dated as of November 15, 2016</w:t>
              </w:r>
            </w:hyperlink>
          </w:p>
        </w:tc>
      </w:tr>
      <w:tr>
        <w:trPr>
          <w:trHeight w:val="224"/>
        </w:trPr>
        <w:tc>
          <w:tcPr>
            <w:tcW w:w="1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00" w:type="dxa"/>
            <w:vAlign w:val="bottom"/>
            <w:tcBorders>
              <w:top w:val="single" w:sz="8" w:color="0000FF"/>
            </w:tcBorders>
            <w:gridSpan w:val="6"/>
          </w:tcPr>
          <w:p>
            <w:pPr>
              <w:spacing w:after="0"/>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(incorporated by reference to Exhibit 3.2 to our Current Report on Form 8-K filed November 21, 2016).</w:t>
              </w:r>
            </w:hyperlink>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9"/>
        </w:trPr>
        <w:tc>
          <w:tcPr>
            <w:tcW w:w="134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9340" w:type="dxa"/>
            <w:vAlign w:val="bottom"/>
            <w:gridSpan w:val="9"/>
          </w:tcPr>
          <w:p>
            <w:pPr>
              <w:spacing w:after="0"/>
              <w:rPr>
                <w:rFonts w:ascii="Arial" w:cs="Arial" w:eastAsia="Arial" w:hAnsi="Arial"/>
                <w:sz w:val="18"/>
                <w:szCs w:val="18"/>
                <w:color w:val="0000FF"/>
                <w:w w:val="94"/>
              </w:rPr>
            </w:pPr>
            <w:hyperlink r:id="rId127">
              <w:r>
                <w:rPr>
                  <w:rFonts w:ascii="Arial" w:cs="Arial" w:eastAsia="Arial" w:hAnsi="Arial"/>
                  <w:sz w:val="18"/>
                  <w:szCs w:val="18"/>
                  <w:color w:val="0000FF"/>
                  <w:w w:val="94"/>
                </w:rPr>
                <w:t>Certificate of Formation of PAA GP Holdings LLC (incorporated by reference to Exhibit 3.3 to our Registration Statement on</w:t>
              </w:r>
            </w:hyperlink>
          </w:p>
        </w:tc>
      </w:tr>
      <w:tr>
        <w:trPr>
          <w:trHeight w:val="155"/>
        </w:trPr>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Form S-1 (333-190227) filed July 29, 2013).</w:t>
              </w:r>
            </w:hyperlink>
          </w:p>
        </w:tc>
        <w:tc>
          <w:tcPr>
            <w:tcW w:w="5840" w:type="dxa"/>
            <w:vAlign w:val="bottom"/>
            <w:tcBorders>
              <w:top w:val="single" w:sz="8" w:color="0000FF"/>
            </w:tcBorders>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18"/>
        </w:trPr>
        <w:tc>
          <w:tcPr>
            <w:tcW w:w="134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40" w:type="dxa"/>
            <w:vAlign w:val="bottom"/>
            <w:gridSpan w:val="9"/>
          </w:tcPr>
          <w:p>
            <w:pPr>
              <w:spacing w:after="0"/>
              <w:rPr>
                <w:rFonts w:ascii="Arial" w:cs="Arial" w:eastAsia="Arial" w:hAnsi="Arial"/>
                <w:sz w:val="18"/>
                <w:szCs w:val="18"/>
                <w:color w:val="0000FF"/>
                <w:w w:val="94"/>
              </w:rPr>
            </w:pPr>
            <w:hyperlink r:id="rId128">
              <w:r>
                <w:rPr>
                  <w:rFonts w:ascii="Arial" w:cs="Arial" w:eastAsia="Arial" w:hAnsi="Arial"/>
                  <w:sz w:val="18"/>
                  <w:szCs w:val="18"/>
                  <w:color w:val="0000FF"/>
                  <w:w w:val="94"/>
                </w:rPr>
                <w:t>Third Amended and Restated Limited Liability Company Agreement of PAA GP Holdings LLC dated as of February 16, 2017</w:t>
              </w:r>
            </w:hyperlink>
          </w:p>
        </w:tc>
      </w:tr>
      <w:tr>
        <w:trPr>
          <w:trHeight w:val="155"/>
        </w:trPr>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(incorporated by reference to Exhibit 3.1 to our Current Report on Form 8-K filed February 21, 2017).</w:t>
              </w:r>
            </w:hyperlink>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60" w:type="dxa"/>
            <w:vAlign w:val="bottom"/>
            <w:gridSpan w:val="3"/>
            <w:shd w:val="clear" w:color="auto" w:fill="0000FF"/>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34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40" w:type="dxa"/>
            <w:vAlign w:val="bottom"/>
            <w:gridSpan w:val="9"/>
          </w:tcPr>
          <w:p>
            <w:pPr>
              <w:spacing w:after="0"/>
              <w:rPr>
                <w:rFonts w:ascii="Arial" w:cs="Arial" w:eastAsia="Arial" w:hAnsi="Arial"/>
                <w:sz w:val="18"/>
                <w:szCs w:val="18"/>
                <w:color w:val="0000FF"/>
                <w:w w:val="91"/>
              </w:rPr>
            </w:pPr>
            <w:hyperlink r:id="rId129">
              <w:r>
                <w:rPr>
                  <w:rFonts w:ascii="Arial" w:cs="Arial" w:eastAsia="Arial" w:hAnsi="Arial"/>
                  <w:sz w:val="18"/>
                  <w:szCs w:val="18"/>
                  <w:color w:val="0000FF"/>
                  <w:w w:val="91"/>
                </w:rPr>
                <w:t>Amendment No. 1 dated October 1, 2018 to the Third Amended and Restated Limited Liability Company Agreement of PAA GP</w:t>
              </w:r>
            </w:hyperlink>
          </w:p>
        </w:tc>
      </w:tr>
      <w:tr>
        <w:trPr>
          <w:trHeight w:val="224"/>
        </w:trPr>
        <w:tc>
          <w:tcPr>
            <w:tcW w:w="1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00" w:type="dxa"/>
            <w:vAlign w:val="bottom"/>
            <w:tcBorders>
              <w:top w:val="single" w:sz="8" w:color="0000FF"/>
            </w:tcBorders>
            <w:gridSpan w:val="8"/>
          </w:tcPr>
          <w:p>
            <w:pPr>
              <w:spacing w:after="0"/>
              <w:rPr>
                <w:rFonts w:ascii="Arial" w:cs="Arial" w:eastAsia="Arial" w:hAnsi="Arial"/>
                <w:sz w:val="18"/>
                <w:szCs w:val="18"/>
                <w:u w:val="single" w:color="auto"/>
                <w:color w:val="0000FF"/>
              </w:rPr>
            </w:pPr>
            <w:hyperlink r:id="rId129">
              <w:r>
                <w:rPr>
                  <w:rFonts w:ascii="Arial" w:cs="Arial" w:eastAsia="Arial" w:hAnsi="Arial"/>
                  <w:sz w:val="18"/>
                  <w:szCs w:val="18"/>
                  <w:u w:val="single" w:color="auto"/>
                  <w:color w:val="0000FF"/>
                </w:rPr>
                <w:t>Holdings LLC (incorporated by reference to Exhibit 3.1 to our Current Report on Form 8-K filed August 20, 2018).</w:t>
              </w:r>
            </w:hyperlink>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w:t>
      </w:r>
    </w:p>
    <w:p>
      <w:pPr>
        <w:spacing w:after="0" w:line="30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w:t>
      </w:r>
    </w:p>
    <w:p>
      <w:pPr>
        <w:spacing w:after="0" w:line="30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w:t>
      </w:r>
    </w:p>
    <w:p>
      <w:pPr>
        <w:spacing w:after="0" w:line="30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w:t>
      </w:r>
    </w:p>
    <w:p>
      <w:pPr>
        <w:spacing w:after="0" w:line="30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w:t>
      </w:r>
    </w:p>
    <w:p>
      <w:pPr>
        <w:spacing w:after="0" w:line="30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w:t>
      </w:r>
    </w:p>
    <w:p>
      <w:pPr>
        <w:spacing w:after="0" w:line="30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w:t>
      </w:r>
    </w:p>
    <w:p>
      <w:pPr>
        <w:spacing w:after="0" w:line="30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w:t>
      </w:r>
    </w:p>
    <w:p>
      <w:pPr>
        <w:spacing w:after="0" w:line="30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spacing w:after="0" w:line="289" w:lineRule="auto"/>
        <w:rPr>
          <w:rFonts w:ascii="Arial" w:cs="Arial" w:eastAsia="Arial" w:hAnsi="Arial"/>
          <w:sz w:val="16"/>
          <w:szCs w:val="16"/>
          <w:u w:val="single" w:color="auto"/>
          <w:color w:val="0000FF"/>
        </w:rPr>
      </w:pPr>
      <w:hyperlink r:id="rId131">
        <w:r>
          <w:rPr>
            <w:rFonts w:ascii="Arial" w:cs="Arial" w:eastAsia="Arial" w:hAnsi="Arial"/>
            <w:sz w:val="16"/>
            <w:szCs w:val="16"/>
            <w:u w:val="single" w:color="auto"/>
            <w:color w:val="0000FF"/>
          </w:rPr>
          <w:t>Amendment No. 2 dated December 10, 2018 to the Third Amended and Restated Limited Liability Company Agreement of PAA</w:t>
        </w:r>
      </w:hyperlink>
      <w:r>
        <w:rPr>
          <w:rFonts w:ascii="Arial" w:cs="Arial" w:eastAsia="Arial" w:hAnsi="Arial"/>
          <w:sz w:val="16"/>
          <w:szCs w:val="16"/>
          <w:u w:val="single" w:color="auto"/>
          <w:color w:val="0000FF"/>
        </w:rPr>
        <w:t xml:space="preserve"> </w:t>
      </w:r>
      <w:hyperlink r:id="rId131">
        <w:r>
          <w:rPr>
            <w:rFonts w:ascii="Arial" w:cs="Arial" w:eastAsia="Arial" w:hAnsi="Arial"/>
            <w:sz w:val="16"/>
            <w:szCs w:val="16"/>
            <w:u w:val="single" w:color="auto"/>
            <w:color w:val="0000FF"/>
          </w:rPr>
          <w:t>GP Holdings LLC (incorporated by reference to Exhibit 3.1 to our Current Report on Form 8-K filed December 11, 2018).</w:t>
        </w:r>
      </w:hyperlink>
    </w:p>
    <w:p>
      <w:pPr>
        <w:spacing w:after="0" w:line="70" w:lineRule="exact"/>
        <w:rPr>
          <w:sz w:val="20"/>
          <w:szCs w:val="20"/>
          <w:color w:val="auto"/>
        </w:rPr>
      </w:pPr>
    </w:p>
    <w:p>
      <w:pPr>
        <w:spacing w:after="0" w:line="289" w:lineRule="auto"/>
        <w:rPr>
          <w:rFonts w:ascii="Arial" w:cs="Arial" w:eastAsia="Arial" w:hAnsi="Arial"/>
          <w:sz w:val="16"/>
          <w:szCs w:val="16"/>
          <w:u w:val="single" w:color="auto"/>
          <w:color w:val="0000FF"/>
        </w:rPr>
      </w:pPr>
      <w:hyperlink r:id="rId132">
        <w:r>
          <w:rPr>
            <w:rFonts w:ascii="Arial" w:cs="Arial" w:eastAsia="Arial" w:hAnsi="Arial"/>
            <w:sz w:val="16"/>
            <w:szCs w:val="16"/>
            <w:u w:val="single" w:color="auto"/>
            <w:color w:val="0000FF"/>
          </w:rPr>
          <w:t>Amendment No. 3 dated November 21, 2019 to the Third Amended and Restated Limited Liability Company Agreement of PAA</w:t>
        </w:r>
      </w:hyperlink>
      <w:r>
        <w:rPr>
          <w:rFonts w:ascii="Arial" w:cs="Arial" w:eastAsia="Arial" w:hAnsi="Arial"/>
          <w:sz w:val="16"/>
          <w:szCs w:val="16"/>
          <w:u w:val="single" w:color="auto"/>
          <w:color w:val="0000FF"/>
        </w:rPr>
        <w:t xml:space="preserve"> </w:t>
      </w:r>
      <w:hyperlink r:id="rId132">
        <w:r>
          <w:rPr>
            <w:rFonts w:ascii="Arial" w:cs="Arial" w:eastAsia="Arial" w:hAnsi="Arial"/>
            <w:sz w:val="16"/>
            <w:szCs w:val="16"/>
            <w:u w:val="single" w:color="auto"/>
            <w:color w:val="0000FF"/>
          </w:rPr>
          <w:t>GP Holdings LLC (incorporated by reference to Exhibit 3.1 to our Current Report on Form 8-K filed November 27, 2019).</w:t>
        </w:r>
      </w:hyperlink>
    </w:p>
    <w:p>
      <w:pPr>
        <w:spacing w:after="0" w:line="70" w:lineRule="exact"/>
        <w:rPr>
          <w:sz w:val="20"/>
          <w:szCs w:val="20"/>
          <w:color w:val="auto"/>
        </w:rPr>
      </w:pPr>
    </w:p>
    <w:p>
      <w:pPr>
        <w:ind w:right="20"/>
        <w:spacing w:after="0" w:line="258" w:lineRule="auto"/>
        <w:rPr>
          <w:rFonts w:ascii="Arial" w:cs="Arial" w:eastAsia="Arial" w:hAnsi="Arial"/>
          <w:sz w:val="17"/>
          <w:szCs w:val="17"/>
          <w:u w:val="single" w:color="auto"/>
          <w:color w:val="0000FF"/>
        </w:rPr>
      </w:pPr>
      <w:hyperlink r:id="rId133">
        <w:r>
          <w:rPr>
            <w:rFonts w:ascii="Arial" w:cs="Arial" w:eastAsia="Arial" w:hAnsi="Arial"/>
            <w:sz w:val="17"/>
            <w:szCs w:val="17"/>
            <w:u w:val="single" w:color="auto"/>
            <w:color w:val="0000FF"/>
          </w:rPr>
          <w:t>Seventh Amended and Restated Agreement of Limited Partnership of Plains All American Pipeline, L.P., dated as of October 10,</w:t>
        </w:r>
      </w:hyperlink>
      <w:r>
        <w:rPr>
          <w:rFonts w:ascii="Arial" w:cs="Arial" w:eastAsia="Arial" w:hAnsi="Arial"/>
          <w:sz w:val="17"/>
          <w:szCs w:val="17"/>
          <w:u w:val="single" w:color="auto"/>
          <w:color w:val="0000FF"/>
        </w:rPr>
        <w:t xml:space="preserve"> </w:t>
      </w:r>
      <w:hyperlink r:id="rId133">
        <w:r>
          <w:rPr>
            <w:rFonts w:ascii="Arial" w:cs="Arial" w:eastAsia="Arial" w:hAnsi="Arial"/>
            <w:sz w:val="17"/>
            <w:szCs w:val="17"/>
            <w:u w:val="single" w:color="auto"/>
            <w:color w:val="0000FF"/>
          </w:rPr>
          <w:t>2017 (incorporated by reference to Exhibit 3.1 to PAA's Current Report on Form 8-K filed October 12, 2017).</w:t>
        </w:r>
      </w:hyperlink>
    </w:p>
    <w:p>
      <w:pPr>
        <w:spacing w:after="0" w:line="93" w:lineRule="exact"/>
        <w:rPr>
          <w:sz w:val="20"/>
          <w:szCs w:val="20"/>
          <w:color w:val="auto"/>
        </w:rPr>
      </w:pPr>
    </w:p>
    <w:p>
      <w:pPr>
        <w:ind w:right="280"/>
        <w:spacing w:after="0" w:line="258" w:lineRule="auto"/>
        <w:rPr>
          <w:rFonts w:ascii="Arial" w:cs="Arial" w:eastAsia="Arial" w:hAnsi="Arial"/>
          <w:sz w:val="17"/>
          <w:szCs w:val="17"/>
          <w:u w:val="single" w:color="auto"/>
          <w:color w:val="0000FF"/>
        </w:rPr>
      </w:pPr>
      <w:hyperlink r:id="rId134">
        <w:r>
          <w:rPr>
            <w:rFonts w:ascii="Arial" w:cs="Arial" w:eastAsia="Arial" w:hAnsi="Arial"/>
            <w:sz w:val="17"/>
            <w:szCs w:val="17"/>
            <w:u w:val="single" w:color="auto"/>
            <w:color w:val="0000FF"/>
          </w:rPr>
          <w:t>Seventh Amended and Restated Limited Liability Company Agreement of Plains All American GP LLC dated November 15,</w:t>
        </w:r>
      </w:hyperlink>
      <w:r>
        <w:rPr>
          <w:rFonts w:ascii="Arial" w:cs="Arial" w:eastAsia="Arial" w:hAnsi="Arial"/>
          <w:sz w:val="17"/>
          <w:szCs w:val="17"/>
          <w:u w:val="single" w:color="auto"/>
          <w:color w:val="0000FF"/>
        </w:rPr>
        <w:t xml:space="preserve"> </w:t>
      </w:r>
      <w:hyperlink r:id="rId134">
        <w:r>
          <w:rPr>
            <w:rFonts w:ascii="Arial" w:cs="Arial" w:eastAsia="Arial" w:hAnsi="Arial"/>
            <w:sz w:val="17"/>
            <w:szCs w:val="17"/>
            <w:u w:val="single" w:color="auto"/>
            <w:color w:val="0000FF"/>
          </w:rPr>
          <w:t>2016 (incorporated by reference to Exhibit 3.3 to our Current Report on Form 8-K filed November 21, 2016).</w:t>
        </w:r>
      </w:hyperlink>
    </w:p>
    <w:p>
      <w:pPr>
        <w:spacing w:after="0" w:line="93" w:lineRule="exact"/>
        <w:rPr>
          <w:sz w:val="20"/>
          <w:szCs w:val="20"/>
          <w:color w:val="auto"/>
        </w:rPr>
      </w:pPr>
    </w:p>
    <w:p>
      <w:pPr>
        <w:ind w:right="200"/>
        <w:spacing w:after="0" w:line="235" w:lineRule="auto"/>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Eighth Amended and Restated Limited Partnership Agreement of Plains AAP, L.P. dated November 15, 2016 (incorporated by</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reference to Exhibit 3.4 to our Current Report on Form 8-K filed November 21, 2016).</w:t>
        </w:r>
      </w:hyperlink>
    </w:p>
    <w:p>
      <w:pPr>
        <w:spacing w:after="0" w:line="108" w:lineRule="exact"/>
        <w:rPr>
          <w:sz w:val="20"/>
          <w:szCs w:val="20"/>
          <w:color w:val="auto"/>
        </w:rPr>
      </w:pPr>
    </w:p>
    <w:p>
      <w:pPr>
        <w:ind w:right="360"/>
        <w:spacing w:after="0" w:line="258" w:lineRule="auto"/>
        <w:rPr>
          <w:rFonts w:ascii="Arial" w:cs="Arial" w:eastAsia="Arial" w:hAnsi="Arial"/>
          <w:sz w:val="17"/>
          <w:szCs w:val="17"/>
          <w:u w:val="single" w:color="auto"/>
          <w:color w:val="0000FF"/>
        </w:rPr>
      </w:pPr>
      <w:hyperlink r:id="rId136">
        <w:r>
          <w:rPr>
            <w:rFonts w:ascii="Arial" w:cs="Arial" w:eastAsia="Arial" w:hAnsi="Arial"/>
            <w:sz w:val="17"/>
            <w:szCs w:val="17"/>
            <w:u w:val="single" w:color="auto"/>
            <w:color w:val="0000FF"/>
          </w:rPr>
          <w:t>Amendment No. 1 dated September 26, 2018 to the Eighth Amended and Restated Limited Partnership Agreement of Plains</w:t>
        </w:r>
      </w:hyperlink>
      <w:r>
        <w:rPr>
          <w:rFonts w:ascii="Arial" w:cs="Arial" w:eastAsia="Arial" w:hAnsi="Arial"/>
          <w:sz w:val="17"/>
          <w:szCs w:val="17"/>
          <w:u w:val="single" w:color="auto"/>
          <w:color w:val="0000FF"/>
        </w:rPr>
        <w:t xml:space="preserve"> </w:t>
      </w:r>
      <w:hyperlink r:id="rId136">
        <w:r>
          <w:rPr>
            <w:rFonts w:ascii="Arial" w:cs="Arial" w:eastAsia="Arial" w:hAnsi="Arial"/>
            <w:sz w:val="17"/>
            <w:szCs w:val="17"/>
            <w:u w:val="single" w:color="auto"/>
            <w:color w:val="0000FF"/>
          </w:rPr>
          <w:t>AAP, L.P. (incorporated by reference to Exhibit 3.1 to our Current Report on Form 8-K filed October 2, 2018).</w:t>
        </w:r>
      </w:hyperlink>
    </w:p>
    <w:p>
      <w:pPr>
        <w:spacing w:after="0" w:line="93" w:lineRule="exact"/>
        <w:rPr>
          <w:sz w:val="20"/>
          <w:szCs w:val="20"/>
          <w:color w:val="auto"/>
        </w:rPr>
      </w:pPr>
    </w:p>
    <w:p>
      <w:pPr>
        <w:spacing w:after="0"/>
        <w:rPr>
          <w:rFonts w:ascii="Arial" w:cs="Arial" w:eastAsia="Arial" w:hAnsi="Arial"/>
          <w:sz w:val="16"/>
          <w:szCs w:val="16"/>
          <w:u w:val="single" w:color="auto"/>
          <w:color w:val="0000FF"/>
        </w:rPr>
      </w:pPr>
      <w:hyperlink r:id="rId137">
        <w:r>
          <w:rPr>
            <w:rFonts w:ascii="Arial" w:cs="Arial" w:eastAsia="Arial" w:hAnsi="Arial"/>
            <w:sz w:val="16"/>
            <w:szCs w:val="16"/>
            <w:u w:val="single" w:color="auto"/>
            <w:color w:val="0000FF"/>
          </w:rPr>
          <w:t>Amendment No. 2 dated May 23, 2019 to the Eighth Amended and Restated Limited Partnership Agreement of Plains AAP, L.P.</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(incorporated by reference to Exhibit 3.1 to our Current Report on Form 8-K filed May 30, 2019).</w:t>
        </w:r>
      </w:hyperlink>
    </w:p>
    <w:p>
      <w:pPr>
        <w:spacing w:after="0" w:line="115" w:lineRule="exact"/>
        <w:rPr>
          <w:sz w:val="20"/>
          <w:szCs w:val="20"/>
          <w:color w:val="auto"/>
        </w:rPr>
      </w:pPr>
    </w:p>
    <w:p>
      <w:pPr>
        <w:ind w:right="200"/>
        <w:spacing w:after="0" w:line="235" w:lineRule="auto"/>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Limited Liability Company Agreement of PAA GP LLC dated December 28, 2007 (incorporated by reference to Exhibit 3.3 to</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PAA’s Current Report on Form 8-K filed January 4, 2008).</w:t>
        </w:r>
      </w:hyperlink>
    </w:p>
    <w:p>
      <w:pPr>
        <w:spacing w:after="0" w:line="108" w:lineRule="exact"/>
        <w:rPr>
          <w:sz w:val="20"/>
          <w:szCs w:val="20"/>
          <w:color w:val="auto"/>
        </w:rPr>
      </w:pPr>
    </w:p>
    <w:p>
      <w:pPr>
        <w:ind w:right="500"/>
        <w:spacing w:after="0" w:line="224" w:lineRule="auto"/>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Indenture dated September 25, 2002 among Plains All American Pipeline, L.P., PAA Finance Corp. and Wachovia Bank,</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National Association, as trustee (incorporated by reference to Exhibit 4.1 to PAA’s Quarterly Report on Form 10-Q for the</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quarter ended September 30, 2002).</w:t>
        </w:r>
      </w:hyperlink>
    </w:p>
    <w:p>
      <w:pPr>
        <w:spacing w:after="0" w:line="72" w:lineRule="exact"/>
        <w:rPr>
          <w:rFonts w:ascii="Arial" w:cs="Arial" w:eastAsia="Arial" w:hAnsi="Arial"/>
          <w:sz w:val="18"/>
          <w:szCs w:val="18"/>
          <w:u w:val="single" w:color="auto"/>
          <w:color w:val="0000FF"/>
        </w:rPr>
      </w:pPr>
    </w:p>
    <w:p>
      <w:pPr>
        <w:sectPr>
          <w:pgSz w:w="11900" w:h="16838" w:orient="portrait"/>
          <w:cols w:equalWidth="0" w:num="2">
            <w:col w:w="1540" w:space="340"/>
            <w:col w:w="9300"/>
          </w:cols>
          <w:pgMar w:left="320" w:top="125" w:right="399" w:bottom="1440" w:gutter="0" w:footer="0" w:header="0"/>
        </w:sectPr>
      </w:pPr>
    </w:p>
    <w:tbl>
      <w:tblPr>
        <w:tblLayout w:type="fixed"/>
        <w:tblInd w:w="560" w:type="dxa"/>
        <w:tblCellMar>
          <w:top w:w="0" w:type="dxa"/>
          <w:left w:w="0" w:type="dxa"/>
          <w:bottom w:w="0" w:type="dxa"/>
          <w:right w:w="0" w:type="dxa"/>
        </w:tblCellMar>
      </w:tblPr>
      <w:tr>
        <w:trPr>
          <w:trHeight w:val="227"/>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79"/>
              </w:rPr>
              <w:t>4.2</w:t>
            </w:r>
          </w:p>
        </w:tc>
        <w:tc>
          <w:tcPr>
            <w:tcW w:w="800" w:type="dxa"/>
            <w:vAlign w:val="bottom"/>
          </w:tcPr>
          <w:p>
            <w:pPr>
              <w:ind w:left="280"/>
              <w:spacing w:after="0"/>
              <w:rPr>
                <w:sz w:val="20"/>
                <w:szCs w:val="20"/>
                <w:color w:val="auto"/>
              </w:rPr>
            </w:pPr>
            <w:r>
              <w:rPr>
                <w:rFonts w:ascii="Arial" w:cs="Arial" w:eastAsia="Arial" w:hAnsi="Arial"/>
                <w:sz w:val="18"/>
                <w:szCs w:val="18"/>
                <w:color w:val="auto"/>
              </w:rPr>
              <w:t>—</w:t>
            </w:r>
          </w:p>
        </w:tc>
        <w:tc>
          <w:tcPr>
            <w:tcW w:w="9320" w:type="dxa"/>
            <w:vAlign w:val="bottom"/>
            <w:gridSpan w:val="15"/>
          </w:tcPr>
          <w:p>
            <w:pPr>
              <w:spacing w:after="0"/>
              <w:rPr>
                <w:rFonts w:ascii="Arial" w:cs="Arial" w:eastAsia="Arial" w:hAnsi="Arial"/>
                <w:sz w:val="18"/>
                <w:szCs w:val="18"/>
                <w:color w:val="0000FF"/>
                <w:w w:val="95"/>
              </w:rPr>
            </w:pPr>
            <w:hyperlink r:id="rId140">
              <w:r>
                <w:rPr>
                  <w:rFonts w:ascii="Arial" w:cs="Arial" w:eastAsia="Arial" w:hAnsi="Arial"/>
                  <w:sz w:val="18"/>
                  <w:szCs w:val="18"/>
                  <w:color w:val="0000FF"/>
                  <w:w w:val="95"/>
                </w:rPr>
                <w:t>Sixth Supplemental Indenture (Series A and Series B 6.70% Senior Notes due 2036) dated May 12, 2006 among Plains All</w:t>
              </w:r>
            </w:hyperlink>
          </w:p>
        </w:tc>
      </w:tr>
      <w:tr>
        <w:trPr>
          <w:trHeight w:val="155"/>
        </w:trPr>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40" w:type="dxa"/>
            <w:vAlign w:val="bottom"/>
            <w:tcBorders>
              <w:top w:val="single" w:sz="8" w:color="0000FF"/>
            </w:tcBorders>
            <w:gridSpan w:val="7"/>
          </w:tcPr>
          <w:p>
            <w:pPr>
              <w:spacing w:after="0" w:line="156" w:lineRule="exact"/>
              <w:rPr>
                <w:rFonts w:ascii="Arial" w:cs="Arial" w:eastAsia="Arial" w:hAnsi="Arial"/>
                <w:sz w:val="18"/>
                <w:szCs w:val="18"/>
                <w:color w:val="0000FF"/>
                <w:w w:val="94"/>
              </w:rPr>
            </w:pPr>
            <w:hyperlink r:id="rId140">
              <w:r>
                <w:rPr>
                  <w:rFonts w:ascii="Arial" w:cs="Arial" w:eastAsia="Arial" w:hAnsi="Arial"/>
                  <w:sz w:val="18"/>
                  <w:szCs w:val="18"/>
                  <w:color w:val="0000FF"/>
                  <w:w w:val="94"/>
                </w:rPr>
                <w:t>American Pipeline, L.P., PAA Finance Corp., the Subsidiary Guarantors named therein and Wachovia Bank, National</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4"/>
        </w:trPr>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40" w:type="dxa"/>
            <w:vAlign w:val="bottom"/>
            <w:tcBorders>
              <w:top w:val="single" w:sz="8" w:color="0000FF"/>
            </w:tcBorders>
            <w:gridSpan w:val="4"/>
          </w:tcPr>
          <w:p>
            <w:pPr>
              <w:spacing w:after="0"/>
              <w:rPr>
                <w:rFonts w:ascii="Arial" w:cs="Arial" w:eastAsia="Arial" w:hAnsi="Arial"/>
                <w:sz w:val="18"/>
                <w:szCs w:val="18"/>
                <w:u w:val="single" w:color="auto"/>
                <w:color w:val="0000FF"/>
                <w:w w:val="91"/>
              </w:rPr>
            </w:pPr>
            <w:hyperlink r:id="rId140">
              <w:r>
                <w:rPr>
                  <w:rFonts w:ascii="Arial" w:cs="Arial" w:eastAsia="Arial" w:hAnsi="Arial"/>
                  <w:sz w:val="18"/>
                  <w:szCs w:val="18"/>
                  <w:u w:val="single" w:color="auto"/>
                  <w:color w:val="0000FF"/>
                  <w:w w:val="91"/>
                </w:rPr>
                <w:t>Association, as trustee (incorporated by reference to Exhibit 4.1 to PAA’s Current Report on Form 8-K filed May 12,</w:t>
              </w:r>
            </w:hyperlink>
          </w:p>
        </w:tc>
        <w:tc>
          <w:tcPr>
            <w:tcW w:w="540" w:type="dxa"/>
            <w:vAlign w:val="bottom"/>
            <w:gridSpan w:val="4"/>
          </w:tcPr>
          <w:p>
            <w:pPr>
              <w:jc w:val="right"/>
              <w:ind w:right="80"/>
              <w:spacing w:after="0"/>
              <w:rPr>
                <w:rFonts w:ascii="Arial" w:cs="Arial" w:eastAsia="Arial" w:hAnsi="Arial"/>
                <w:sz w:val="18"/>
                <w:szCs w:val="18"/>
                <w:u w:val="single" w:color="auto"/>
                <w:color w:val="0000FF"/>
                <w:w w:val="86"/>
              </w:rPr>
            </w:pPr>
            <w:hyperlink r:id="rId140">
              <w:r>
                <w:rPr>
                  <w:rFonts w:ascii="Arial" w:cs="Arial" w:eastAsia="Arial" w:hAnsi="Arial"/>
                  <w:sz w:val="18"/>
                  <w:szCs w:val="18"/>
                  <w:u w:val="single" w:color="auto"/>
                  <w:color w:val="0000FF"/>
                  <w:w w:val="86"/>
                </w:rPr>
                <w:t>2006).</w:t>
              </w:r>
            </w:hyperlink>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79"/>
              </w:rPr>
              <w:t>4.3</w:t>
            </w:r>
          </w:p>
        </w:tc>
        <w:tc>
          <w:tcPr>
            <w:tcW w:w="800" w:type="dxa"/>
            <w:vAlign w:val="bottom"/>
          </w:tcPr>
          <w:p>
            <w:pPr>
              <w:ind w:left="280"/>
              <w:spacing w:after="0"/>
              <w:rPr>
                <w:sz w:val="20"/>
                <w:szCs w:val="20"/>
                <w:color w:val="auto"/>
              </w:rPr>
            </w:pPr>
            <w:r>
              <w:rPr>
                <w:rFonts w:ascii="Arial" w:cs="Arial" w:eastAsia="Arial" w:hAnsi="Arial"/>
                <w:sz w:val="18"/>
                <w:szCs w:val="18"/>
                <w:color w:val="auto"/>
              </w:rPr>
              <w:t>—</w:t>
            </w:r>
          </w:p>
        </w:tc>
        <w:tc>
          <w:tcPr>
            <w:tcW w:w="9320" w:type="dxa"/>
            <w:vAlign w:val="bottom"/>
            <w:gridSpan w:val="15"/>
          </w:tcPr>
          <w:p>
            <w:pPr>
              <w:spacing w:after="0"/>
              <w:rPr>
                <w:rFonts w:ascii="Arial" w:cs="Arial" w:eastAsia="Arial" w:hAnsi="Arial"/>
                <w:sz w:val="18"/>
                <w:szCs w:val="18"/>
                <w:color w:val="0000FF"/>
                <w:w w:val="90"/>
              </w:rPr>
            </w:pPr>
            <w:hyperlink r:id="rId141">
              <w:r>
                <w:rPr>
                  <w:rFonts w:ascii="Arial" w:cs="Arial" w:eastAsia="Arial" w:hAnsi="Arial"/>
                  <w:sz w:val="18"/>
                  <w:szCs w:val="18"/>
                  <w:color w:val="0000FF"/>
                  <w:w w:val="90"/>
                </w:rPr>
                <w:t>Tenth Supplemental Indenture (Series A and Series B 6.650% Senior Notes due 2037) dated October 30, 2006 among Plains All</w:t>
              </w:r>
            </w:hyperlink>
          </w:p>
        </w:tc>
      </w:tr>
      <w:tr>
        <w:trPr>
          <w:trHeight w:val="155"/>
        </w:trPr>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20" w:type="dxa"/>
            <w:vAlign w:val="bottom"/>
            <w:tcBorders>
              <w:top w:val="single" w:sz="8" w:color="0000FF"/>
            </w:tcBorders>
            <w:gridSpan w:val="12"/>
          </w:tcPr>
          <w:p>
            <w:pPr>
              <w:spacing w:after="0" w:line="156"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American Pipeline, L.P., PAA Finance Corp., the Subsidiary Guarantors named therein and U.S. Bank National Association, as</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4"/>
        </w:trPr>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140" w:type="dxa"/>
            <w:vAlign w:val="bottom"/>
            <w:tcBorders>
              <w:top w:val="single" w:sz="8" w:color="0000FF"/>
            </w:tcBorders>
            <w:gridSpan w:val="10"/>
          </w:tcPr>
          <w:p>
            <w:pPr>
              <w:spacing w:after="0"/>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trustee (incorporated by reference to Exhibit 4.2 to PAA’s Current Report on Form 8-K filed October 30, 2006).</w:t>
              </w:r>
            </w:hyperlink>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79"/>
              </w:rPr>
              <w:t>4.4</w:t>
            </w:r>
          </w:p>
        </w:tc>
        <w:tc>
          <w:tcPr>
            <w:tcW w:w="800" w:type="dxa"/>
            <w:vAlign w:val="bottom"/>
          </w:tcPr>
          <w:p>
            <w:pPr>
              <w:ind w:left="280"/>
              <w:spacing w:after="0"/>
              <w:rPr>
                <w:sz w:val="20"/>
                <w:szCs w:val="20"/>
                <w:color w:val="auto"/>
              </w:rPr>
            </w:pPr>
            <w:r>
              <w:rPr>
                <w:rFonts w:ascii="Arial" w:cs="Arial" w:eastAsia="Arial" w:hAnsi="Arial"/>
                <w:sz w:val="18"/>
                <w:szCs w:val="18"/>
                <w:color w:val="auto"/>
              </w:rPr>
              <w:t>—</w:t>
            </w:r>
          </w:p>
        </w:tc>
        <w:tc>
          <w:tcPr>
            <w:tcW w:w="9300" w:type="dxa"/>
            <w:vAlign w:val="bottom"/>
            <w:tcBorders>
              <w:bottom w:val="single" w:sz="8" w:color="0000FF"/>
            </w:tcBorders>
            <w:gridSpan w:val="14"/>
          </w:tcPr>
          <w:p>
            <w:pPr>
              <w:spacing w:after="0"/>
              <w:rPr>
                <w:rFonts w:ascii="Arial" w:cs="Arial" w:eastAsia="Arial" w:hAnsi="Arial"/>
                <w:sz w:val="18"/>
                <w:szCs w:val="18"/>
                <w:color w:val="0000FF"/>
                <w:w w:val="90"/>
              </w:rPr>
            </w:pPr>
            <w:hyperlink r:id="rId142">
              <w:r>
                <w:rPr>
                  <w:rFonts w:ascii="Arial" w:cs="Arial" w:eastAsia="Arial" w:hAnsi="Arial"/>
                  <w:sz w:val="18"/>
                  <w:szCs w:val="18"/>
                  <w:color w:val="0000FF"/>
                  <w:w w:val="90"/>
                </w:rPr>
                <w:t>Nineteenth Supplemental Indenture (5.00% Senior Notes due 2021) dated January 14, 2011 among Plains All American Pipeline,</w:t>
              </w:r>
            </w:hyperlink>
          </w:p>
        </w:tc>
        <w:tc>
          <w:tcPr>
            <w:tcW w:w="20" w:type="dxa"/>
            <w:vAlign w:val="bottom"/>
          </w:tcPr>
          <w:p>
            <w:pPr>
              <w:spacing w:after="0"/>
              <w:rPr>
                <w:sz w:val="23"/>
                <w:szCs w:val="23"/>
                <w:color w:val="auto"/>
              </w:rPr>
            </w:pPr>
          </w:p>
        </w:tc>
      </w:tr>
      <w:tr>
        <w:trPr>
          <w:trHeight w:val="156"/>
        </w:trPr>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300" w:type="dxa"/>
            <w:vAlign w:val="bottom"/>
            <w:gridSpan w:val="14"/>
          </w:tcPr>
          <w:p>
            <w:pPr>
              <w:spacing w:after="0" w:line="156" w:lineRule="exact"/>
              <w:rPr>
                <w:rFonts w:ascii="Arial" w:cs="Arial" w:eastAsia="Arial" w:hAnsi="Arial"/>
                <w:sz w:val="18"/>
                <w:szCs w:val="18"/>
                <w:color w:val="0000FF"/>
                <w:w w:val="90"/>
              </w:rPr>
            </w:pPr>
            <w:hyperlink r:id="rId142">
              <w:r>
                <w:rPr>
                  <w:rFonts w:ascii="Arial" w:cs="Arial" w:eastAsia="Arial" w:hAnsi="Arial"/>
                  <w:sz w:val="18"/>
                  <w:szCs w:val="18"/>
                  <w:color w:val="0000FF"/>
                  <w:w w:val="90"/>
                </w:rPr>
                <w:t>L.P., PAA Finance Corp., the Subsidiary Guarantors named therein and U.S. Bank National Association, as trustee (incorporated</w:t>
              </w:r>
            </w:hyperlink>
          </w:p>
        </w:tc>
        <w:tc>
          <w:tcPr>
            <w:tcW w:w="20" w:type="dxa"/>
            <w:vAlign w:val="bottom"/>
          </w:tcPr>
          <w:p>
            <w:pPr>
              <w:spacing w:after="0"/>
              <w:rPr>
                <w:sz w:val="13"/>
                <w:szCs w:val="13"/>
                <w:color w:val="auto"/>
              </w:rPr>
            </w:pPr>
          </w:p>
        </w:tc>
      </w:tr>
      <w:tr>
        <w:trPr>
          <w:trHeight w:val="156"/>
        </w:trPr>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142">
              <w:r>
                <w:rPr>
                  <w:rFonts w:ascii="Arial" w:cs="Arial" w:eastAsia="Arial" w:hAnsi="Arial"/>
                  <w:sz w:val="18"/>
                  <w:szCs w:val="18"/>
                  <w:color w:val="0000FF"/>
                  <w:w w:val="91"/>
                </w:rPr>
                <w:t>by reference to Exhibit 4.1 to PAA’s Current Report on Form 8-K filed January 11, 2011).</w:t>
              </w:r>
            </w:hyperlink>
          </w:p>
        </w:tc>
        <w:tc>
          <w:tcPr>
            <w:tcW w:w="2780" w:type="dxa"/>
            <w:vAlign w:val="bottom"/>
            <w:tcBorders>
              <w:top w:val="single" w:sz="8" w:color="0000FF"/>
            </w:tcBorders>
            <w:gridSpan w:val="10"/>
          </w:tcPr>
          <w:p>
            <w:pPr>
              <w:spacing w:after="0"/>
              <w:rPr>
                <w:sz w:val="13"/>
                <w:szCs w:val="13"/>
                <w:color w:val="auto"/>
              </w:rPr>
            </w:pPr>
          </w:p>
        </w:tc>
        <w:tc>
          <w:tcPr>
            <w:tcW w:w="80" w:type="dxa"/>
            <w:vAlign w:val="bottom"/>
            <w:gridSpan w:val="2"/>
          </w:tcPr>
          <w:p>
            <w:pPr>
              <w:spacing w:after="0"/>
              <w:rPr>
                <w:sz w:val="13"/>
                <w:szCs w:val="13"/>
                <w:color w:val="auto"/>
              </w:rPr>
            </w:pPr>
          </w:p>
        </w:tc>
      </w:tr>
      <w:tr>
        <w:trPr>
          <w:trHeight w:val="318"/>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79"/>
              </w:rPr>
              <w:t>4.5</w:t>
            </w:r>
          </w:p>
        </w:tc>
        <w:tc>
          <w:tcPr>
            <w:tcW w:w="800" w:type="dxa"/>
            <w:vAlign w:val="bottom"/>
          </w:tcPr>
          <w:p>
            <w:pPr>
              <w:ind w:left="280"/>
              <w:spacing w:after="0"/>
              <w:rPr>
                <w:sz w:val="20"/>
                <w:szCs w:val="20"/>
                <w:color w:val="auto"/>
              </w:rPr>
            </w:pPr>
            <w:r>
              <w:rPr>
                <w:rFonts w:ascii="Arial" w:cs="Arial" w:eastAsia="Arial" w:hAnsi="Arial"/>
                <w:sz w:val="18"/>
                <w:szCs w:val="18"/>
                <w:color w:val="auto"/>
              </w:rPr>
              <w:t>—</w:t>
            </w:r>
          </w:p>
        </w:tc>
        <w:tc>
          <w:tcPr>
            <w:tcW w:w="9320" w:type="dxa"/>
            <w:vAlign w:val="bottom"/>
            <w:gridSpan w:val="15"/>
          </w:tcPr>
          <w:p>
            <w:pPr>
              <w:spacing w:after="0"/>
              <w:rPr>
                <w:rFonts w:ascii="Arial" w:cs="Arial" w:eastAsia="Arial" w:hAnsi="Arial"/>
                <w:sz w:val="18"/>
                <w:szCs w:val="18"/>
                <w:color w:val="0000FF"/>
                <w:w w:val="92"/>
              </w:rPr>
            </w:pPr>
            <w:hyperlink r:id="rId143">
              <w:r>
                <w:rPr>
                  <w:rFonts w:ascii="Arial" w:cs="Arial" w:eastAsia="Arial" w:hAnsi="Arial"/>
                  <w:sz w:val="18"/>
                  <w:szCs w:val="18"/>
                  <w:color w:val="0000FF"/>
                  <w:w w:val="92"/>
                </w:rPr>
                <w:t>Twentieth Supplemental Indenture (3.65% Senior Notes due 2022) dated March 22, 2012 among Plains All American Pipeline,</w:t>
              </w:r>
            </w:hyperlink>
          </w:p>
        </w:tc>
      </w:tr>
      <w:tr>
        <w:trPr>
          <w:trHeight w:val="155"/>
        </w:trPr>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160" w:type="dxa"/>
            <w:vAlign w:val="bottom"/>
            <w:tcBorders>
              <w:top w:val="single" w:sz="8" w:color="0000FF"/>
            </w:tcBorders>
            <w:gridSpan w:val="11"/>
          </w:tcPr>
          <w:p>
            <w:pPr>
              <w:spacing w:after="0" w:line="156" w:lineRule="exact"/>
              <w:rPr>
                <w:rFonts w:ascii="Arial" w:cs="Arial" w:eastAsia="Arial" w:hAnsi="Arial"/>
                <w:sz w:val="18"/>
                <w:szCs w:val="18"/>
                <w:color w:val="0000FF"/>
                <w:w w:val="94"/>
              </w:rPr>
            </w:pPr>
            <w:hyperlink r:id="rId143">
              <w:r>
                <w:rPr>
                  <w:rFonts w:ascii="Arial" w:cs="Arial" w:eastAsia="Arial" w:hAnsi="Arial"/>
                  <w:sz w:val="18"/>
                  <w:szCs w:val="18"/>
                  <w:color w:val="0000FF"/>
                  <w:w w:val="94"/>
                </w:rPr>
                <w:t>L.P., PAA Finance Corp and U.S. Bank National Association, as trustee (incorporated by reference to Exhibit 4.1 to PAA’s</w:t>
              </w:r>
            </w:hyperlink>
          </w:p>
        </w:tc>
        <w:tc>
          <w:tcPr>
            <w:tcW w:w="160" w:type="dxa"/>
            <w:vAlign w:val="bottom"/>
            <w:gridSpan w:val="4"/>
          </w:tcPr>
          <w:p>
            <w:pPr>
              <w:spacing w:after="0"/>
              <w:rPr>
                <w:sz w:val="13"/>
                <w:szCs w:val="13"/>
                <w:color w:val="auto"/>
              </w:rPr>
            </w:pPr>
          </w:p>
        </w:tc>
      </w:tr>
      <w:tr>
        <w:trPr>
          <w:trHeight w:val="155"/>
        </w:trPr>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7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r:id="rId143">
              <w:r>
                <w:rPr>
                  <w:rFonts w:ascii="Arial" w:cs="Arial" w:eastAsia="Arial" w:hAnsi="Arial"/>
                  <w:sz w:val="18"/>
                  <w:szCs w:val="18"/>
                  <w:color w:val="0000FF"/>
                  <w:w w:val="92"/>
                </w:rPr>
                <w:t>Current Report on Form 8-K filed March 26, 2012).</w:t>
              </w:r>
            </w:hyperlink>
          </w:p>
        </w:tc>
        <w:tc>
          <w:tcPr>
            <w:tcW w:w="5060" w:type="dxa"/>
            <w:vAlign w:val="bottom"/>
            <w:tcBorders>
              <w:top w:val="single" w:sz="8" w:color="0000FF"/>
            </w:tcBorders>
            <w:gridSpan w:val="5"/>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6"/>
          </w:tcPr>
          <w:p>
            <w:pPr>
              <w:spacing w:after="0"/>
              <w:rPr>
                <w:sz w:val="13"/>
                <w:szCs w:val="13"/>
                <w:color w:val="auto"/>
              </w:rPr>
            </w:pPr>
          </w:p>
        </w:tc>
      </w:tr>
      <w:tr>
        <w:trPr>
          <w:trHeight w:val="318"/>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79"/>
              </w:rPr>
              <w:t>4.6</w:t>
            </w:r>
          </w:p>
        </w:tc>
        <w:tc>
          <w:tcPr>
            <w:tcW w:w="800" w:type="dxa"/>
            <w:vAlign w:val="bottom"/>
          </w:tcPr>
          <w:p>
            <w:pPr>
              <w:ind w:left="280"/>
              <w:spacing w:after="0"/>
              <w:rPr>
                <w:sz w:val="20"/>
                <w:szCs w:val="20"/>
                <w:color w:val="auto"/>
              </w:rPr>
            </w:pPr>
            <w:r>
              <w:rPr>
                <w:rFonts w:ascii="Arial" w:cs="Arial" w:eastAsia="Arial" w:hAnsi="Arial"/>
                <w:sz w:val="18"/>
                <w:szCs w:val="18"/>
                <w:color w:val="auto"/>
              </w:rPr>
              <w:t>—</w:t>
            </w:r>
          </w:p>
        </w:tc>
        <w:tc>
          <w:tcPr>
            <w:tcW w:w="9320" w:type="dxa"/>
            <w:vAlign w:val="bottom"/>
            <w:gridSpan w:val="15"/>
          </w:tcPr>
          <w:p>
            <w:pPr>
              <w:spacing w:after="0"/>
              <w:rPr>
                <w:rFonts w:ascii="Arial" w:cs="Arial" w:eastAsia="Arial" w:hAnsi="Arial"/>
                <w:sz w:val="18"/>
                <w:szCs w:val="18"/>
                <w:color w:val="0000FF"/>
                <w:w w:val="97"/>
              </w:rPr>
            </w:pPr>
            <w:hyperlink r:id="rId144">
              <w:r>
                <w:rPr>
                  <w:rFonts w:ascii="Arial" w:cs="Arial" w:eastAsia="Arial" w:hAnsi="Arial"/>
                  <w:sz w:val="18"/>
                  <w:szCs w:val="18"/>
                  <w:color w:val="0000FF"/>
                  <w:w w:val="97"/>
                </w:rPr>
                <w:t>Twenty-First Supplemental Indenture (5.15% Senior Notes due 2042) dated March 22, 2012 among Plains All American</w:t>
              </w:r>
            </w:hyperlink>
          </w:p>
        </w:tc>
      </w:tr>
      <w:tr>
        <w:trPr>
          <w:trHeight w:val="20"/>
        </w:trPr>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4460" w:type="dxa"/>
            <w:vAlign w:val="bottom"/>
            <w:gridSpan w:val="3"/>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r>
      <w:tr>
        <w:trPr>
          <w:trHeight w:val="155"/>
        </w:trPr>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320" w:type="dxa"/>
            <w:vAlign w:val="bottom"/>
            <w:gridSpan w:val="15"/>
          </w:tcPr>
          <w:p>
            <w:pPr>
              <w:spacing w:after="0" w:line="156" w:lineRule="exact"/>
              <w:rPr>
                <w:rFonts w:ascii="Arial" w:cs="Arial" w:eastAsia="Arial" w:hAnsi="Arial"/>
                <w:sz w:val="18"/>
                <w:szCs w:val="18"/>
                <w:color w:val="0000FF"/>
                <w:w w:val="94"/>
              </w:rPr>
            </w:pPr>
            <w:hyperlink r:id="rId144">
              <w:r>
                <w:rPr>
                  <w:rFonts w:ascii="Arial" w:cs="Arial" w:eastAsia="Arial" w:hAnsi="Arial"/>
                  <w:sz w:val="18"/>
                  <w:szCs w:val="18"/>
                  <w:color w:val="0000FF"/>
                  <w:w w:val="94"/>
                </w:rPr>
                <w:t>Pipeline, L.P., PAA Finance Corp and U.S. Bank National Association, as trustee (incorporated by reference to Exhibit 4.3 to</w:t>
              </w:r>
            </w:hyperlink>
          </w:p>
        </w:tc>
      </w:tr>
      <w:tr>
        <w:trPr>
          <w:trHeight w:val="155"/>
        </w:trPr>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PAA’s Current Report on Form 8-K filed March 26, 2012).</w:t>
              </w:r>
            </w:hyperlink>
          </w:p>
        </w:tc>
        <w:tc>
          <w:tcPr>
            <w:tcW w:w="320" w:type="dxa"/>
            <w:vAlign w:val="bottom"/>
            <w:gridSpan w:val="6"/>
          </w:tcPr>
          <w:p>
            <w:pPr>
              <w:spacing w:after="0"/>
              <w:rPr>
                <w:sz w:val="13"/>
                <w:szCs w:val="13"/>
                <w:color w:val="auto"/>
              </w:rPr>
            </w:pPr>
          </w:p>
        </w:tc>
      </w:tr>
      <w:tr>
        <w:trPr>
          <w:trHeight w:val="20"/>
        </w:trPr>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r>
      <w:tr>
        <w:trPr>
          <w:trHeight w:val="318"/>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79"/>
              </w:rPr>
              <w:t>4.7</w:t>
            </w:r>
          </w:p>
        </w:tc>
        <w:tc>
          <w:tcPr>
            <w:tcW w:w="800" w:type="dxa"/>
            <w:vAlign w:val="bottom"/>
          </w:tcPr>
          <w:p>
            <w:pPr>
              <w:ind w:left="280"/>
              <w:spacing w:after="0"/>
              <w:rPr>
                <w:sz w:val="20"/>
                <w:szCs w:val="20"/>
                <w:color w:val="auto"/>
              </w:rPr>
            </w:pPr>
            <w:r>
              <w:rPr>
                <w:rFonts w:ascii="Arial" w:cs="Arial" w:eastAsia="Arial" w:hAnsi="Arial"/>
                <w:sz w:val="18"/>
                <w:szCs w:val="18"/>
                <w:color w:val="auto"/>
              </w:rPr>
              <w:t>—</w:t>
            </w:r>
          </w:p>
        </w:tc>
        <w:tc>
          <w:tcPr>
            <w:tcW w:w="9320" w:type="dxa"/>
            <w:vAlign w:val="bottom"/>
            <w:gridSpan w:val="15"/>
          </w:tcPr>
          <w:p>
            <w:pPr>
              <w:spacing w:after="0"/>
              <w:rPr>
                <w:rFonts w:ascii="Arial" w:cs="Arial" w:eastAsia="Arial" w:hAnsi="Arial"/>
                <w:sz w:val="18"/>
                <w:szCs w:val="18"/>
                <w:color w:val="0000FF"/>
                <w:w w:val="93"/>
              </w:rPr>
            </w:pPr>
            <w:hyperlink r:id="rId145">
              <w:r>
                <w:rPr>
                  <w:rFonts w:ascii="Arial" w:cs="Arial" w:eastAsia="Arial" w:hAnsi="Arial"/>
                  <w:sz w:val="18"/>
                  <w:szCs w:val="18"/>
                  <w:color w:val="0000FF"/>
                  <w:w w:val="93"/>
                </w:rPr>
                <w:t>Twenty-Second Supplemental Indenture (2.85% Senior Notes due 2023) dated December 10, 2012, by and among Plains All</w:t>
              </w:r>
            </w:hyperlink>
          </w:p>
        </w:tc>
      </w:tr>
      <w:tr>
        <w:trPr>
          <w:trHeight w:val="157"/>
        </w:trPr>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980" w:type="dxa"/>
            <w:vAlign w:val="bottom"/>
            <w:tcBorders>
              <w:top w:val="single" w:sz="8" w:color="0000FF"/>
            </w:tcBorders>
            <w:gridSpan w:val="8"/>
          </w:tcPr>
          <w:p>
            <w:pPr>
              <w:spacing w:after="0" w:line="157" w:lineRule="exact"/>
              <w:rPr>
                <w:rFonts w:ascii="Arial" w:cs="Arial" w:eastAsia="Arial" w:hAnsi="Arial"/>
                <w:sz w:val="18"/>
                <w:szCs w:val="18"/>
                <w:u w:val="single" w:color="auto"/>
                <w:color w:val="0000FF"/>
                <w:w w:val="92"/>
              </w:rPr>
            </w:pPr>
            <w:hyperlink r:id="rId145">
              <w:r>
                <w:rPr>
                  <w:rFonts w:ascii="Arial" w:cs="Arial" w:eastAsia="Arial" w:hAnsi="Arial"/>
                  <w:sz w:val="18"/>
                  <w:szCs w:val="18"/>
                  <w:u w:val="single" w:color="auto"/>
                  <w:color w:val="0000FF"/>
                  <w:w w:val="92"/>
                </w:rPr>
                <w:t>American Pipeline, L.P., PAA Finance Corp. and U.S. Bank National Association, as trustee (incorporated by reference to</w:t>
              </w:r>
            </w:hyperlink>
          </w:p>
        </w:tc>
        <w:tc>
          <w:tcPr>
            <w:tcW w:w="340" w:type="dxa"/>
            <w:vAlign w:val="bottom"/>
            <w:gridSpan w:val="7"/>
          </w:tcPr>
          <w:p>
            <w:pPr>
              <w:spacing w:after="0"/>
              <w:rPr>
                <w:sz w:val="13"/>
                <w:szCs w:val="13"/>
                <w:color w:val="auto"/>
              </w:rPr>
            </w:pPr>
          </w:p>
        </w:tc>
      </w:tr>
    </w:tbl>
    <w:p>
      <w:pPr>
        <w:ind w:left="1880"/>
        <w:spacing w:after="0"/>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Exhibit 4.1 to PAA’s Current Report on Form 8-K filed December 12, 2012).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20" w:type="dxa"/>
            <w:vAlign w:val="bottom"/>
          </w:tcPr>
          <w:p>
            <w:pPr>
              <w:jc w:val="center"/>
              <w:ind w:left="30"/>
              <w:spacing w:after="0"/>
              <w:rPr>
                <w:sz w:val="20"/>
                <w:szCs w:val="20"/>
                <w:color w:val="auto"/>
              </w:rPr>
            </w:pPr>
            <w:r>
              <w:rPr>
                <w:rFonts w:ascii="Arial" w:cs="Arial" w:eastAsia="Arial" w:hAnsi="Arial"/>
                <w:sz w:val="18"/>
                <w:szCs w:val="18"/>
                <w:color w:val="auto"/>
                <w:w w:val="87"/>
              </w:rPr>
              <w:t>4.8</w:t>
            </w:r>
          </w:p>
        </w:tc>
        <w:tc>
          <w:tcPr>
            <w:tcW w:w="680" w:type="dxa"/>
            <w:vAlign w:val="bottom"/>
          </w:tcPr>
          <w:p>
            <w:pPr>
              <w:ind w:left="140"/>
              <w:spacing w:after="0"/>
              <w:rPr>
                <w:sz w:val="20"/>
                <w:szCs w:val="20"/>
                <w:color w:val="auto"/>
              </w:rPr>
            </w:pPr>
            <w:r>
              <w:rPr>
                <w:rFonts w:ascii="Arial" w:cs="Arial" w:eastAsia="Arial" w:hAnsi="Arial"/>
                <w:sz w:val="18"/>
                <w:szCs w:val="18"/>
                <w:color w:val="auto"/>
              </w:rPr>
              <w:t>—</w:t>
            </w:r>
          </w:p>
        </w:tc>
        <w:tc>
          <w:tcPr>
            <w:tcW w:w="8840" w:type="dxa"/>
            <w:vAlign w:val="bottom"/>
            <w:tcBorders>
              <w:bottom w:val="single" w:sz="8" w:color="0000FF"/>
            </w:tcBorders>
            <w:gridSpan w:val="16"/>
          </w:tcPr>
          <w:p>
            <w:pPr>
              <w:spacing w:after="0"/>
              <w:rPr>
                <w:rFonts w:ascii="Arial" w:cs="Arial" w:eastAsia="Arial" w:hAnsi="Arial"/>
                <w:sz w:val="18"/>
                <w:szCs w:val="18"/>
                <w:color w:val="0000FF"/>
                <w:w w:val="90"/>
              </w:rPr>
            </w:pPr>
            <w:hyperlink r:id="rId147">
              <w:r>
                <w:rPr>
                  <w:rFonts w:ascii="Arial" w:cs="Arial" w:eastAsia="Arial" w:hAnsi="Arial"/>
                  <w:sz w:val="18"/>
                  <w:szCs w:val="18"/>
                  <w:color w:val="0000FF"/>
                  <w:w w:val="90"/>
                </w:rPr>
                <w:t>Twenty-Third Supplemental Indenture (4.30% Senior Notes due 2043) dated December 10, 2012, by and among Plains All</w:t>
              </w:r>
            </w:hyperlink>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40" w:type="dxa"/>
            <w:vAlign w:val="bottom"/>
            <w:gridSpan w:val="16"/>
          </w:tcPr>
          <w:p>
            <w:pPr>
              <w:spacing w:after="0" w:line="156" w:lineRule="exact"/>
              <w:rPr>
                <w:rFonts w:ascii="Arial" w:cs="Arial" w:eastAsia="Arial" w:hAnsi="Arial"/>
                <w:sz w:val="18"/>
                <w:szCs w:val="18"/>
                <w:color w:val="0000FF"/>
                <w:w w:val="91"/>
              </w:rPr>
            </w:pPr>
            <w:hyperlink r:id="rId147">
              <w:r>
                <w:rPr>
                  <w:rFonts w:ascii="Arial" w:cs="Arial" w:eastAsia="Arial" w:hAnsi="Arial"/>
                  <w:sz w:val="18"/>
                  <w:szCs w:val="18"/>
                  <w:color w:val="0000FF"/>
                  <w:w w:val="91"/>
                </w:rPr>
                <w:t>American Pipeline, L.P., PAA Finance Corp. and U.S. Bank National Association, as trustee (incorporated by reference to</w:t>
              </w:r>
            </w:hyperlink>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7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Exhibit 4.3 to PAA’s Current Report on Form 8-K filed December 12, 2012).</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jc w:val="center"/>
              <w:ind w:left="30"/>
              <w:spacing w:after="0"/>
              <w:rPr>
                <w:sz w:val="20"/>
                <w:szCs w:val="20"/>
                <w:color w:val="auto"/>
              </w:rPr>
            </w:pPr>
            <w:r>
              <w:rPr>
                <w:rFonts w:ascii="Arial" w:cs="Arial" w:eastAsia="Arial" w:hAnsi="Arial"/>
                <w:sz w:val="18"/>
                <w:szCs w:val="18"/>
                <w:color w:val="auto"/>
                <w:w w:val="87"/>
              </w:rPr>
              <w:t>4.9</w:t>
            </w:r>
          </w:p>
        </w:tc>
        <w:tc>
          <w:tcPr>
            <w:tcW w:w="68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25"/>
          </w:tcPr>
          <w:p>
            <w:pPr>
              <w:spacing w:after="0"/>
              <w:rPr>
                <w:rFonts w:ascii="Arial" w:cs="Arial" w:eastAsia="Arial" w:hAnsi="Arial"/>
                <w:sz w:val="18"/>
                <w:szCs w:val="18"/>
                <w:color w:val="0000FF"/>
                <w:w w:val="97"/>
              </w:rPr>
            </w:pPr>
            <w:hyperlink r:id="rId148">
              <w:r>
                <w:rPr>
                  <w:rFonts w:ascii="Arial" w:cs="Arial" w:eastAsia="Arial" w:hAnsi="Arial"/>
                  <w:sz w:val="18"/>
                  <w:szCs w:val="18"/>
                  <w:color w:val="0000FF"/>
                  <w:w w:val="97"/>
                </w:rPr>
                <w:t>Twenty-Fourth Supplemental Indenture (3.85% Senior Notes due 2023) dated August 15, 2013, by and among Plains All</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340" w:type="dxa"/>
            <w:vAlign w:val="bottom"/>
            <w:gridSpan w:val="25"/>
          </w:tcPr>
          <w:p>
            <w:pPr>
              <w:spacing w:after="0" w:line="156" w:lineRule="exact"/>
              <w:rPr>
                <w:rFonts w:ascii="Arial" w:cs="Arial" w:eastAsia="Arial" w:hAnsi="Arial"/>
                <w:sz w:val="18"/>
                <w:szCs w:val="18"/>
                <w:color w:val="0000FF"/>
                <w:w w:val="96"/>
              </w:rPr>
            </w:pPr>
            <w:hyperlink r:id="rId148">
              <w:r>
                <w:rPr>
                  <w:rFonts w:ascii="Arial" w:cs="Arial" w:eastAsia="Arial" w:hAnsi="Arial"/>
                  <w:sz w:val="18"/>
                  <w:szCs w:val="18"/>
                  <w:color w:val="0000FF"/>
                  <w:w w:val="96"/>
                </w:rPr>
                <w:t>American Pipeline, L.P., PAA Finance Corp. and U.S. Bank National Association, as trustee (incorporated by reference to</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7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Exhibit 4.1 to PAA’s Current Report on Form 8-K filed August 15, 2013).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jc w:val="center"/>
              <w:ind w:left="50"/>
              <w:spacing w:after="0"/>
              <w:rPr>
                <w:sz w:val="20"/>
                <w:szCs w:val="20"/>
                <w:color w:val="auto"/>
              </w:rPr>
            </w:pPr>
            <w:r>
              <w:rPr>
                <w:rFonts w:ascii="Arial" w:cs="Arial" w:eastAsia="Arial" w:hAnsi="Arial"/>
                <w:sz w:val="18"/>
                <w:szCs w:val="18"/>
                <w:color w:val="auto"/>
                <w:w w:val="91"/>
              </w:rPr>
              <w:t>4.10</w:t>
            </w:r>
          </w:p>
        </w:tc>
        <w:tc>
          <w:tcPr>
            <w:tcW w:w="680" w:type="dxa"/>
            <w:vAlign w:val="bottom"/>
          </w:tcPr>
          <w:p>
            <w:pPr>
              <w:ind w:left="140"/>
              <w:spacing w:after="0"/>
              <w:rPr>
                <w:sz w:val="20"/>
                <w:szCs w:val="20"/>
                <w:color w:val="auto"/>
              </w:rPr>
            </w:pPr>
            <w:r>
              <w:rPr>
                <w:rFonts w:ascii="Arial" w:cs="Arial" w:eastAsia="Arial" w:hAnsi="Arial"/>
                <w:sz w:val="18"/>
                <w:szCs w:val="18"/>
                <w:color w:val="auto"/>
              </w:rPr>
              <w:t>—</w:t>
            </w:r>
          </w:p>
        </w:tc>
        <w:tc>
          <w:tcPr>
            <w:tcW w:w="9180" w:type="dxa"/>
            <w:vAlign w:val="bottom"/>
            <w:tcBorders>
              <w:bottom w:val="single" w:sz="8" w:color="0000FF"/>
            </w:tcBorders>
            <w:gridSpan w:val="22"/>
          </w:tcPr>
          <w:p>
            <w:pPr>
              <w:spacing w:after="0"/>
              <w:rPr>
                <w:rFonts w:ascii="Arial" w:cs="Arial" w:eastAsia="Arial" w:hAnsi="Arial"/>
                <w:sz w:val="18"/>
                <w:szCs w:val="18"/>
                <w:color w:val="0000FF"/>
                <w:w w:val="91"/>
              </w:rPr>
            </w:pPr>
            <w:hyperlink r:id="rId149">
              <w:r>
                <w:rPr>
                  <w:rFonts w:ascii="Arial" w:cs="Arial" w:eastAsia="Arial" w:hAnsi="Arial"/>
                  <w:sz w:val="18"/>
                  <w:szCs w:val="18"/>
                  <w:color w:val="0000FF"/>
                  <w:w w:val="91"/>
                </w:rPr>
                <w:t>Twenty-Fifth Supplemental Indenture (4.70% Senior Notes due 2044) dated April 23, 2014, by and among Plains All American</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180" w:type="dxa"/>
            <w:vAlign w:val="bottom"/>
            <w:gridSpan w:val="22"/>
          </w:tcPr>
          <w:p>
            <w:pPr>
              <w:spacing w:after="0" w:line="156" w:lineRule="exact"/>
              <w:rPr>
                <w:rFonts w:ascii="Arial" w:cs="Arial" w:eastAsia="Arial" w:hAnsi="Arial"/>
                <w:sz w:val="18"/>
                <w:szCs w:val="18"/>
                <w:color w:val="0000FF"/>
                <w:w w:val="92"/>
              </w:rPr>
            </w:pPr>
            <w:hyperlink r:id="rId149">
              <w:r>
                <w:rPr>
                  <w:rFonts w:ascii="Arial" w:cs="Arial" w:eastAsia="Arial" w:hAnsi="Arial"/>
                  <w:sz w:val="18"/>
                  <w:szCs w:val="18"/>
                  <w:color w:val="0000FF"/>
                  <w:w w:val="92"/>
                </w:rPr>
                <w:t>Pipeline, L.P., PAA Finance Corp. and U.S. Bank National Association, as trustee (incorporated by reference to Exhibit 4.1 to</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our Current Report on Form 8-K filed April 29, 2014).</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jc w:val="center"/>
              <w:ind w:left="50"/>
              <w:spacing w:after="0"/>
              <w:rPr>
                <w:sz w:val="20"/>
                <w:szCs w:val="20"/>
                <w:color w:val="auto"/>
              </w:rPr>
            </w:pPr>
            <w:r>
              <w:rPr>
                <w:rFonts w:ascii="Arial" w:cs="Arial" w:eastAsia="Arial" w:hAnsi="Arial"/>
                <w:sz w:val="18"/>
                <w:szCs w:val="18"/>
                <w:color w:val="auto"/>
                <w:w w:val="91"/>
              </w:rPr>
              <w:t>4.11</w:t>
            </w:r>
          </w:p>
        </w:tc>
        <w:tc>
          <w:tcPr>
            <w:tcW w:w="68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25"/>
          </w:tcPr>
          <w:p>
            <w:pPr>
              <w:spacing w:after="0"/>
              <w:rPr>
                <w:rFonts w:ascii="Arial" w:cs="Arial" w:eastAsia="Arial" w:hAnsi="Arial"/>
                <w:sz w:val="18"/>
                <w:szCs w:val="18"/>
                <w:color w:val="0000FF"/>
                <w:w w:val="96"/>
              </w:rPr>
            </w:pPr>
            <w:hyperlink r:id="rId150">
              <w:r>
                <w:rPr>
                  <w:rFonts w:ascii="Arial" w:cs="Arial" w:eastAsia="Arial" w:hAnsi="Arial"/>
                  <w:sz w:val="18"/>
                  <w:szCs w:val="18"/>
                  <w:color w:val="0000FF"/>
                  <w:w w:val="96"/>
                </w:rPr>
                <w:t>Twenty-Sixth Supplemental Indenture (3.60% Senior Notes due 2024) dated September 9, 2014, by and among Plains All</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740" w:type="dxa"/>
            <w:vAlign w:val="bottom"/>
            <w:tcBorders>
              <w:top w:val="single" w:sz="8" w:color="0000FF"/>
            </w:tcBorders>
            <w:gridSpan w:val="12"/>
          </w:tcPr>
          <w:p>
            <w:pPr>
              <w:spacing w:after="0" w:line="156" w:lineRule="exact"/>
              <w:rPr>
                <w:rFonts w:ascii="Arial" w:cs="Arial" w:eastAsia="Arial" w:hAnsi="Arial"/>
                <w:sz w:val="18"/>
                <w:szCs w:val="18"/>
                <w:color w:val="0000FF"/>
                <w:w w:val="90"/>
              </w:rPr>
            </w:pPr>
            <w:hyperlink r:id="rId150">
              <w:r>
                <w:rPr>
                  <w:rFonts w:ascii="Arial" w:cs="Arial" w:eastAsia="Arial" w:hAnsi="Arial"/>
                  <w:sz w:val="18"/>
                  <w:szCs w:val="18"/>
                  <w:color w:val="0000FF"/>
                  <w:w w:val="90"/>
                </w:rPr>
                <w:t>American Pipeline, L.P., PAA Finance Corp. and U.S. Bank National Association, as trustee (incorporated by reference to</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7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Exhibit 4.1 to our Current Report on Form 8-K filed September 11, 2014).</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jc w:val="center"/>
              <w:ind w:left="50"/>
              <w:spacing w:after="0"/>
              <w:rPr>
                <w:sz w:val="20"/>
                <w:szCs w:val="20"/>
                <w:color w:val="auto"/>
              </w:rPr>
            </w:pPr>
            <w:r>
              <w:rPr>
                <w:rFonts w:ascii="Arial" w:cs="Arial" w:eastAsia="Arial" w:hAnsi="Arial"/>
                <w:sz w:val="18"/>
                <w:szCs w:val="18"/>
                <w:color w:val="auto"/>
                <w:w w:val="91"/>
              </w:rPr>
              <w:t>4.12</w:t>
            </w:r>
          </w:p>
        </w:tc>
        <w:tc>
          <w:tcPr>
            <w:tcW w:w="680" w:type="dxa"/>
            <w:vAlign w:val="bottom"/>
          </w:tcPr>
          <w:p>
            <w:pPr>
              <w:spacing w:after="0"/>
              <w:rPr>
                <w:sz w:val="24"/>
                <w:szCs w:val="24"/>
                <w:color w:val="auto"/>
              </w:rPr>
            </w:pPr>
          </w:p>
        </w:tc>
        <w:tc>
          <w:tcPr>
            <w:tcW w:w="9340" w:type="dxa"/>
            <w:vAlign w:val="bottom"/>
            <w:gridSpan w:val="25"/>
          </w:tcPr>
          <w:p>
            <w:pPr>
              <w:spacing w:after="0"/>
              <w:rPr>
                <w:rFonts w:ascii="Arial" w:cs="Arial" w:eastAsia="Arial" w:hAnsi="Arial"/>
                <w:sz w:val="18"/>
                <w:szCs w:val="18"/>
                <w:color w:val="0000FF"/>
                <w:w w:val="95"/>
              </w:rPr>
            </w:pPr>
            <w:hyperlink r:id="rId151">
              <w:r>
                <w:rPr>
                  <w:rFonts w:ascii="Arial" w:cs="Arial" w:eastAsia="Arial" w:hAnsi="Arial"/>
                  <w:sz w:val="18"/>
                  <w:szCs w:val="18"/>
                  <w:color w:val="0000FF"/>
                  <w:w w:val="95"/>
                </w:rPr>
                <w:t>Twenty-Eighth Supplemental Indenture (4.90% Senior Notes due 2045) dated December 9, 2014, by and among Plains All</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68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8820" w:type="dxa"/>
            <w:vAlign w:val="bottom"/>
            <w:tcBorders>
              <w:top w:val="single" w:sz="8" w:color="0000FF"/>
            </w:tcBorders>
            <w:gridSpan w:val="15"/>
          </w:tcPr>
          <w:p>
            <w:pPr>
              <w:spacing w:after="0" w:line="156" w:lineRule="exact"/>
              <w:rPr>
                <w:rFonts w:ascii="Arial" w:cs="Arial" w:eastAsia="Arial" w:hAnsi="Arial"/>
                <w:sz w:val="18"/>
                <w:szCs w:val="18"/>
                <w:color w:val="0000FF"/>
                <w:w w:val="90"/>
              </w:rPr>
            </w:pPr>
            <w:hyperlink r:id="rId151">
              <w:r>
                <w:rPr>
                  <w:rFonts w:ascii="Arial" w:cs="Arial" w:eastAsia="Arial" w:hAnsi="Arial"/>
                  <w:sz w:val="18"/>
                  <w:szCs w:val="18"/>
                  <w:color w:val="0000FF"/>
                  <w:w w:val="90"/>
                </w:rPr>
                <w:t>American Pipeline, L.P., PAA Finance Corp., and U.S. Bank National Association, as trustee (incorporated by reference to</w:t>
              </w:r>
            </w:hyperlink>
          </w:p>
        </w:tc>
        <w:tc>
          <w:tcPr>
            <w:tcW w:w="1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53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Exhibit 4.3 to our Current Report on Form 8-K filed December 11, 2014).</w:t>
              </w:r>
            </w:hyperlink>
          </w:p>
        </w:tc>
        <w:tc>
          <w:tcPr>
            <w:tcW w:w="3460" w:type="dxa"/>
            <w:vAlign w:val="bottom"/>
            <w:tcBorders>
              <w:top w:val="single" w:sz="8" w:color="0000FF"/>
            </w:tcBorders>
            <w:gridSpan w:val="6"/>
          </w:tcPr>
          <w:p>
            <w:pPr>
              <w:spacing w:after="0"/>
              <w:rPr>
                <w:sz w:val="13"/>
                <w:szCs w:val="13"/>
                <w:color w:val="auto"/>
              </w:rPr>
            </w:pPr>
          </w:p>
        </w:tc>
        <w:tc>
          <w:tcPr>
            <w:tcW w:w="20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center"/>
              <w:ind w:left="50"/>
              <w:spacing w:after="0"/>
              <w:rPr>
                <w:sz w:val="20"/>
                <w:szCs w:val="20"/>
                <w:color w:val="auto"/>
              </w:rPr>
            </w:pPr>
            <w:r>
              <w:rPr>
                <w:rFonts w:ascii="Arial" w:cs="Arial" w:eastAsia="Arial" w:hAnsi="Arial"/>
                <w:sz w:val="18"/>
                <w:szCs w:val="18"/>
                <w:color w:val="auto"/>
                <w:w w:val="91"/>
              </w:rPr>
              <w:t>4.13</w:t>
            </w:r>
          </w:p>
        </w:tc>
        <w:tc>
          <w:tcPr>
            <w:tcW w:w="680" w:type="dxa"/>
            <w:vAlign w:val="bottom"/>
          </w:tcPr>
          <w:p>
            <w:pPr>
              <w:ind w:left="140"/>
              <w:spacing w:after="0"/>
              <w:rPr>
                <w:sz w:val="20"/>
                <w:szCs w:val="20"/>
                <w:color w:val="auto"/>
              </w:rPr>
            </w:pPr>
            <w:r>
              <w:rPr>
                <w:rFonts w:ascii="Arial" w:cs="Arial" w:eastAsia="Arial" w:hAnsi="Arial"/>
                <w:sz w:val="18"/>
                <w:szCs w:val="18"/>
                <w:color w:val="auto"/>
              </w:rPr>
              <w:t>—</w:t>
            </w:r>
          </w:p>
        </w:tc>
        <w:tc>
          <w:tcPr>
            <w:tcW w:w="8680" w:type="dxa"/>
            <w:vAlign w:val="bottom"/>
            <w:tcBorders>
              <w:bottom w:val="single" w:sz="8" w:color="0000FF"/>
            </w:tcBorders>
            <w:gridSpan w:val="11"/>
          </w:tcPr>
          <w:p>
            <w:pPr>
              <w:spacing w:after="0"/>
              <w:rPr>
                <w:rFonts w:ascii="Arial" w:cs="Arial" w:eastAsia="Arial" w:hAnsi="Arial"/>
                <w:sz w:val="18"/>
                <w:szCs w:val="18"/>
                <w:color w:val="0000FF"/>
                <w:w w:val="91"/>
              </w:rPr>
            </w:pPr>
            <w:hyperlink r:id="rId152">
              <w:r>
                <w:rPr>
                  <w:rFonts w:ascii="Arial" w:cs="Arial" w:eastAsia="Arial" w:hAnsi="Arial"/>
                  <w:sz w:val="18"/>
                  <w:szCs w:val="18"/>
                  <w:color w:val="0000FF"/>
                  <w:w w:val="91"/>
                </w:rPr>
                <w:t>Twenty-Ninth Supplemental Indenture (4.65% Senior Notes due 2025) dated August 24, 2015, by and among Plains All</w:t>
              </w:r>
            </w:hyperlink>
          </w:p>
        </w:tc>
        <w:tc>
          <w:tcPr>
            <w:tcW w:w="660" w:type="dxa"/>
            <w:vAlign w:val="bottom"/>
            <w:gridSpan w:val="14"/>
            <w:vMerge w:val="restart"/>
          </w:tcPr>
          <w:p>
            <w:pPr>
              <w:spacing w:after="0"/>
              <w:rPr>
                <w:rFonts w:ascii="Arial" w:cs="Arial" w:eastAsia="Arial" w:hAnsi="Arial"/>
                <w:sz w:val="18"/>
                <w:szCs w:val="18"/>
                <w:color w:val="0000FF"/>
              </w:rPr>
            </w:pPr>
            <w:hyperlink r:id="rId152">
              <w:r>
                <w:rPr>
                  <w:rFonts w:ascii="Arial" w:cs="Arial" w:eastAsia="Arial" w:hAnsi="Arial"/>
                  <w:sz w:val="18"/>
                  <w:szCs w:val="18"/>
                  <w:color w:val="0000FF"/>
                </w:rPr>
                <w:t>to</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80" w:type="dxa"/>
            <w:vAlign w:val="bottom"/>
            <w:gridSpan w:val="11"/>
          </w:tcPr>
          <w:p>
            <w:pPr>
              <w:spacing w:after="0" w:line="156" w:lineRule="exact"/>
              <w:rPr>
                <w:rFonts w:ascii="Arial" w:cs="Arial" w:eastAsia="Arial" w:hAnsi="Arial"/>
                <w:sz w:val="18"/>
                <w:szCs w:val="18"/>
                <w:color w:val="0000FF"/>
                <w:w w:val="90"/>
              </w:rPr>
            </w:pPr>
            <w:hyperlink r:id="rId152">
              <w:r>
                <w:rPr>
                  <w:rFonts w:ascii="Arial" w:cs="Arial" w:eastAsia="Arial" w:hAnsi="Arial"/>
                  <w:sz w:val="18"/>
                  <w:szCs w:val="18"/>
                  <w:color w:val="0000FF"/>
                  <w:w w:val="90"/>
                </w:rPr>
                <w:t>American Pipeline, L.P., PAA Finance Corp., and U.S. Bank National Association, as trustee (incorporated by reference</w:t>
              </w:r>
            </w:hyperlink>
          </w:p>
        </w:tc>
        <w:tc>
          <w:tcPr>
            <w:tcW w:w="660" w:type="dxa"/>
            <w:vAlign w:val="bottom"/>
            <w:gridSpan w:val="1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7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Exhibit 4.1 to PAA’s Current Report on Form 8-K filed August 26, 2015).</w:t>
              </w:r>
            </w:hyperlink>
          </w:p>
        </w:tc>
        <w:tc>
          <w:tcPr>
            <w:tcW w:w="20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jc w:val="center"/>
              <w:ind w:left="50"/>
              <w:spacing w:after="0"/>
              <w:rPr>
                <w:sz w:val="20"/>
                <w:szCs w:val="20"/>
                <w:color w:val="auto"/>
              </w:rPr>
            </w:pPr>
            <w:r>
              <w:rPr>
                <w:rFonts w:ascii="Arial" w:cs="Arial" w:eastAsia="Arial" w:hAnsi="Arial"/>
                <w:sz w:val="18"/>
                <w:szCs w:val="18"/>
                <w:color w:val="auto"/>
                <w:w w:val="91"/>
              </w:rPr>
              <w:t>4.14</w:t>
            </w:r>
          </w:p>
        </w:tc>
        <w:tc>
          <w:tcPr>
            <w:tcW w:w="68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25"/>
          </w:tcPr>
          <w:p>
            <w:pPr>
              <w:spacing w:after="0"/>
              <w:rPr>
                <w:rFonts w:ascii="Arial" w:cs="Arial" w:eastAsia="Arial" w:hAnsi="Arial"/>
                <w:sz w:val="18"/>
                <w:szCs w:val="18"/>
                <w:color w:val="0000FF"/>
                <w:w w:val="91"/>
              </w:rPr>
            </w:pPr>
            <w:hyperlink r:id="rId153">
              <w:r>
                <w:rPr>
                  <w:rFonts w:ascii="Arial" w:cs="Arial" w:eastAsia="Arial" w:hAnsi="Arial"/>
                  <w:sz w:val="18"/>
                  <w:szCs w:val="18"/>
                  <w:color w:val="0000FF"/>
                  <w:w w:val="91"/>
                </w:rPr>
                <w:t>Thirtieth Supplemental Indenture (4.50% Senior Notes due 2026) dated November 22, 2016, by and among Plains All American</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40" w:type="dxa"/>
            <w:vAlign w:val="bottom"/>
            <w:tcBorders>
              <w:top w:val="single" w:sz="8" w:color="0000FF"/>
            </w:tcBorders>
            <w:gridSpan w:val="24"/>
          </w:tcPr>
          <w:p>
            <w:pPr>
              <w:spacing w:after="0" w:line="156" w:lineRule="exact"/>
              <w:rPr>
                <w:rFonts w:ascii="Arial" w:cs="Arial" w:eastAsia="Arial" w:hAnsi="Arial"/>
                <w:sz w:val="18"/>
                <w:szCs w:val="18"/>
                <w:color w:val="0000FF"/>
                <w:w w:val="92"/>
              </w:rPr>
            </w:pPr>
            <w:hyperlink r:id="rId153">
              <w:r>
                <w:rPr>
                  <w:rFonts w:ascii="Arial" w:cs="Arial" w:eastAsia="Arial" w:hAnsi="Arial"/>
                  <w:sz w:val="18"/>
                  <w:szCs w:val="18"/>
                  <w:color w:val="0000FF"/>
                  <w:w w:val="92"/>
                </w:rPr>
                <w:t>Pipeline, L.P., PAA Finance Corp., and U.S. Bank National Association, as trustee (incorporated by reference to Exhibit 4.1 to</w:t>
              </w:r>
            </w:hyperlink>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PAA’s Current Report on Form 8-K filed November 29, 2016).</w:t>
              </w:r>
            </w:hyperlink>
          </w:p>
        </w:tc>
        <w:tc>
          <w:tcPr>
            <w:tcW w:w="4580" w:type="dxa"/>
            <w:vAlign w:val="bottom"/>
            <w:tcBorders>
              <w:top w:val="single" w:sz="8" w:color="0000FF"/>
            </w:tcBorders>
            <w:gridSpan w:val="15"/>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center"/>
              <w:ind w:left="50"/>
              <w:spacing w:after="0"/>
              <w:rPr>
                <w:sz w:val="20"/>
                <w:szCs w:val="20"/>
                <w:color w:val="auto"/>
              </w:rPr>
            </w:pPr>
            <w:r>
              <w:rPr>
                <w:rFonts w:ascii="Arial" w:cs="Arial" w:eastAsia="Arial" w:hAnsi="Arial"/>
                <w:sz w:val="18"/>
                <w:szCs w:val="18"/>
                <w:color w:val="auto"/>
                <w:w w:val="91"/>
              </w:rPr>
              <w:t>4.15</w:t>
            </w:r>
          </w:p>
        </w:tc>
        <w:tc>
          <w:tcPr>
            <w:tcW w:w="680" w:type="dxa"/>
            <w:vAlign w:val="bottom"/>
          </w:tcPr>
          <w:p>
            <w:pPr>
              <w:ind w:left="140"/>
              <w:spacing w:after="0"/>
              <w:rPr>
                <w:sz w:val="20"/>
                <w:szCs w:val="20"/>
                <w:color w:val="auto"/>
              </w:rPr>
            </w:pPr>
            <w:r>
              <w:rPr>
                <w:rFonts w:ascii="Arial" w:cs="Arial" w:eastAsia="Arial" w:hAnsi="Arial"/>
                <w:sz w:val="18"/>
                <w:szCs w:val="18"/>
                <w:color w:val="auto"/>
              </w:rPr>
              <w:t>—</w:t>
            </w:r>
          </w:p>
        </w:tc>
        <w:tc>
          <w:tcPr>
            <w:tcW w:w="9220" w:type="dxa"/>
            <w:vAlign w:val="bottom"/>
            <w:tcBorders>
              <w:bottom w:val="single" w:sz="8" w:color="0000FF"/>
            </w:tcBorders>
            <w:gridSpan w:val="23"/>
          </w:tcPr>
          <w:p>
            <w:pPr>
              <w:spacing w:after="0"/>
              <w:rPr>
                <w:rFonts w:ascii="Arial" w:cs="Arial" w:eastAsia="Arial" w:hAnsi="Arial"/>
                <w:sz w:val="18"/>
                <w:szCs w:val="18"/>
                <w:color w:val="0000FF"/>
                <w:w w:val="90"/>
              </w:rPr>
            </w:pPr>
            <w:hyperlink r:id="rId154">
              <w:r>
                <w:rPr>
                  <w:rFonts w:ascii="Arial" w:cs="Arial" w:eastAsia="Arial" w:hAnsi="Arial"/>
                  <w:sz w:val="18"/>
                  <w:szCs w:val="18"/>
                  <w:color w:val="0000FF"/>
                  <w:w w:val="90"/>
                </w:rPr>
                <w:t>Thirty-First Supplemental Indenture (3.55% Senior Notes due 2029) dated September 16, 2019, and among Plains All American</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20" w:type="dxa"/>
            <w:vAlign w:val="bottom"/>
            <w:gridSpan w:val="23"/>
          </w:tcPr>
          <w:p>
            <w:pPr>
              <w:spacing w:after="0" w:line="156" w:lineRule="exact"/>
              <w:rPr>
                <w:rFonts w:ascii="Arial" w:cs="Arial" w:eastAsia="Arial" w:hAnsi="Arial"/>
                <w:sz w:val="18"/>
                <w:szCs w:val="18"/>
                <w:color w:val="0000FF"/>
                <w:w w:val="92"/>
              </w:rPr>
            </w:pPr>
            <w:hyperlink r:id="rId154">
              <w:r>
                <w:rPr>
                  <w:rFonts w:ascii="Arial" w:cs="Arial" w:eastAsia="Arial" w:hAnsi="Arial"/>
                  <w:sz w:val="18"/>
                  <w:szCs w:val="18"/>
                  <w:color w:val="0000FF"/>
                  <w:w w:val="92"/>
                </w:rPr>
                <w:t>Pipeline, L.P., PAA Finance Corp. and U.S. Bank National Association, as trustee (incorporated by reference to Exhibit 4.1 to</w:t>
              </w:r>
            </w:hyperlink>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 xml:space="preserve">PAA’s Current Report on Form 8-K filed </w:t>
              </w:r>
              <w:r>
                <w:rPr>
                  <w:rFonts w:ascii="Arial" w:cs="Arial" w:eastAsia="Arial" w:hAnsi="Arial"/>
                  <w:sz w:val="18"/>
                  <w:szCs w:val="18"/>
                  <w:u w:val="single" w:color="auto"/>
                  <w:color w:val="0000FF"/>
                </w:rPr>
                <w:t>June 11,</w:t>
              </w:r>
              <w:r>
                <w:rPr>
                  <w:rFonts w:ascii="Arial" w:cs="Arial" w:eastAsia="Arial" w:hAnsi="Arial"/>
                  <w:sz w:val="18"/>
                  <w:szCs w:val="18"/>
                  <w:color w:val="0000FF"/>
                </w:rPr>
                <w:t xml:space="preserve"> 2020)</w:t>
              </w:r>
              <w:r>
                <w:rPr>
                  <w:rFonts w:ascii="Arial" w:cs="Arial" w:eastAsia="Arial" w:hAnsi="Arial"/>
                  <w:sz w:val="18"/>
                  <w:szCs w:val="18"/>
                  <w:u w:val="single" w:color="auto"/>
                  <w:color w:val="0000FF"/>
                </w:rPr>
                <w:t>.</w:t>
              </w:r>
            </w:hyperlink>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jc w:val="center"/>
              <w:ind w:left="50"/>
              <w:spacing w:after="0"/>
              <w:rPr>
                <w:sz w:val="20"/>
                <w:szCs w:val="20"/>
                <w:color w:val="auto"/>
              </w:rPr>
            </w:pPr>
            <w:r>
              <w:rPr>
                <w:rFonts w:ascii="Arial" w:cs="Arial" w:eastAsia="Arial" w:hAnsi="Arial"/>
                <w:sz w:val="18"/>
                <w:szCs w:val="18"/>
                <w:color w:val="auto"/>
                <w:w w:val="91"/>
              </w:rPr>
              <w:t>4.16</w:t>
            </w:r>
          </w:p>
        </w:tc>
        <w:tc>
          <w:tcPr>
            <w:tcW w:w="68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25"/>
          </w:tcPr>
          <w:p>
            <w:pPr>
              <w:spacing w:after="0"/>
              <w:rPr>
                <w:rFonts w:ascii="Arial" w:cs="Arial" w:eastAsia="Arial" w:hAnsi="Arial"/>
                <w:sz w:val="18"/>
                <w:szCs w:val="18"/>
                <w:color w:val="0000FF"/>
                <w:w w:val="93"/>
              </w:rPr>
            </w:pPr>
            <w:hyperlink r:id="rId155">
              <w:r>
                <w:rPr>
                  <w:rFonts w:ascii="Arial" w:cs="Arial" w:eastAsia="Arial" w:hAnsi="Arial"/>
                  <w:sz w:val="18"/>
                  <w:szCs w:val="18"/>
                  <w:u w:val="single" w:color="auto"/>
                  <w:color w:val="0000FF"/>
                  <w:w w:val="93"/>
                </w:rPr>
                <w:t>Thirty-Second Supplemental Indenture (3.</w:t>
              </w:r>
              <w:r>
                <w:rPr>
                  <w:rFonts w:ascii="Arial" w:cs="Arial" w:eastAsia="Arial" w:hAnsi="Arial"/>
                  <w:sz w:val="18"/>
                  <w:szCs w:val="18"/>
                  <w:color w:val="0000FF"/>
                  <w:w w:val="93"/>
                </w:rPr>
                <w:t xml:space="preserve">80% Senior Notes due 2030) </w:t>
              </w:r>
              <w:r>
                <w:rPr>
                  <w:rFonts w:ascii="Arial" w:cs="Arial" w:eastAsia="Arial" w:hAnsi="Arial"/>
                  <w:sz w:val="18"/>
                  <w:szCs w:val="18"/>
                  <w:u w:val="single" w:color="auto"/>
                  <w:color w:val="0000FF"/>
                  <w:w w:val="93"/>
                </w:rPr>
                <w:t>dated June 11, 2020,</w:t>
              </w:r>
              <w:r>
                <w:rPr>
                  <w:rFonts w:ascii="Arial" w:cs="Arial" w:eastAsia="Arial" w:hAnsi="Arial"/>
                  <w:sz w:val="18"/>
                  <w:szCs w:val="18"/>
                  <w:color w:val="0000FF"/>
                  <w:w w:val="93"/>
                </w:rPr>
                <w:t xml:space="preserve"> and among Plains All American</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20" w:type="dxa"/>
            <w:vAlign w:val="bottom"/>
            <w:gridSpan w:val="3"/>
            <w:vMerge w:val="restart"/>
          </w:tcPr>
          <w:p>
            <w:pPr>
              <w:spacing w:after="0" w:line="176" w:lineRule="exact"/>
              <w:rPr>
                <w:rFonts w:ascii="Arial" w:cs="Arial" w:eastAsia="Arial" w:hAnsi="Arial"/>
                <w:sz w:val="18"/>
                <w:szCs w:val="18"/>
                <w:color w:val="0000FF"/>
                <w:w w:val="86"/>
              </w:rPr>
            </w:pPr>
            <w:hyperlink r:id="rId155">
              <w:r>
                <w:rPr>
                  <w:rFonts w:ascii="Arial" w:cs="Arial" w:eastAsia="Arial" w:hAnsi="Arial"/>
                  <w:sz w:val="18"/>
                  <w:szCs w:val="18"/>
                  <w:color w:val="0000FF"/>
                  <w:w w:val="86"/>
                </w:rPr>
                <w:t>Pipeline, L.P., PAA Finance Corp. and U.S.</w:t>
              </w:r>
            </w:hyperlink>
          </w:p>
        </w:tc>
        <w:tc>
          <w:tcPr>
            <w:tcW w:w="14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400" w:type="dxa"/>
            <w:vAlign w:val="bottom"/>
            <w:gridSpan w:val="7"/>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20" w:type="dxa"/>
            <w:vAlign w:val="bottom"/>
            <w:gridSpan w:val="3"/>
            <w:vMerge w:val="continue"/>
          </w:tcPr>
          <w:p>
            <w:pPr>
              <w:spacing w:after="0"/>
              <w:rPr>
                <w:sz w:val="13"/>
                <w:szCs w:val="13"/>
                <w:color w:val="auto"/>
              </w:rPr>
            </w:pPr>
          </w:p>
        </w:tc>
        <w:tc>
          <w:tcPr>
            <w:tcW w:w="2020" w:type="dxa"/>
            <w:vAlign w:val="bottom"/>
            <w:gridSpan w:val="3"/>
          </w:tcPr>
          <w:p>
            <w:pPr>
              <w:ind w:left="120"/>
              <w:spacing w:after="0" w:line="156" w:lineRule="exact"/>
              <w:rPr>
                <w:rFonts w:ascii="Arial" w:cs="Arial" w:eastAsia="Arial" w:hAnsi="Arial"/>
                <w:sz w:val="18"/>
                <w:szCs w:val="18"/>
                <w:color w:val="0000FF"/>
                <w:w w:val="87"/>
              </w:rPr>
            </w:pPr>
            <w:hyperlink r:id="rId155">
              <w:r>
                <w:rPr>
                  <w:rFonts w:ascii="Arial" w:cs="Arial" w:eastAsia="Arial" w:hAnsi="Arial"/>
                  <w:sz w:val="18"/>
                  <w:szCs w:val="18"/>
                  <w:color w:val="0000FF"/>
                  <w:w w:val="87"/>
                </w:rPr>
                <w:t>Bank National Association,</w:t>
              </w:r>
            </w:hyperlink>
          </w:p>
        </w:tc>
        <w:tc>
          <w:tcPr>
            <w:tcW w:w="4300" w:type="dxa"/>
            <w:vAlign w:val="bottom"/>
            <w:gridSpan w:val="19"/>
          </w:tcPr>
          <w:p>
            <w:pPr>
              <w:ind w:left="140"/>
              <w:spacing w:after="0" w:line="156" w:lineRule="exact"/>
              <w:rPr>
                <w:rFonts w:ascii="Arial" w:cs="Arial" w:eastAsia="Arial" w:hAnsi="Arial"/>
                <w:sz w:val="18"/>
                <w:szCs w:val="18"/>
                <w:color w:val="0000FF"/>
                <w:w w:val="97"/>
              </w:rPr>
            </w:pPr>
            <w:hyperlink r:id="rId155">
              <w:r>
                <w:rPr>
                  <w:rFonts w:ascii="Arial" w:cs="Arial" w:eastAsia="Arial" w:hAnsi="Arial"/>
                  <w:sz w:val="18"/>
                  <w:szCs w:val="18"/>
                  <w:color w:val="0000FF"/>
                  <w:w w:val="97"/>
                </w:rPr>
                <w:t>as trustee (incorporated by reference to Exhibit 4.1 to</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PAA’s Current Report on Form 8-K filed September 17, 2019).</w:t>
              </w:r>
            </w:hyperlink>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4560" w:type="dxa"/>
            <w:vAlign w:val="bottom"/>
            <w:gridSpan w:val="1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jc w:val="center"/>
              <w:ind w:left="50"/>
              <w:spacing w:after="0"/>
              <w:rPr>
                <w:sz w:val="20"/>
                <w:szCs w:val="20"/>
                <w:color w:val="auto"/>
              </w:rPr>
            </w:pPr>
            <w:r>
              <w:rPr>
                <w:rFonts w:ascii="Arial" w:cs="Arial" w:eastAsia="Arial" w:hAnsi="Arial"/>
                <w:sz w:val="18"/>
                <w:szCs w:val="18"/>
                <w:color w:val="auto"/>
                <w:w w:val="91"/>
              </w:rPr>
              <w:t>4.17</w:t>
            </w:r>
          </w:p>
        </w:tc>
        <w:tc>
          <w:tcPr>
            <w:tcW w:w="68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25"/>
          </w:tcPr>
          <w:p>
            <w:pPr>
              <w:spacing w:after="0"/>
              <w:rPr>
                <w:rFonts w:ascii="Arial" w:cs="Arial" w:eastAsia="Arial" w:hAnsi="Arial"/>
                <w:sz w:val="18"/>
                <w:szCs w:val="18"/>
                <w:color w:val="0000FF"/>
                <w:w w:val="92"/>
              </w:rPr>
            </w:pPr>
            <w:hyperlink r:id="rId156">
              <w:r>
                <w:rPr>
                  <w:rFonts w:ascii="Arial" w:cs="Arial" w:eastAsia="Arial" w:hAnsi="Arial"/>
                  <w:sz w:val="18"/>
                  <w:szCs w:val="18"/>
                  <w:color w:val="0000FF"/>
                  <w:w w:val="92"/>
                </w:rPr>
                <w:t>Shareholder and Registration Rights Agreement dated October 21, 2013 by and among Plains GP Holdings, L.P. and the other</w:t>
              </w:r>
            </w:hyperlink>
          </w:p>
        </w:tc>
        <w:tc>
          <w:tcPr>
            <w:tcW w:w="0" w:type="dxa"/>
            <w:vAlign w:val="bottom"/>
          </w:tcPr>
          <w:p>
            <w:pPr>
              <w:spacing w:after="0"/>
              <w:rPr>
                <w:sz w:val="1"/>
                <w:szCs w:val="1"/>
                <w:color w:val="auto"/>
              </w:rPr>
            </w:pPr>
          </w:p>
        </w:tc>
      </w:tr>
      <w:tr>
        <w:trPr>
          <w:trHeight w:val="224"/>
        </w:trPr>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60" w:type="dxa"/>
            <w:vAlign w:val="bottom"/>
            <w:tcBorders>
              <w:top w:val="single" w:sz="8" w:color="0000FF"/>
            </w:tcBorders>
            <w:gridSpan w:val="19"/>
          </w:tcPr>
          <w:p>
            <w:pPr>
              <w:spacing w:after="0"/>
              <w:rPr>
                <w:rFonts w:ascii="Arial" w:cs="Arial" w:eastAsia="Arial" w:hAnsi="Arial"/>
                <w:sz w:val="18"/>
                <w:szCs w:val="18"/>
                <w:u w:val="single" w:color="auto"/>
                <w:color w:val="0000FF"/>
                <w:w w:val="91"/>
              </w:rPr>
            </w:pPr>
            <w:hyperlink r:id="rId156">
              <w:r>
                <w:rPr>
                  <w:rFonts w:ascii="Arial" w:cs="Arial" w:eastAsia="Arial" w:hAnsi="Arial"/>
                  <w:sz w:val="18"/>
                  <w:szCs w:val="18"/>
                  <w:u w:val="single" w:color="auto"/>
                  <w:color w:val="0000FF"/>
                  <w:w w:val="91"/>
                </w:rPr>
                <w:t>parties signatory thereto (incorporated by reference to Exhibit 4.1 to our Current Report on Form 8-K filed October 25, 2013).</w:t>
              </w:r>
            </w:hyperlink>
          </w:p>
        </w:tc>
        <w:tc>
          <w:tcPr>
            <w:tcW w:w="100" w:type="dxa"/>
            <w:vAlign w:val="bottom"/>
            <w:gridSpan w:val="2"/>
          </w:tcPr>
          <w:p>
            <w:pPr>
              <w:spacing w:after="0"/>
              <w:rPr>
                <w:sz w:val="19"/>
                <w:szCs w:val="19"/>
                <w:color w:val="auto"/>
              </w:rPr>
            </w:pPr>
          </w:p>
        </w:tc>
        <w:tc>
          <w:tcPr>
            <w:tcW w:w="1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220" w:type="dxa"/>
            <w:vAlign w:val="bottom"/>
          </w:tcPr>
          <w:p>
            <w:pPr>
              <w:jc w:val="center"/>
              <w:ind w:left="50"/>
              <w:spacing w:after="0"/>
              <w:rPr>
                <w:sz w:val="20"/>
                <w:szCs w:val="20"/>
                <w:color w:val="auto"/>
              </w:rPr>
            </w:pPr>
            <w:r>
              <w:rPr>
                <w:rFonts w:ascii="Arial" w:cs="Arial" w:eastAsia="Arial" w:hAnsi="Arial"/>
                <w:sz w:val="18"/>
                <w:szCs w:val="18"/>
                <w:color w:val="auto"/>
                <w:w w:val="91"/>
              </w:rPr>
              <w:t>4.18</w:t>
            </w:r>
          </w:p>
        </w:tc>
        <w:tc>
          <w:tcPr>
            <w:tcW w:w="680" w:type="dxa"/>
            <w:vAlign w:val="bottom"/>
          </w:tcPr>
          <w:p>
            <w:pPr>
              <w:ind w:left="140"/>
              <w:spacing w:after="0"/>
              <w:rPr>
                <w:sz w:val="20"/>
                <w:szCs w:val="20"/>
                <w:color w:val="auto"/>
              </w:rPr>
            </w:pPr>
            <w:r>
              <w:rPr>
                <w:rFonts w:ascii="Arial" w:cs="Arial" w:eastAsia="Arial" w:hAnsi="Arial"/>
                <w:sz w:val="18"/>
                <w:szCs w:val="18"/>
                <w:color w:val="auto"/>
              </w:rPr>
              <w:t>—</w:t>
            </w:r>
          </w:p>
        </w:tc>
        <w:tc>
          <w:tcPr>
            <w:tcW w:w="9160" w:type="dxa"/>
            <w:vAlign w:val="bottom"/>
            <w:tcBorders>
              <w:bottom w:val="single" w:sz="8" w:color="0000FF"/>
            </w:tcBorders>
            <w:gridSpan w:val="21"/>
          </w:tcPr>
          <w:p>
            <w:pPr>
              <w:spacing w:after="0"/>
              <w:rPr>
                <w:rFonts w:ascii="Arial" w:cs="Arial" w:eastAsia="Arial" w:hAnsi="Arial"/>
                <w:sz w:val="18"/>
                <w:szCs w:val="18"/>
                <w:color w:val="0000FF"/>
                <w:w w:val="91"/>
              </w:rPr>
            </w:pPr>
            <w:hyperlink r:id="rId157">
              <w:r>
                <w:rPr>
                  <w:rFonts w:ascii="Arial" w:cs="Arial" w:eastAsia="Arial" w:hAnsi="Arial"/>
                  <w:sz w:val="18"/>
                  <w:szCs w:val="18"/>
                  <w:color w:val="0000FF"/>
                  <w:w w:val="91"/>
                </w:rPr>
                <w:t>Description of Our Securities (incorporated by reference to Exhibit 4.17 to our Annual Report on Form 10-K for the year ended</w:t>
              </w:r>
            </w:hyperlink>
          </w:p>
        </w:tc>
        <w:tc>
          <w:tcPr>
            <w:tcW w:w="18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00" w:type="dxa"/>
            <w:vAlign w:val="bottom"/>
            <w:tcBorders>
              <w:bottom w:val="single" w:sz="8" w:color="0000FF"/>
            </w:tcBorders>
          </w:tcPr>
          <w:p>
            <w:pPr>
              <w:spacing w:after="0" w:line="156" w:lineRule="exact"/>
              <w:rPr>
                <w:rFonts w:ascii="Arial" w:cs="Arial" w:eastAsia="Arial" w:hAnsi="Arial"/>
                <w:sz w:val="18"/>
                <w:szCs w:val="18"/>
                <w:color w:val="0000FF"/>
                <w:w w:val="87"/>
              </w:rPr>
            </w:pPr>
            <w:hyperlink r:id="rId157">
              <w:r>
                <w:rPr>
                  <w:rFonts w:ascii="Arial" w:cs="Arial" w:eastAsia="Arial" w:hAnsi="Arial"/>
                  <w:sz w:val="18"/>
                  <w:szCs w:val="18"/>
                  <w:color w:val="0000FF"/>
                  <w:w w:val="87"/>
                </w:rPr>
                <w:t>December 31, 2019).</w:t>
              </w:r>
            </w:hyperlink>
          </w:p>
        </w:tc>
        <w:tc>
          <w:tcPr>
            <w:tcW w:w="7660" w:type="dxa"/>
            <w:vAlign w:val="bottom"/>
            <w:gridSpan w:val="20"/>
          </w:tcPr>
          <w:p>
            <w:pPr>
              <w:spacing w:after="0"/>
              <w:rPr>
                <w:sz w:val="13"/>
                <w:szCs w:val="13"/>
                <w:color w:val="auto"/>
              </w:rPr>
            </w:pPr>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220" w:type="dxa"/>
            <w:vAlign w:val="bottom"/>
          </w:tcPr>
          <w:p>
            <w:pPr>
              <w:jc w:val="center"/>
              <w:ind w:left="50"/>
              <w:spacing w:after="0"/>
              <w:rPr>
                <w:sz w:val="20"/>
                <w:szCs w:val="20"/>
                <w:color w:val="auto"/>
              </w:rPr>
            </w:pPr>
            <w:r>
              <w:rPr>
                <w:rFonts w:ascii="Arial" w:cs="Arial" w:eastAsia="Arial" w:hAnsi="Arial"/>
                <w:sz w:val="18"/>
                <w:szCs w:val="18"/>
                <w:color w:val="auto"/>
                <w:w w:val="87"/>
              </w:rPr>
              <w:t>31.1 †</w:t>
            </w:r>
          </w:p>
        </w:tc>
        <w:tc>
          <w:tcPr>
            <w:tcW w:w="68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25"/>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Certification of Principal Executive Officer pursuant to Exchange Act Rules 13a-14(a) and 15d-14(a).</w:t>
              </w:r>
            </w:hyperlink>
          </w:p>
        </w:tc>
        <w:tc>
          <w:tcPr>
            <w:tcW w:w="0" w:type="dxa"/>
            <w:vAlign w:val="bottom"/>
          </w:tcPr>
          <w:p>
            <w:pPr>
              <w:spacing w:after="0"/>
              <w:rPr>
                <w:sz w:val="1"/>
                <w:szCs w:val="1"/>
                <w:color w:val="auto"/>
              </w:rPr>
            </w:pPr>
          </w:p>
        </w:tc>
      </w:tr>
      <w:tr>
        <w:trPr>
          <w:trHeight w:val="378"/>
        </w:trPr>
        <w:tc>
          <w:tcPr>
            <w:tcW w:w="1220" w:type="dxa"/>
            <w:vAlign w:val="bottom"/>
          </w:tcPr>
          <w:p>
            <w:pPr>
              <w:jc w:val="center"/>
              <w:ind w:left="50"/>
              <w:spacing w:after="0"/>
              <w:rPr>
                <w:sz w:val="20"/>
                <w:szCs w:val="20"/>
                <w:color w:val="auto"/>
              </w:rPr>
            </w:pPr>
            <w:r>
              <w:rPr>
                <w:rFonts w:ascii="Arial" w:cs="Arial" w:eastAsia="Arial" w:hAnsi="Arial"/>
                <w:sz w:val="18"/>
                <w:szCs w:val="18"/>
                <w:color w:val="auto"/>
                <w:w w:val="87"/>
              </w:rPr>
              <w:t>31.2 †</w:t>
            </w:r>
          </w:p>
        </w:tc>
        <w:tc>
          <w:tcPr>
            <w:tcW w:w="68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25"/>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Certification of Principal Financial Officer pursuant to Exchange Act Rules 13a-14(a) and 15d-14(a).</w:t>
              </w:r>
            </w:hyperlink>
          </w:p>
        </w:tc>
        <w:tc>
          <w:tcPr>
            <w:tcW w:w="0" w:type="dxa"/>
            <w:vAlign w:val="bottom"/>
          </w:tcPr>
          <w:p>
            <w:pPr>
              <w:spacing w:after="0"/>
              <w:rPr>
                <w:sz w:val="1"/>
                <w:szCs w:val="1"/>
                <w:color w:val="auto"/>
              </w:rPr>
            </w:pPr>
          </w:p>
        </w:tc>
      </w:tr>
      <w:tr>
        <w:trPr>
          <w:trHeight w:val="378"/>
        </w:trPr>
        <w:tc>
          <w:tcPr>
            <w:tcW w:w="1220" w:type="dxa"/>
            <w:vAlign w:val="bottom"/>
          </w:tcPr>
          <w:p>
            <w:pPr>
              <w:jc w:val="center"/>
              <w:ind w:left="30"/>
              <w:spacing w:after="0"/>
              <w:rPr>
                <w:sz w:val="20"/>
                <w:szCs w:val="20"/>
                <w:color w:val="auto"/>
              </w:rPr>
            </w:pPr>
            <w:r>
              <w:rPr>
                <w:rFonts w:ascii="Arial" w:cs="Arial" w:eastAsia="Arial" w:hAnsi="Arial"/>
                <w:sz w:val="18"/>
                <w:szCs w:val="18"/>
                <w:color w:val="auto"/>
                <w:w w:val="89"/>
              </w:rPr>
              <w:t>32.1 ††</w:t>
            </w:r>
          </w:p>
        </w:tc>
        <w:tc>
          <w:tcPr>
            <w:tcW w:w="68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25"/>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Certification of Principal Executive Officer pursuant to 18 U.S.C. 1350.</w:t>
              </w:r>
            </w:hyperlink>
          </w:p>
        </w:tc>
        <w:tc>
          <w:tcPr>
            <w:tcW w:w="0" w:type="dxa"/>
            <w:vAlign w:val="bottom"/>
          </w:tcPr>
          <w:p>
            <w:pPr>
              <w:spacing w:after="0"/>
              <w:rPr>
                <w:sz w:val="1"/>
                <w:szCs w:val="1"/>
                <w:color w:val="auto"/>
              </w:rPr>
            </w:pPr>
          </w:p>
        </w:tc>
      </w:tr>
      <w:tr>
        <w:trPr>
          <w:trHeight w:val="378"/>
        </w:trPr>
        <w:tc>
          <w:tcPr>
            <w:tcW w:w="1220" w:type="dxa"/>
            <w:vAlign w:val="bottom"/>
          </w:tcPr>
          <w:p>
            <w:pPr>
              <w:jc w:val="center"/>
              <w:ind w:left="30"/>
              <w:spacing w:after="0"/>
              <w:rPr>
                <w:sz w:val="20"/>
                <w:szCs w:val="20"/>
                <w:color w:val="auto"/>
              </w:rPr>
            </w:pPr>
            <w:r>
              <w:rPr>
                <w:rFonts w:ascii="Arial" w:cs="Arial" w:eastAsia="Arial" w:hAnsi="Arial"/>
                <w:sz w:val="18"/>
                <w:szCs w:val="18"/>
                <w:color w:val="auto"/>
                <w:w w:val="89"/>
              </w:rPr>
              <w:t>32.2 ††</w:t>
            </w:r>
          </w:p>
        </w:tc>
        <w:tc>
          <w:tcPr>
            <w:tcW w:w="68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25"/>
          </w:tcPr>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Certification of Principal Financial Officer pursuant to 18 U.S.C. 1350.</w:t>
              </w:r>
            </w:hyperlink>
          </w:p>
        </w:tc>
        <w:tc>
          <w:tcPr>
            <w:tcW w:w="0" w:type="dxa"/>
            <w:vAlign w:val="bottom"/>
          </w:tcPr>
          <w:p>
            <w:pPr>
              <w:spacing w:after="0"/>
              <w:rPr>
                <w:sz w:val="1"/>
                <w:szCs w:val="1"/>
                <w:color w:val="auto"/>
              </w:rPr>
            </w:pPr>
          </w:p>
        </w:tc>
      </w:tr>
      <w:tr>
        <w:trPr>
          <w:trHeight w:val="364"/>
        </w:trPr>
        <w:tc>
          <w:tcPr>
            <w:tcW w:w="1220" w:type="dxa"/>
            <w:vAlign w:val="bottom"/>
          </w:tcPr>
          <w:p>
            <w:pPr>
              <w:jc w:val="center"/>
              <w:ind w:left="30"/>
              <w:spacing w:after="0"/>
              <w:rPr>
                <w:sz w:val="20"/>
                <w:szCs w:val="20"/>
                <w:color w:val="auto"/>
              </w:rPr>
            </w:pPr>
            <w:r>
              <w:rPr>
                <w:rFonts w:ascii="Arial" w:cs="Arial" w:eastAsia="Arial" w:hAnsi="Arial"/>
                <w:sz w:val="18"/>
                <w:szCs w:val="18"/>
                <w:color w:val="auto"/>
                <w:w w:val="93"/>
              </w:rPr>
              <w:t>101.INS†</w:t>
            </w:r>
          </w:p>
        </w:tc>
        <w:tc>
          <w:tcPr>
            <w:tcW w:w="68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25"/>
          </w:tcPr>
          <w:p>
            <w:pPr>
              <w:spacing w:after="0"/>
              <w:rPr>
                <w:sz w:val="20"/>
                <w:szCs w:val="20"/>
                <w:color w:val="auto"/>
              </w:rPr>
            </w:pPr>
            <w:r>
              <w:rPr>
                <w:rFonts w:ascii="Arial" w:cs="Arial" w:eastAsia="Arial" w:hAnsi="Arial"/>
                <w:sz w:val="18"/>
                <w:szCs w:val="18"/>
                <w:color w:val="auto"/>
                <w:w w:val="95"/>
              </w:rPr>
              <w:t>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340" w:type="dxa"/>
            <w:vAlign w:val="bottom"/>
            <w:gridSpan w:val="25"/>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378"/>
        </w:trPr>
        <w:tc>
          <w:tcPr>
            <w:tcW w:w="1220" w:type="dxa"/>
            <w:vAlign w:val="bottom"/>
          </w:tcPr>
          <w:p>
            <w:pPr>
              <w:jc w:val="center"/>
              <w:ind w:left="50"/>
              <w:spacing w:after="0"/>
              <w:rPr>
                <w:sz w:val="20"/>
                <w:szCs w:val="20"/>
                <w:color w:val="auto"/>
              </w:rPr>
            </w:pPr>
            <w:r>
              <w:rPr>
                <w:rFonts w:ascii="Arial" w:cs="Arial" w:eastAsia="Arial" w:hAnsi="Arial"/>
                <w:sz w:val="18"/>
                <w:szCs w:val="18"/>
                <w:color w:val="auto"/>
                <w:w w:val="91"/>
              </w:rPr>
              <w:t>101.SCH†</w:t>
            </w:r>
          </w:p>
        </w:tc>
        <w:tc>
          <w:tcPr>
            <w:tcW w:w="68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2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78"/>
        </w:trPr>
        <w:tc>
          <w:tcPr>
            <w:tcW w:w="1220" w:type="dxa"/>
            <w:vAlign w:val="bottom"/>
          </w:tcPr>
          <w:p>
            <w:pPr>
              <w:jc w:val="center"/>
              <w:ind w:left="50"/>
              <w:spacing w:after="0"/>
              <w:rPr>
                <w:sz w:val="20"/>
                <w:szCs w:val="20"/>
                <w:color w:val="auto"/>
              </w:rPr>
            </w:pPr>
            <w:r>
              <w:rPr>
                <w:rFonts w:ascii="Arial" w:cs="Arial" w:eastAsia="Arial" w:hAnsi="Arial"/>
                <w:sz w:val="18"/>
                <w:szCs w:val="18"/>
                <w:color w:val="auto"/>
                <w:w w:val="94"/>
              </w:rPr>
              <w:t>101.CAL†</w:t>
            </w:r>
          </w:p>
        </w:tc>
        <w:tc>
          <w:tcPr>
            <w:tcW w:w="68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2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945"/>
        </w:trPr>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00" w:type="dxa"/>
            <w:vAlign w:val="bottom"/>
            <w:gridSpan w:val="4"/>
          </w:tcPr>
          <w:p>
            <w:pPr>
              <w:jc w:val="right"/>
              <w:spacing w:after="0"/>
              <w:rPr>
                <w:sz w:val="20"/>
                <w:szCs w:val="20"/>
                <w:color w:val="auto"/>
              </w:rPr>
            </w:pPr>
            <w:r>
              <w:rPr>
                <w:rFonts w:ascii="Arial" w:cs="Arial" w:eastAsia="Arial" w:hAnsi="Arial"/>
                <w:sz w:val="18"/>
                <w:szCs w:val="18"/>
                <w:color w:val="auto"/>
              </w:rPr>
              <w:t>70</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1"/>
              </w:rPr>
              <w:t>101.DEF†</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6700" w:type="dxa"/>
            <w:vAlign w:val="bottom"/>
            <w:gridSpan w:val="2"/>
          </w:tcPr>
          <w:p>
            <w:pPr>
              <w:ind w:left="18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78"/>
        </w:trPr>
        <w:tc>
          <w:tcPr>
            <w:tcW w:w="1300" w:type="dxa"/>
            <w:vAlign w:val="bottom"/>
          </w:tcPr>
          <w:p>
            <w:pPr>
              <w:jc w:val="center"/>
              <w:spacing w:after="0"/>
              <w:rPr>
                <w:sz w:val="20"/>
                <w:szCs w:val="20"/>
                <w:color w:val="auto"/>
              </w:rPr>
            </w:pPr>
            <w:r>
              <w:rPr>
                <w:rFonts w:ascii="Arial" w:cs="Arial" w:eastAsia="Arial" w:hAnsi="Arial"/>
                <w:sz w:val="18"/>
                <w:szCs w:val="18"/>
                <w:color w:val="auto"/>
                <w:w w:val="96"/>
              </w:rPr>
              <w:t>101.LAB†</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6700" w:type="dxa"/>
            <w:vAlign w:val="bottom"/>
            <w:gridSpan w:val="2"/>
          </w:tcPr>
          <w:p>
            <w:pPr>
              <w:ind w:left="18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78"/>
        </w:trPr>
        <w:tc>
          <w:tcPr>
            <w:tcW w:w="1300" w:type="dxa"/>
            <w:vAlign w:val="bottom"/>
          </w:tcPr>
          <w:p>
            <w:pPr>
              <w:jc w:val="center"/>
              <w:spacing w:after="0"/>
              <w:rPr>
                <w:sz w:val="20"/>
                <w:szCs w:val="20"/>
                <w:color w:val="auto"/>
              </w:rPr>
            </w:pPr>
            <w:r>
              <w:rPr>
                <w:rFonts w:ascii="Arial" w:cs="Arial" w:eastAsia="Arial" w:hAnsi="Arial"/>
                <w:sz w:val="18"/>
                <w:szCs w:val="18"/>
                <w:color w:val="auto"/>
                <w:w w:val="90"/>
              </w:rPr>
              <w:t>101.PRE†</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6700" w:type="dxa"/>
            <w:vAlign w:val="bottom"/>
            <w:gridSpan w:val="2"/>
          </w:tcPr>
          <w:p>
            <w:pPr>
              <w:ind w:left="18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78"/>
        </w:trPr>
        <w:tc>
          <w:tcPr>
            <w:tcW w:w="1300" w:type="dxa"/>
            <w:vAlign w:val="bottom"/>
          </w:tcPr>
          <w:p>
            <w:pPr>
              <w:jc w:val="center"/>
              <w:spacing w:after="0"/>
              <w:rPr>
                <w:sz w:val="20"/>
                <w:szCs w:val="20"/>
                <w:color w:val="auto"/>
              </w:rPr>
            </w:pPr>
            <w:r>
              <w:rPr>
                <w:rFonts w:ascii="Arial" w:cs="Arial" w:eastAsia="Arial" w:hAnsi="Arial"/>
                <w:sz w:val="18"/>
                <w:szCs w:val="18"/>
                <w:color w:val="auto"/>
                <w:w w:val="88"/>
              </w:rPr>
              <w:t>104 †</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6700" w:type="dxa"/>
            <w:vAlign w:val="bottom"/>
            <w:gridSpan w:val="2"/>
          </w:tcPr>
          <w:p>
            <w:pPr>
              <w:ind w:left="180"/>
              <w:spacing w:after="0"/>
              <w:rPr>
                <w:sz w:val="20"/>
                <w:szCs w:val="20"/>
                <w:color w:val="auto"/>
              </w:rPr>
            </w:pPr>
            <w:r>
              <w:rPr>
                <w:rFonts w:ascii="Arial" w:cs="Arial" w:eastAsia="Arial" w:hAnsi="Arial"/>
                <w:sz w:val="18"/>
                <w:szCs w:val="18"/>
                <w:color w:val="auto"/>
                <w:w w:val="91"/>
              </w:rPr>
              <w:t>Cover Page Interactive Data File (formatted as Inline XBRL and contained in Exhibit 101)</w:t>
            </w:r>
          </w:p>
        </w:tc>
      </w:tr>
      <w:tr>
        <w:trPr>
          <w:trHeight w:val="459"/>
        </w:trPr>
        <w:tc>
          <w:tcPr>
            <w:tcW w:w="1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318"/>
        </w:trPr>
        <w:tc>
          <w:tcPr>
            <w:tcW w:w="1300" w:type="dxa"/>
            <w:vAlign w:val="bottom"/>
          </w:tcPr>
          <w:p>
            <w:pPr>
              <w:spacing w:after="0"/>
              <w:rPr>
                <w:sz w:val="20"/>
                <w:szCs w:val="20"/>
                <w:color w:val="auto"/>
              </w:rPr>
            </w:pPr>
            <w:r>
              <w:rPr>
                <w:rFonts w:ascii="Arial" w:cs="Arial" w:eastAsia="Arial" w:hAnsi="Arial"/>
                <w:sz w:val="18"/>
                <w:szCs w:val="18"/>
                <w:color w:val="auto"/>
                <w:w w:val="96"/>
              </w:rPr>
              <w:t>† Filed herewith.</w:t>
            </w:r>
          </w:p>
        </w:tc>
        <w:tc>
          <w:tcPr>
            <w:tcW w:w="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PLAINS GP HOLDINGS, L.P.</w:t>
      </w:r>
    </w:p>
    <w:p>
      <w:pPr>
        <w:spacing w:after="0" w:line="216" w:lineRule="exact"/>
        <w:rPr>
          <w:sz w:val="20"/>
          <w:szCs w:val="20"/>
          <w:color w:val="auto"/>
        </w:rPr>
      </w:pPr>
    </w:p>
    <w:tbl>
      <w:tblPr>
        <w:tblLayout w:type="fixed"/>
        <w:tblInd w:w="55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PAA GP HOLDINGS LLC,</w:t>
            </w:r>
          </w:p>
        </w:tc>
      </w:tr>
      <w:tr>
        <w:trPr>
          <w:trHeight w:val="270"/>
        </w:trPr>
        <w:tc>
          <w:tcPr>
            <w:tcW w:w="660" w:type="dxa"/>
            <w:vAlign w:val="bottom"/>
          </w:tcPr>
          <w:p>
            <w:pPr>
              <w:spacing w:after="0"/>
              <w:rPr>
                <w:sz w:val="23"/>
                <w:szCs w:val="23"/>
                <w:color w:val="auto"/>
              </w:rPr>
            </w:pPr>
          </w:p>
        </w:tc>
        <w:tc>
          <w:tcPr>
            <w:tcW w:w="5020" w:type="dxa"/>
            <w:vAlign w:val="bottom"/>
          </w:tcPr>
          <w:p>
            <w:pPr>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/s/ Willie Chiang</w:t>
            </w:r>
          </w:p>
        </w:tc>
      </w:tr>
      <w:tr>
        <w:trPr>
          <w:trHeight w:val="27"/>
        </w:trPr>
        <w:tc>
          <w:tcPr>
            <w:tcW w:w="6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Willie Chiang,</w:t>
            </w:r>
          </w:p>
        </w:tc>
      </w:tr>
      <w:tr>
        <w:trPr>
          <w:trHeight w:val="256"/>
        </w:trPr>
        <w:tc>
          <w:tcPr>
            <w:tcW w:w="660" w:type="dxa"/>
            <w:vAlign w:val="bottom"/>
          </w:tcPr>
          <w:p>
            <w:pPr>
              <w:spacing w:after="0"/>
              <w:rPr>
                <w:sz w:val="22"/>
                <w:szCs w:val="22"/>
                <w:color w:val="auto"/>
              </w:rPr>
            </w:pPr>
          </w:p>
        </w:tc>
        <w:tc>
          <w:tcPr>
            <w:tcW w:w="5020" w:type="dxa"/>
            <w:vAlign w:val="bottom"/>
          </w:tcPr>
          <w:p>
            <w:pPr>
              <w:spacing w:after="0"/>
              <w:rPr>
                <w:sz w:val="20"/>
                <w:szCs w:val="20"/>
                <w:color w:val="auto"/>
              </w:rPr>
            </w:pPr>
            <w:r>
              <w:rPr>
                <w:rFonts w:ascii="Arial" w:cs="Arial" w:eastAsia="Arial" w:hAnsi="Arial"/>
                <w:sz w:val="18"/>
                <w:szCs w:val="18"/>
                <w:b w:val="1"/>
                <w:bCs w:val="1"/>
                <w:i w:val="1"/>
                <w:iCs w:val="1"/>
                <w:color w:val="auto"/>
                <w:w w:val="95"/>
              </w:rPr>
              <w:t>Chief Executive Officer and Director of PAA GP Holdings LLC</w:t>
            </w:r>
          </w:p>
        </w:tc>
      </w:tr>
      <w:tr>
        <w:trPr>
          <w:trHeight w:val="230"/>
        </w:trPr>
        <w:tc>
          <w:tcPr>
            <w:tcW w:w="6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b w:val="1"/>
                <w:bCs w:val="1"/>
                <w:i w:val="1"/>
                <w:iCs w:val="1"/>
                <w:color w:val="auto"/>
              </w:rPr>
              <w:t>(Principal Executive Officer)</w:t>
            </w:r>
          </w:p>
        </w:tc>
      </w:tr>
    </w:tbl>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7, 2020</w:t>
      </w:r>
    </w:p>
    <w:p>
      <w:pPr>
        <w:spacing w:after="0" w:line="33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1889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jc w:val="right"/>
        <w:ind w:right="180"/>
        <w:spacing w:after="0"/>
        <w:rPr>
          <w:sz w:val="20"/>
          <w:szCs w:val="20"/>
          <w:color w:val="auto"/>
        </w:rPr>
      </w:pPr>
      <w:r>
        <w:rPr>
          <w:rFonts w:ascii="Arial" w:cs="Arial" w:eastAsia="Arial" w:hAnsi="Arial"/>
          <w:sz w:val="18"/>
          <w:szCs w:val="18"/>
          <w:b w:val="1"/>
          <w:bCs w:val="1"/>
          <w:i w:val="1"/>
          <w:iCs w:val="1"/>
          <w:color w:val="auto"/>
        </w:rPr>
        <w:t>Executive Vice President and Chief Financial Officer of PAA GP</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Holdings LLC (Principal Financial Officer)</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7, 2020</w:t>
      </w:r>
    </w:p>
    <w:p>
      <w:pPr>
        <w:spacing w:after="0" w:line="333" w:lineRule="exact"/>
        <w:rPr>
          <w:sz w:val="20"/>
          <w:szCs w:val="20"/>
          <w:color w:val="auto"/>
        </w:rPr>
      </w:pPr>
    </w:p>
    <w:p>
      <w:pPr>
        <w:ind w:left="55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1889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Chris Herbold,</w:t>
      </w:r>
    </w:p>
    <w:p>
      <w:pPr>
        <w:spacing w:after="0" w:line="54" w:lineRule="exact"/>
        <w:rPr>
          <w:sz w:val="20"/>
          <w:szCs w:val="20"/>
          <w:color w:val="auto"/>
        </w:rPr>
      </w:pPr>
    </w:p>
    <w:p>
      <w:pPr>
        <w:ind w:left="6200"/>
        <w:spacing w:after="0"/>
        <w:rPr>
          <w:sz w:val="20"/>
          <w:szCs w:val="20"/>
          <w:color w:val="auto"/>
        </w:rPr>
      </w:pPr>
      <w:r>
        <w:rPr>
          <w:rFonts w:ascii="Arial" w:cs="Arial" w:eastAsia="Arial" w:hAnsi="Arial"/>
          <w:sz w:val="16"/>
          <w:szCs w:val="16"/>
          <w:b w:val="1"/>
          <w:bCs w:val="1"/>
          <w:i w:val="1"/>
          <w:iCs w:val="1"/>
          <w:color w:val="auto"/>
        </w:rPr>
        <w:t>Senior Vice President and Chief Accounting Officer of PAA GP</w:t>
      </w:r>
    </w:p>
    <w:p>
      <w:pPr>
        <w:spacing w:after="0" w:line="8" w:lineRule="exact"/>
        <w:rPr>
          <w:sz w:val="20"/>
          <w:szCs w:val="20"/>
          <w:color w:val="auto"/>
        </w:rPr>
      </w:pPr>
    </w:p>
    <w:p>
      <w:pPr>
        <w:ind w:left="6200"/>
        <w:spacing w:after="0"/>
        <w:rPr>
          <w:sz w:val="20"/>
          <w:szCs w:val="20"/>
          <w:color w:val="auto"/>
        </w:rPr>
      </w:pPr>
      <w:r>
        <w:rPr>
          <w:rFonts w:ascii="Arial" w:cs="Arial" w:eastAsia="Arial" w:hAnsi="Arial"/>
          <w:sz w:val="18"/>
          <w:szCs w:val="18"/>
          <w:b w:val="1"/>
          <w:bCs w:val="1"/>
          <w:i w:val="1"/>
          <w:iCs w:val="1"/>
          <w:color w:val="auto"/>
        </w:rPr>
        <w:t>Holdings LLC (Principal Accounting Officer)</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125" w:right="35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6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490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Willie Chiang</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6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490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GP Holdings, L.P. (the “Company”), hereby certify that:</w:t>
      </w:r>
    </w:p>
    <w:p>
      <w:pPr>
        <w:spacing w:after="0" w:line="225" w:lineRule="exact"/>
        <w:rPr>
          <w:sz w:val="20"/>
          <w:szCs w:val="20"/>
          <w:color w:val="auto"/>
        </w:rPr>
      </w:pPr>
    </w:p>
    <w:p>
      <w:pPr>
        <w:jc w:val="both"/>
        <w:ind w:right="160" w:firstLine="656"/>
        <w:spacing w:after="0" w:line="263" w:lineRule="auto"/>
        <w:tabs>
          <w:tab w:leader="none" w:pos="135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2020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6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35490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Willie Chiang</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 August 7, 2020</w:t>
      </w:r>
    </w:p>
    <w:p>
      <w:pPr>
        <w:sectPr>
          <w:pgSz w:w="11900" w:h="16838" w:orient="portrait"/>
          <w:cols w:equalWidth="0" w:num="1">
            <w:col w:w="11240"/>
          </w:cols>
          <w:pgMar w:left="320" w:top="89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jc w:val="both"/>
        <w:ind w:right="160" w:firstLine="656"/>
        <w:spacing w:after="0" w:line="263" w:lineRule="auto"/>
        <w:tabs>
          <w:tab w:leader="none" w:pos="135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2020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6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35490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 August 7, 2020</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decimal"/>
      <w:start w:val="1"/>
    </w:lvl>
  </w:abstractNum>
  <w:abstractNum w:abstractNumId="5">
    <w:nsid w:val="5E884ADC"/>
    <w:multiLevelType w:val="hybridMultilevel"/>
    <w:lvl w:ilvl="0">
      <w:lvlJc w:val="left"/>
      <w:lvlText w:val="(%1)"/>
      <w:numFmt w:val="decimal"/>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1)"/>
      <w:numFmt w:val="decimal"/>
      <w:start w:val="1"/>
    </w:lvl>
  </w:abstractNum>
  <w:abstractNum w:abstractNumId="8">
    <w:nsid w:val="580BD78F"/>
    <w:multiLevelType w:val="hybridMultilevel"/>
    <w:lvl w:ilvl="0">
      <w:lvlJc w:val="left"/>
      <w:lvlText w:val="(%1)"/>
      <w:numFmt w:val="decimal"/>
      <w:start w:val="1"/>
    </w:lvl>
  </w:abstractNum>
  <w:abstractNum w:abstractNumId="9">
    <w:nsid w:val="153EA438"/>
    <w:multiLevelType w:val="hybridMultilevel"/>
    <w:lvl w:ilvl="0">
      <w:lvlJc w:val="left"/>
      <w:lvlText w:val="(%1)"/>
      <w:numFmt w:val="decimal"/>
      <w:start w:val="1"/>
    </w:lvl>
  </w:abstractNum>
  <w:abstractNum w:abstractNumId="10">
    <w:nsid w:val="3855585C"/>
    <w:multiLevelType w:val="hybridMultilevel"/>
    <w:lvl w:ilvl="0">
      <w:lvlJc w:val="left"/>
      <w:lvlText w:val="(%1)"/>
      <w:numFmt w:val="decimal"/>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1)"/>
      <w:numFmt w:val="decimal"/>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1)"/>
      <w:numFmt w:val="decimal"/>
      <w:start w:val="1"/>
    </w:lvl>
  </w:abstractNum>
  <w:abstractNum w:abstractNumId="18">
    <w:nsid w:val="7A6D8D3C"/>
    <w:multiLevelType w:val="hybridMultilevel"/>
    <w:lvl w:ilvl="0">
      <w:lvlJc w:val="left"/>
      <w:lvlText w:val="(%1)"/>
      <w:numFmt w:val="decimal"/>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1)"/>
      <w:numFmt w:val="decimal"/>
      <w:start w:val="1"/>
    </w:lvl>
  </w:abstractNum>
  <w:abstractNum w:abstractNumId="21">
    <w:nsid w:val="6DE91B18"/>
    <w:multiLevelType w:val="hybridMultilevel"/>
    <w:lvl w:ilvl="0">
      <w:lvlJc w:val="left"/>
      <w:lvlText w:val="(%1)"/>
      <w:numFmt w:val="decimal"/>
      <w:start w:val="1"/>
    </w:lvl>
  </w:abstractNum>
  <w:abstractNum w:abstractNumId="22">
    <w:nsid w:val="38437FDB"/>
    <w:multiLevelType w:val="hybridMultilevel"/>
    <w:lvl w:ilvl="0">
      <w:lvlJc w:val="left"/>
      <w:lvlText w:val="(%1)"/>
      <w:numFmt w:val="decimal"/>
      <w:start w:val="3"/>
    </w:lvl>
  </w:abstractNum>
  <w:abstractNum w:abstractNumId="23">
    <w:nsid w:val="7644A45C"/>
    <w:multiLevelType w:val="hybridMultilevel"/>
    <w:lvl w:ilvl="0">
      <w:lvlJc w:val="left"/>
      <w:lvlText w:val="(%1)"/>
      <w:numFmt w:val="decimal"/>
      <w:start w:val="1"/>
    </w:lvl>
  </w:abstractNum>
  <w:abstractNum w:abstractNumId="24">
    <w:nsid w:val="32FFF902"/>
    <w:multiLevelType w:val="hybridMultilevel"/>
    <w:lvl w:ilvl="0">
      <w:lvlJc w:val="left"/>
      <w:lvlText w:val="%1."/>
      <w:numFmt w:val="decimal"/>
      <w:start w:val="903"/>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1)"/>
      <w:numFmt w:val="decimal"/>
      <w:start w:val="16"/>
    </w:lvl>
  </w:abstractNum>
  <w:abstractNum w:abstractNumId="29">
    <w:nsid w:val="1BA026FA"/>
    <w:multiLevelType w:val="hybridMultilevel"/>
    <w:lvl w:ilvl="0">
      <w:lvlJc w:val="left"/>
      <w:lvlText w:val="(%1)"/>
      <w:numFmt w:val="decimal"/>
      <w:start w:val="100"/>
    </w:lvl>
  </w:abstractNum>
  <w:abstractNum w:abstractNumId="30">
    <w:nsid w:val="79A1DEAA"/>
    <w:multiLevelType w:val="hybridMultilevel"/>
    <w:lvl w:ilvl="0">
      <w:lvlJc w:val="left"/>
      <w:lvlText w:val="(%1)"/>
      <w:numFmt w:val="decimal"/>
      <w:start w:val="12"/>
    </w:lvl>
  </w:abstractNum>
  <w:abstractNum w:abstractNumId="31">
    <w:nsid w:val="75C6C33A"/>
    <w:multiLevelType w:val="hybridMultilevel"/>
    <w:lvl w:ilvl="0">
      <w:lvlJc w:val="left"/>
      <w:lvlText w:val="(%1)"/>
      <w:numFmt w:val="decimal"/>
      <w:start w:val="75"/>
    </w:lvl>
  </w:abstractNum>
  <w:abstractNum w:abstractNumId="32">
    <w:nsid w:val="12E685FB"/>
    <w:multiLevelType w:val="hybridMultilevel"/>
    <w:lvl w:ilvl="0">
      <w:lvlJc w:val="left"/>
      <w:lvlText w:val="%1"/>
      <w:numFmt w:val="decimal"/>
      <w:start w:val="400"/>
    </w:lvl>
    <w:lvl w:ilvl="1">
      <w:lvlJc w:val="left"/>
      <w:lvlText w:val="%2"/>
      <w:numFmt w:val="decimal"/>
      <w:start w:val="1"/>
    </w:lvl>
  </w:abstractNum>
  <w:abstractNum w:abstractNumId="33">
    <w:nsid w:val="70C6A529"/>
    <w:multiLevelType w:val="hybridMultilevel"/>
    <w:lvl w:ilvl="0">
      <w:lvlJc w:val="left"/>
      <w:lvlText w:val="%1"/>
      <w:numFmt w:val="decimal"/>
      <w:start w:val="133"/>
    </w:lvl>
    <w:lvl w:ilvl="1">
      <w:lvlJc w:val="left"/>
      <w:lvlText w:val="(%2)"/>
      <w:numFmt w:val="decimal"/>
      <w:start w:val="68"/>
    </w:lvl>
  </w:abstractNum>
  <w:abstractNum w:abstractNumId="34">
    <w:nsid w:val="520EEDD1"/>
    <w:multiLevelType w:val="hybridMultilevel"/>
    <w:lvl w:ilvl="0">
      <w:lvlJc w:val="left"/>
      <w:lvlText w:val="%1"/>
      <w:numFmt w:val="decimal"/>
      <w:start w:val="66"/>
    </w:lvl>
  </w:abstractNum>
  <w:abstractNum w:abstractNumId="35">
    <w:nsid w:val="374A3FE6"/>
    <w:multiLevelType w:val="hybridMultilevel"/>
    <w:lvl w:ilvl="0">
      <w:lvlJc w:val="left"/>
      <w:lvlText w:val="(%1)"/>
      <w:numFmt w:val="decimal"/>
      <w:start w:val="78"/>
    </w:lvl>
  </w:abstractNum>
  <w:abstractNum w:abstractNumId="36">
    <w:nsid w:val="4F4EF005"/>
    <w:multiLevelType w:val="hybridMultilevel"/>
    <w:lvl w:ilvl="0">
      <w:lvlJc w:val="left"/>
      <w:lvlText w:val="(%1)"/>
      <w:numFmt w:val="decimal"/>
      <w:start w:val="78"/>
    </w:lvl>
  </w:abstractNum>
  <w:abstractNum w:abstractNumId="37">
    <w:nsid w:val="23F9C13C"/>
    <w:multiLevelType w:val="hybridMultilevel"/>
    <w:lvl w:ilvl="0">
      <w:lvlJc w:val="left"/>
      <w:lvlText w:val="%1"/>
      <w:numFmt w:val="decimal"/>
      <w:start w:val="14"/>
    </w:lvl>
  </w:abstractNum>
  <w:abstractNum w:abstractNumId="38">
    <w:nsid w:val="649BB77C"/>
    <w:multiLevelType w:val="hybridMultilevel"/>
    <w:lvl w:ilvl="0">
      <w:lvlJc w:val="left"/>
      <w:lvlText w:val="%1"/>
      <w:numFmt w:val="decimal"/>
      <w:start w:val="12"/>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1)"/>
      <w:numFmt w:val="decimal"/>
      <w:start w:val="10"/>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1)"/>
      <w:numFmt w:val="decimal"/>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1)"/>
      <w:numFmt w:val="decimal"/>
      <w:start w:val="3"/>
    </w:lvl>
  </w:abstractNum>
  <w:abstractNum w:abstractNumId="50">
    <w:nsid w:val="3F6AB60F"/>
    <w:multiLevelType w:val="hybridMultilevel"/>
    <w:lvl w:ilvl="0">
      <w:lvlJc w:val="left"/>
      <w:lvlText w:val="(%1)"/>
      <w:numFmt w:val="decimal"/>
      <w:start w:val="6"/>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1)"/>
      <w:numFmt w:val="lowerRoman"/>
      <w:start w:val="2"/>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1)"/>
      <w:numFmt w:val="lowerRoman"/>
      <w:start w:val="4"/>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1."/>
      <w:numFmt w:val="decimal"/>
      <w:start w:val="1"/>
    </w:lvl>
  </w:abstractNum>
  <w:abstractNum w:abstractNumId="63">
    <w:nsid w:val="5DB70AE5"/>
    <w:multiLevelType w:val="hybridMultilevel"/>
    <w:lvl w:ilvl="0">
      <w:lvlJc w:val="left"/>
      <w:lvlText w:val="(%1)"/>
      <w:numFmt w:val="lowerLetter"/>
      <w:start w:val="1"/>
    </w:lvl>
  </w:abstractNum>
  <w:abstractNum w:abstractNumId="64">
    <w:nsid w:val="100F8FCA"/>
    <w:multiLevelType w:val="hybridMultilevel"/>
    <w:lvl w:ilvl="0">
      <w:lvlJc w:val="left"/>
      <w:lvlText w:val="%1."/>
      <w:numFmt w:val="decimal"/>
      <w:start w:val="5"/>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1."/>
      <w:numFmt w:val="decimal"/>
      <w:start w:val="5"/>
    </w:lvl>
  </w:abstractNum>
  <w:abstractNum w:abstractNumId="69">
    <w:nsid w:val="799D0247"/>
    <w:multiLevelType w:val="hybridMultilevel"/>
    <w:lvl w:ilvl="0">
      <w:lvlJc w:val="left"/>
      <w:lvlText w:val="(%1)"/>
      <w:numFmt w:val="lowerLetter"/>
      <w:start w:val="1"/>
    </w:lvl>
  </w:abstractNum>
  <w:abstractNum w:abstractNumId="70">
    <w:nsid w:val="6B94764"/>
    <w:multiLevelType w:val="hybridMultilevel"/>
    <w:lvl w:ilvl="0">
      <w:lvlJc w:val="left"/>
      <w:lvlText w:val="(%1)"/>
      <w:numFmt w:val="lowerRoman"/>
      <w:start w:val="1"/>
    </w:lvl>
  </w:abstractNum>
  <w:abstractNum w:abstractNumId="71">
    <w:nsid w:val="42C296B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30" Type="http://schemas.openxmlformats.org/officeDocument/2006/relationships/image" Target="media/image118.png"/><Relationship Id="rId146"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25" Type="http://schemas.openxmlformats.org/officeDocument/2006/relationships/hyperlink" Target="http://www.sec.gov/Archives/edgar/data/1581990/000104746913007875/a2216069zex-3_1.htm" TargetMode="External"/><Relationship Id="rId126" Type="http://schemas.openxmlformats.org/officeDocument/2006/relationships/hyperlink" Target="http://www.sec.gov/Archives/edgar/data/1581990/000110465916158356/a16-21845_1ex3d2.htm" TargetMode="External"/><Relationship Id="rId127" Type="http://schemas.openxmlformats.org/officeDocument/2006/relationships/hyperlink" Target="http://www.sec.gov/Archives/edgar/data/1581990/000104746913007875/a2216069zex-3_3.htm" TargetMode="External"/><Relationship Id="rId128" Type="http://schemas.openxmlformats.org/officeDocument/2006/relationships/hyperlink" Target="http://www.sec.gov/Archives/edgar/data/1581990/000110465917010602/a17-6893_1ex3d1.htm" TargetMode="External"/><Relationship Id="rId129" Type="http://schemas.openxmlformats.org/officeDocument/2006/relationships/hyperlink" Target="http://www.sec.gov/Archives/edgar/data/1581990/000110465918052852/a18-18386_2ex3d1.htm" TargetMode="External"/><Relationship Id="rId131" Type="http://schemas.openxmlformats.org/officeDocument/2006/relationships/hyperlink" Target="http://www.sec.gov/Archives/edgar/data/1581990/000110465918072385/a18-41342_1ex3d1.htm" TargetMode="External"/><Relationship Id="rId132" Type="http://schemas.openxmlformats.org/officeDocument/2006/relationships/hyperlink" Target="http://www.sec.gov/Archives/edgar/data/1581990/000110465919067784/tm1923980d1_ex3-1.htm" TargetMode="External"/><Relationship Id="rId133" Type="http://schemas.openxmlformats.org/officeDocument/2006/relationships/hyperlink" Target="http://www.sec.gov/Archives/edgar/data/1070423/000110465917061889/a17-22685_5ex3d1.htm" TargetMode="External"/><Relationship Id="rId134" Type="http://schemas.openxmlformats.org/officeDocument/2006/relationships/hyperlink" Target="http://www.sec.gov/Archives/edgar/data/1581990/000110465916158356/a16-21845_1ex3d3.htm" TargetMode="External"/><Relationship Id="rId135" Type="http://schemas.openxmlformats.org/officeDocument/2006/relationships/hyperlink" Target="http://www.sec.gov/Archives/edgar/data/1581990/000110465916158356/a16-21845_1ex3d4.htm" TargetMode="External"/><Relationship Id="rId136" Type="http://schemas.openxmlformats.org/officeDocument/2006/relationships/hyperlink" Target="http://www.sec.gov/Archives/edgar/data/1581990/000110465918060012/a18-36197_1ex3d1.htm" TargetMode="External"/><Relationship Id="rId137" Type="http://schemas.openxmlformats.org/officeDocument/2006/relationships/hyperlink" Target="http://www.sec.gov/Archives/edgar/data/1581990/000110465919032813/a19-10857_1ex3d1.htm" TargetMode="External"/><Relationship Id="rId138" Type="http://schemas.openxmlformats.org/officeDocument/2006/relationships/hyperlink" Target="http://www.sec.gov/Archives/edgar/data/1070423/000095012908000071/h52770exv3w3.htm" TargetMode="External"/><Relationship Id="rId139" Type="http://schemas.openxmlformats.org/officeDocument/2006/relationships/hyperlink" Target="http://www.sec.gov/Archives/edgar/data/1070423/000089924302002834/dex41.txt" TargetMode="External"/><Relationship Id="rId140" Type="http://schemas.openxmlformats.org/officeDocument/2006/relationships/hyperlink" Target="http://www.sec.gov/Archives/edgar/data/1070423/000110465906034368/a06-11663_1ex4d1.htm" TargetMode="External"/><Relationship Id="rId141" Type="http://schemas.openxmlformats.org/officeDocument/2006/relationships/hyperlink" Target="http://www.sec.gov/Archives/edgar/data/1070423/000095012906009235/h40667exv4w2.htm" TargetMode="External"/><Relationship Id="rId142" Type="http://schemas.openxmlformats.org/officeDocument/2006/relationships/hyperlink" Target="http://www.sec.gov/Archives/edgar/data/1070423/000095012311002051/h78739exv4w1.htm" TargetMode="External"/><Relationship Id="rId143" Type="http://schemas.openxmlformats.org/officeDocument/2006/relationships/hyperlink" Target="http://www.sec.gov/Archives/edgar/data/1070423/000119312512132295/d321017dex41.htm" TargetMode="External"/><Relationship Id="rId144" Type="http://schemas.openxmlformats.org/officeDocument/2006/relationships/hyperlink" Target="http://www.sec.gov/Archives/edgar/data/1070423/000119312512132295/d321017dex43.htm" TargetMode="External"/><Relationship Id="rId145" Type="http://schemas.openxmlformats.org/officeDocument/2006/relationships/hyperlink" Target="http://www.sec.gov/Archives/edgar/data/1070423/000119312512499932/d453762dex41.htm" TargetMode="External"/><Relationship Id="rId147" Type="http://schemas.openxmlformats.org/officeDocument/2006/relationships/hyperlink" Target="http://www.sec.gov/Archives/edgar/data/1070423/000119312512499932/d453762dex43.htm" TargetMode="External"/><Relationship Id="rId148" Type="http://schemas.openxmlformats.org/officeDocument/2006/relationships/hyperlink" Target="http://www.sec.gov/Archives/edgar/data/1070423/000119312513336066/d581734dex41.htm" TargetMode="External"/><Relationship Id="rId149" Type="http://schemas.openxmlformats.org/officeDocument/2006/relationships/hyperlink" Target="http://www.sec.gov/Archives/edgar/data/1581990/000119312514164185/d717953dex41.htm" TargetMode="External"/><Relationship Id="rId150" Type="http://schemas.openxmlformats.org/officeDocument/2006/relationships/hyperlink" Target="http://www.sec.gov/Archives/edgar/data/1581990/000119312514338295/d787197dex41.htm" TargetMode="External"/><Relationship Id="rId151" Type="http://schemas.openxmlformats.org/officeDocument/2006/relationships/hyperlink" Target="http://www.sec.gov/Archives/edgar/data/1581990/000119312514440012/d835488dex43.htm" TargetMode="External"/><Relationship Id="rId152" Type="http://schemas.openxmlformats.org/officeDocument/2006/relationships/hyperlink" Target="http://www.sec.gov/Archives/edgar/data/1070423/000119312515302829/d45393dex41.htm" TargetMode="External"/><Relationship Id="rId153" Type="http://schemas.openxmlformats.org/officeDocument/2006/relationships/hyperlink" Target="http://www.sec.gov/Archives/edgar/data/1070423/000110465916159593/a16-22232_1ex4d1.htm" TargetMode="External"/><Relationship Id="rId154" Type="http://schemas.openxmlformats.org/officeDocument/2006/relationships/hyperlink" Target="http://www.sec.gov/Archives/edgar/data/1070423/000110465920072270/tm2022235d1_ex4-1.htm" TargetMode="External"/><Relationship Id="rId155" Type="http://schemas.openxmlformats.org/officeDocument/2006/relationships/hyperlink" Target="http://www.sec.gov/Archives/edgar/data/1070423/000141057819001281/0001410578-19-001281-index.htm" TargetMode="External"/><Relationship Id="rId156" Type="http://schemas.openxmlformats.org/officeDocument/2006/relationships/hyperlink" Target="http://www.sec.gov/Archives/edgar/data/1581990/000110465913078057/a13-22338_2ex4d1.htm" TargetMode="External"/><Relationship Id="rId157" Type="http://schemas.openxmlformats.org/officeDocument/2006/relationships/hyperlink" Target="http://www.sec.gov/Archives/edgar/data/1581990/000158199020000005/pagp201910-kexhibit4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2020-08-10T06:06:36Z</dcterms:created>
  <dcterms:modified xsi:type="dcterms:W3CDTF">2020-08-10T06:06:36Z</dcterms:modified>
</cp:coreProperties>
</file>