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660" w:right="1560" w:hanging="3652"/>
        <w:spacing w:after="0" w:line="409" w:lineRule="auto"/>
        <w:tabs>
          <w:tab w:leader="none" w:pos="4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sectPr>
          <w:pgSz w:w="11900" w:h="16838" w:orient="portrait"/>
          <w:cols w:equalWidth="0" w:num="2">
            <w:col w:w="7220" w:space="720"/>
            <w:col w:w="324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8" w:lineRule="exact"/>
        <w:rPr>
          <w:sz w:val="24"/>
          <w:szCs w:val="24"/>
          <w:color w:val="auto"/>
        </w:rPr>
      </w:pPr>
    </w:p>
    <w:p>
      <w:pPr>
        <w:ind w:firstLine="324"/>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70" w:lineRule="exact"/>
        <w:rPr>
          <w:sz w:val="24"/>
          <w:szCs w:val="24"/>
          <w:color w:val="auto"/>
        </w:rPr>
      </w:pPr>
    </w:p>
    <w:p>
      <w:pPr>
        <w:ind w:right="120" w:firstLine="369"/>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57"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8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88" w:lineRule="exact"/>
        <w:rPr>
          <w:sz w:val="24"/>
          <w:szCs w:val="24"/>
          <w:color w:val="auto"/>
        </w:rPr>
      </w:pPr>
    </w:p>
    <w:p>
      <w:pPr>
        <w:ind w:left="19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8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36" w:lineRule="exact"/>
        <w:rPr>
          <w:sz w:val="24"/>
          <w:szCs w:val="24"/>
          <w:color w:val="auto"/>
        </w:rPr>
      </w:pPr>
    </w:p>
    <w:p>
      <w:pPr>
        <w:sectPr>
          <w:pgSz w:w="11900" w:h="16838" w:orient="portrait"/>
          <w:cols w:equalWidth="0" w:num="2">
            <w:col w:w="6800" w:space="720"/>
            <w:col w:w="3660"/>
          </w:cols>
          <w:pgMar w:left="320" w:top="229" w:right="399" w:bottom="1440" w:gutter="0" w:footer="0" w:header="0"/>
          <w:type w:val="continuous"/>
        </w:sectPr>
      </w:pPr>
    </w:p>
    <w:p>
      <w:pPr>
        <w:ind w:right="100" w:firstLine="351"/>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left="340" w:right="15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October 31, 2022, there were 698,332,685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1"/>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2022 and 2021</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Income/(Loss): For the three and nine months ended September 30, 2022 and 2021</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three and nine months</w:t>
            </w:r>
          </w:p>
        </w:tc>
        <w:tc>
          <w:tcPr>
            <w:tcW w:w="60" w:type="dxa"/>
            <w:vAlign w:val="bottom"/>
          </w:tcPr>
          <w:p>
            <w:pPr>
              <w:spacing w:after="0"/>
              <w:rPr>
                <w:sz w:val="18"/>
                <w:szCs w:val="18"/>
                <w:color w:val="auto"/>
              </w:rPr>
            </w:pP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500" w:type="dxa"/>
            <w:vAlign w:val="bottom"/>
            <w:tcBorders>
              <w:top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6"/>
                <w:szCs w:val="16"/>
                <w:color w:val="0000FF"/>
              </w:rPr>
              <w:t>ended September 30, 2022 and 2021</w:t>
            </w:r>
          </w:p>
        </w:tc>
        <w:tc>
          <w:tcPr>
            <w:tcW w:w="2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2022 and 2021</w:t>
            </w:r>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and nine months ended September 30, 2022 and 2021</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8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326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940" w:type="dxa"/>
            <w:vAlign w:val="bottom"/>
            <w:gridSpan w:val="3"/>
          </w:tcPr>
          <w:p>
            <w:pPr>
              <w:spacing w:after="0"/>
              <w:rPr>
                <w:sz w:val="18"/>
                <w:szCs w:val="18"/>
                <w:color w:val="auto"/>
              </w:rPr>
            </w:pPr>
          </w:p>
        </w:tc>
        <w:tc>
          <w:tcPr>
            <w:tcW w:w="552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3260" w:type="dxa"/>
            <w:vAlign w:val="bottom"/>
            <w:tcBorders>
              <w:top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972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Net Income/(Loss) Per Common Unit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22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258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328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10. Commitments and Contingencies</w:t>
            </w:r>
          </w:p>
        </w:tc>
        <w:tc>
          <w:tcPr>
            <w:tcW w:w="720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11. Segment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698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4"/>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8"/>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6,137</w:t>
            </w:r>
          </w:p>
        </w:tc>
      </w:tr>
      <w:tr>
        <w:trPr>
          <w:trHeight w:val="132"/>
        </w:trPr>
        <w:tc>
          <w:tcPr>
            <w:tcW w:w="8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19,257</w:t>
            </w: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14,903</w:t>
            </w:r>
          </w:p>
        </w:tc>
      </w:tr>
      <w:tr>
        <w:trPr>
          <w:trHeight w:val="132"/>
        </w:trPr>
        <w:tc>
          <w:tcPr>
            <w:tcW w:w="8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3,805</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9"/>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6,232</w:t>
            </w:r>
          </w:p>
        </w:tc>
      </w:tr>
      <w:tr>
        <w:trPr>
          <w:trHeight w:val="132"/>
        </w:trPr>
        <w:tc>
          <w:tcPr>
            <w:tcW w:w="8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8,329</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9,567</w:t>
            </w:r>
          </w:p>
        </w:tc>
      </w:tr>
      <w:tr>
        <w:trPr>
          <w:trHeight w:val="92"/>
        </w:trPr>
        <w:tc>
          <w:tcPr>
            <w:tcW w:w="8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0"/>
        </w:trPr>
        <w:tc>
          <w:tcPr>
            <w:tcW w:w="8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unitholders (71,090,468 and 71,090,468 units outstanding, respectively)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 unitholders (800,000 and 800,000 units outstanding,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unitholders (698,332,685 and 704,991,540 units outstanding, respectively)</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7,680</w:t>
            </w:r>
          </w:p>
        </w:tc>
      </w:tr>
      <w:tr>
        <w:trPr>
          <w:trHeight w:val="219"/>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partners’ capital excluding noncontrolling interests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2,838</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12,810</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28,221</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29,089</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28,837</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$1, $4, $3 and $14,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ATTRIBUTABLE TO PAA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PER COMMON UNIT (NOTE 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income/(loss) allocated to common unitholders — Basic and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54"/>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180" w:type="dxa"/>
            <w:vAlign w:val="bottom"/>
            <w:gridSpan w:val="4"/>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income/(loss) attributable to PAA</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78"/>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period activity</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2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 on sales of linefill</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foreign currency revaluation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Settlement of terminated interest rate hedging instruments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Preferred Distribution Rate Reset Option (Note 8)</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r>
      <w:tr>
        <w:trPr>
          <w:trHeight w:val="78"/>
        </w:trPr>
        <w:tc>
          <w:tcPr>
            <w:tcW w:w="8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in connection with acquisitions, net of cash acquired</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property, equipment and other</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purchases of linefill</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sales of assets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received from sales of linefill</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in)/provided by investing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78"/>
        </w:trPr>
        <w:tc>
          <w:tcPr>
            <w:tcW w:w="8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repayments under commercial paper program (Note 6)</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repayments under senior secured hedged inventory facility (Note 6)</w:t>
            </w:r>
          </w:p>
        </w:tc>
        <w:tc>
          <w:tcPr>
            <w:tcW w:w="8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GO Zone term loans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of senior notes (Note 6)</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common units (Note 7)</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A preferred unitholders (Note 7)</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B preferred unitholders (Note 7)</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common unitholders (Note 7)</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noncontrolling interests (Note 7)</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from noncontrolling interests (Note 7)</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r>
      <w:tr>
        <w:trPr>
          <w:trHeight w:val="92"/>
        </w:trPr>
        <w:tc>
          <w:tcPr>
            <w:tcW w:w="8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08"/>
        </w:trPr>
        <w:tc>
          <w:tcPr>
            <w:tcW w:w="8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5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8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net of amounts refunded</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common units (Note 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5"/>
        </w:trPr>
        <w:tc>
          <w:tcPr>
            <w:tcW w:w="31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(Note 7)</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 (Note 7)</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common units (Note 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75"/>
        </w:trPr>
        <w:tc>
          <w:tcPr>
            <w:tcW w:w="31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common units (Note 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11 for further discussion of our operating segments.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September 30, 2022, AAP also owned a limited partner interest in us through its ownership of approximately 241.5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September 30, 2022, owned an approximate 81% limited partner interest in AAP. PAA GP Holdings LLC (“PAGP GP”) is the general partner of PAGP.</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2021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2021 was derived from audited financial statements, but does not include all disclosures required by GAAP. The results of operations for the three and nine months ended September 30, 2022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including the reclassifications discussed below.</w:t>
      </w:r>
    </w:p>
    <w:p>
      <w:pPr>
        <w:spacing w:after="0" w:line="2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 of Prior Period Information</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11 for further discussion of our operating segments. In connection with this change, we changed the presentation of Revenues on our Condensed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below and in our 2021 Annual Report on Form 10-K, there have been no new accounting pronouncements that have become effective or have been issued during the nine months ended September 30, 2022 that are of significance or potential significance to us.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2021 Annual Report on Form 10-K for additional information regarding our types of revenues and policies for revenue recognition.</w:t>
      </w:r>
    </w:p>
    <w:p>
      <w:pPr>
        <w:spacing w:after="0" w:line="201"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1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1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7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30,041</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29,367</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3800" w:type="dxa"/>
            <w:vAlign w:val="bottom"/>
            <w:gridSpan w:val="3"/>
            <w:vMerge w:val="continue"/>
          </w:tcPr>
          <w:p>
            <w:pPr>
              <w:spacing w:after="0"/>
              <w:rPr>
                <w:sz w:val="17"/>
                <w:szCs w:val="17"/>
                <w:color w:val="auto"/>
              </w:rPr>
            </w:pP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Unbilled </w:t>
            </w:r>
            <w:r>
              <w:rPr>
                <w:rFonts w:ascii="Times New Roman" w:cs="Times New Roman" w:eastAsia="Times New Roman" w:hAnsi="Times New Roman"/>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260" w:hanging="652"/>
        <w:spacing w:after="0" w:line="22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48"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2022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2027 and</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3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September 30, 2022 and December 31,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16"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8"/>
              </w:rPr>
              <w:t>4,197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8"/>
              </w:rPr>
              <w:t>4,031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8"/>
              </w:rPr>
              <w:t>6,916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8"/>
              </w:rPr>
              <w:t>5,126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8"/>
                <w:szCs w:val="18"/>
                <w:color w:val="auto"/>
                <w:w w:val="98"/>
              </w:rPr>
              <w:t>4,101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8"/>
                <w:szCs w:val="18"/>
                <w:color w:val="auto"/>
                <w:w w:val="98"/>
              </w:rPr>
              <w:t>4,705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Income/(Loss) Per Common Unit</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calculate basic and diluted net income/(loss) per common unit by dividing net income/(loss) attributable to PAA (after deducting amounts allocated to the preferred unitholders and participating securities) by the basic and diluted weighted average number of common units outstanding during the period. Participating securities include equity-indexed compensation plan awards that have vested distribution equivalent rights, which entitle the grantee to a cash payment equal to the cash distribution paid on our outstanding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2021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each of the three and nine months ended September 30, 2022 and 2021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period were reduced by a hypothetical common unit repurchase based on the remaining unamortized fair value, as prescribed by the treasury stock method in guidance issued by the FASB. For the three and nine months ended September 30, 2022, approximately</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2.4 million and 1.3 million, respectively, equity-indexed compensation plan awards, on a weighted-average basis, were dilutive, but did not change basic net income per common unit for the periods presented. For the three and nine months ended September 30, 2021, approximately 0.6 million and 0.5 million equity-indexed compensation awards, on a weighted-average basis, were excluded from the computation of diluted net loss per common unit as the effect was antidilutive.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income/(loss) per common unit (in millions, except per unit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38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Common Unit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income/(loss) attributable to PAA</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8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Net income/(loss) allocated to common unitholders </w:t>
            </w:r>
            <w:r>
              <w:rPr>
                <w:rFonts w:ascii="Times New Roman" w:cs="Times New Roman" w:eastAsia="Times New Roman" w:hAnsi="Times New Roman"/>
                <w:sz w:val="23"/>
                <w:szCs w:val="23"/>
                <w:color w:val="auto"/>
                <w:vertAlign w:val="superscript"/>
              </w:rPr>
              <w:t>(1)</w:t>
            </w: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56"/>
        </w:trPr>
        <w:tc>
          <w:tcPr>
            <w:tcW w:w="388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117" w:lineRule="exact"/>
        <w:rPr>
          <w:sz w:val="20"/>
          <w:szCs w:val="20"/>
          <w:color w:val="auto"/>
        </w:rPr>
      </w:pPr>
    </w:p>
    <w:p>
      <w:pPr>
        <w:ind w:left="660" w:right="200" w:hanging="652"/>
        <w:spacing w:after="0" w:line="23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8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6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5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9,698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15,499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4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40" w:hanging="652"/>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4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3.65% senior notes due June 2022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2.85% senior notes due January 2023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40" w:type="dxa"/>
            <w:vAlign w:val="bottom"/>
          </w:tcPr>
          <w:p>
            <w:pPr>
              <w:spacing w:after="0"/>
              <w:rPr>
                <w:sz w:val="19"/>
                <w:szCs w:val="19"/>
                <w:color w:val="auto"/>
              </w:rPr>
            </w:pPr>
          </w:p>
        </w:tc>
        <w:tc>
          <w:tcPr>
            <w:tcW w:w="8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short-term debt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4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 of $48 and $54, respectively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r>
      <w:tr>
        <w:trPr>
          <w:trHeight w:val="230"/>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88"/>
        </w:trPr>
        <w:tc>
          <w:tcPr>
            <w:tcW w:w="40" w:type="dxa"/>
            <w:vAlign w:val="bottom"/>
          </w:tcPr>
          <w:p>
            <w:pPr>
              <w:spacing w:after="0"/>
              <w:rPr>
                <w:sz w:val="24"/>
                <w:szCs w:val="24"/>
                <w:color w:val="auto"/>
              </w:rPr>
            </w:pPr>
          </w:p>
        </w:tc>
        <w:tc>
          <w:tcPr>
            <w:tcW w:w="84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03"/>
        </w:trPr>
        <w:tc>
          <w:tcPr>
            <w:tcW w:w="40" w:type="dxa"/>
            <w:vAlign w:val="bottom"/>
          </w:tcPr>
          <w:p>
            <w:pPr>
              <w:spacing w:after="0"/>
              <w:rPr>
                <w:sz w:val="17"/>
                <w:szCs w:val="17"/>
                <w:color w:val="auto"/>
              </w:rPr>
            </w:pPr>
          </w:p>
        </w:tc>
        <w:tc>
          <w:tcPr>
            <w:tcW w:w="8400" w:type="dxa"/>
            <w:vAlign w:val="bottom"/>
            <w:tcBorders>
              <w:top w:val="single" w:sz="8" w:color="CCEEFF"/>
            </w:tcBorders>
            <w:gridSpan w:val="2"/>
          </w:tcPr>
          <w:p>
            <w:pPr>
              <w:ind w:left="540"/>
              <w:spacing w:after="0" w:line="203"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(2)</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8,445</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9,220</w:t>
            </w: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85"/>
              </w:rPr>
              <w:t>(1)</w:t>
            </w:r>
          </w:p>
        </w:tc>
        <w:tc>
          <w:tcPr>
            <w:tcW w:w="532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These senior notes were redeemed on March 1, 2022.</w:t>
            </w: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8"/>
        </w:trPr>
        <w:tc>
          <w:tcPr>
            <w:tcW w:w="400" w:type="dxa"/>
            <w:vAlign w:val="bottom"/>
          </w:tcPr>
          <w:p>
            <w:pPr>
              <w:spacing w:after="0"/>
              <w:rPr>
                <w:sz w:val="24"/>
                <w:szCs w:val="24"/>
                <w:color w:val="auto"/>
              </w:rPr>
            </w:pP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04" w:lineRule="exact"/>
        <w:rPr>
          <w:sz w:val="20"/>
          <w:szCs w:val="20"/>
          <w:color w:val="auto"/>
        </w:rPr>
      </w:pPr>
    </w:p>
    <w:p>
      <w:pPr>
        <w:ind w:left="660" w:right="20" w:hanging="652"/>
        <w:spacing w:after="0" w:line="241"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fixed-rate senior notes had a face value of approximately $8.4 billion and $9.1 billion as of September 30, 2022 and December 31, 2021, respectively. We estimated the aggregate fair value of these notes as of September 30, 2022 and December 31, 2021 to be approximately $7.3 billion and $9.9 billion, respectively. Our fixed-rate senior notes are traded among institutions, and these trades are routinely published by a reporting service. Our determination of fair value is based on reported trading activity near the end of the reporting period. The fair value estimate for our senior notes is based upon observable market data and is classified in Level 2 of the fair value hierarchy.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August 2022, we amended our credit facility agreements to, among other things, extend the maturity dates of our senior secured hedged inventory facility and senior unsecured revolving credit facility by one year to August 2025 and August 2027,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our credit facilities and commercial paper program for the nine months ended September 30, 2022 and 2021 were approximately $19.3 billion and $31.2 billion, respectively. Total repayments under our credit facilities and commercial paper program were approximately $19.3 billion and $31.9 billion for the nine months ended September 30, 2022 and 2021, respectively. The variance in total gross borrowings and repayments is impacted by various business and financial factors including, but not limited to, the timing, average term and method of general partnership borrowing activities.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 2022, we redeemed our 3.65%, $750 million senior notes due June 2022.</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2022 and December 31, 2021, we had outstanding letters of credit of $58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preferred and common units: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1"/>
                <w:szCs w:val="11"/>
                <w:color w:val="auto"/>
              </w:rPr>
            </w:pPr>
          </w:p>
        </w:tc>
        <w:tc>
          <w:tcPr>
            <w:tcW w:w="15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704,991,540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ind w:left="160"/>
              <w:spacing w:after="0" w:line="163" w:lineRule="exact"/>
              <w:rPr>
                <w:sz w:val="20"/>
                <w:szCs w:val="20"/>
                <w:color w:val="auto"/>
              </w:rPr>
            </w:pPr>
            <w:r>
              <w:rPr>
                <w:rFonts w:ascii="Times New Roman" w:cs="Times New Roman" w:eastAsia="Times New Roman" w:hAnsi="Times New Roman"/>
                <w:sz w:val="18"/>
                <w:szCs w:val="18"/>
                <w:color w:val="auto"/>
              </w:rPr>
              <w:t>Repurchase and cancellation of common units under the Common Equity Repurchase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Program</w:t>
            </w:r>
          </w:p>
        </w:tc>
        <w:tc>
          <w:tcPr>
            <w:tcW w:w="20" w:type="dxa"/>
            <w:vAlign w:val="bottom"/>
          </w:tcPr>
          <w:p>
            <w:pPr>
              <w:spacing w:after="0"/>
              <w:rPr>
                <w:sz w:val="21"/>
                <w:szCs w:val="21"/>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(2,375,299)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702,668,178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36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6"/>
                <w:szCs w:val="16"/>
                <w:color w:val="auto"/>
              </w:rPr>
              <w:t>Repurchase and cancellation of common units under the Common Equity Repurchase</w:t>
            </w:r>
          </w:p>
        </w:tc>
        <w:tc>
          <w:tcPr>
            <w:tcW w:w="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Program</w:t>
            </w:r>
          </w:p>
        </w:tc>
        <w:tc>
          <w:tcPr>
            <w:tcW w:w="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June 30, 2022</w:t>
            </w:r>
          </w:p>
        </w:tc>
        <w:tc>
          <w:tcPr>
            <w:tcW w:w="15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697,939,946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392,739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698,332,685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1"/>
                <w:szCs w:val="11"/>
                <w:color w:val="auto"/>
              </w:rPr>
            </w:pPr>
          </w:p>
        </w:tc>
        <w:tc>
          <w:tcPr>
            <w:tcW w:w="15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at December 31, 2020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722,380,416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Times New Roman" w:cs="Times New Roman" w:eastAsia="Times New Roman" w:hAnsi="Times New Roman"/>
                <w:sz w:val="18"/>
                <w:szCs w:val="18"/>
                <w:color w:val="auto"/>
                <w:w w:val="99"/>
              </w:rPr>
              <w:t>Repurchase and cancellation of common units under the Common Equity Repurchase</w:t>
            </w: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Program</w:t>
            </w:r>
          </w:p>
        </w:tc>
        <w:tc>
          <w:tcPr>
            <w:tcW w:w="20" w:type="dxa"/>
            <w:vAlign w:val="bottom"/>
          </w:tcPr>
          <w:p>
            <w:pPr>
              <w:spacing w:after="0"/>
              <w:rPr>
                <w:sz w:val="21"/>
                <w:szCs w:val="21"/>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2021</w:t>
            </w: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722,055,847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Repurchase and cancellation of common units under the Common Equity Repurchase</w:t>
            </w:r>
          </w:p>
        </w:tc>
        <w:tc>
          <w:tcPr>
            <w:tcW w:w="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Program</w:t>
            </w:r>
          </w:p>
        </w:tc>
        <w:tc>
          <w:tcPr>
            <w:tcW w:w="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(4,940,592)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Pr>
          <w:p>
            <w:pPr>
              <w:spacing w:after="0"/>
              <w:rPr>
                <w:sz w:val="19"/>
                <w:szCs w:val="19"/>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717,371,576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Times New Roman" w:cs="Times New Roman" w:eastAsia="Times New Roman" w:hAnsi="Times New Roman"/>
                <w:sz w:val="18"/>
                <w:szCs w:val="18"/>
                <w:color w:val="auto"/>
                <w:w w:val="99"/>
              </w:rPr>
              <w:t>Repurchase and cancellation of common units under the Common Equity Repurchase</w:t>
            </w: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0"/>
                <w:szCs w:val="10"/>
                <w:color w:val="auto"/>
              </w:rPr>
            </w:pPr>
          </w:p>
        </w:tc>
        <w:tc>
          <w:tcPr>
            <w:tcW w:w="1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(6,626,711)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Program</w:t>
            </w:r>
          </w:p>
        </w:tc>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2021</w:t>
            </w: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711,121,882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Equity Repurchase Program</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repurchased 7.3 million and 11.9 million common units under our Common Equity Repurchase Program (the “Program”) through open market purchases that settled during the nine months ended September 30, 2022 and 2021, respectively, for a total purchase price of $74 million and $117 million, respectively, including commissions and fees. The repurchased common units were canceled immediately upon acquisition, as were the PAGP Class C shares held by us associated with the repurchased common units. At September 30, 2022, the remaining available capacity under the Program was</w:t>
      </w:r>
    </w:p>
    <w:p>
      <w:pPr>
        <w:spacing w:after="0" w:line="3"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$198 million. See Note 12 to our Consolidated Financial Statements included in Part IV of our 2021 Annual Report on Form 10-K for additional information regarding the Program.</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41"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Series A Preferred Unit Distributions</w:t>
      </w:r>
      <w:r>
        <w:rPr>
          <w:rFonts w:ascii="Times New Roman" w:cs="Times New Roman" w:eastAsia="Times New Roman" w:hAnsi="Times New Roman"/>
          <w:sz w:val="18"/>
          <w:szCs w:val="18"/>
          <w:color w:val="auto"/>
        </w:rPr>
        <w:t>. The following table details distributions to our Series A preferred unitholders paid during or pertaining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nine months of 2022 (in millions, except per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7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776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November 14, 2022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w:t>
            </w:r>
          </w:p>
        </w:tc>
        <w:tc>
          <w:tcPr>
            <w:tcW w:w="0" w:type="dxa"/>
            <w:vAlign w:val="bottom"/>
          </w:tcPr>
          <w:p>
            <w:pPr>
              <w:spacing w:after="0"/>
              <w:rPr>
                <w:sz w:val="1"/>
                <w:szCs w:val="1"/>
                <w:color w:val="auto"/>
              </w:rPr>
            </w:pPr>
          </w:p>
        </w:tc>
      </w:tr>
      <w:tr>
        <w:trPr>
          <w:trHeight w:val="230"/>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12,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w:t>
            </w:r>
          </w:p>
        </w:tc>
        <w:tc>
          <w:tcPr>
            <w:tcW w:w="0" w:type="dxa"/>
            <w:vAlign w:val="bottom"/>
          </w:tcPr>
          <w:p>
            <w:pPr>
              <w:spacing w:after="0"/>
              <w:rPr>
                <w:sz w:val="1"/>
                <w:szCs w:val="1"/>
                <w:color w:val="auto"/>
              </w:rPr>
            </w:pPr>
          </w:p>
        </w:tc>
      </w:tr>
      <w:tr>
        <w:trPr>
          <w:trHeight w:val="229"/>
        </w:trPr>
        <w:tc>
          <w:tcPr>
            <w:tcW w:w="7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13,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w:t>
            </w:r>
          </w:p>
        </w:tc>
        <w:tc>
          <w:tcPr>
            <w:tcW w:w="0" w:type="dxa"/>
            <w:vAlign w:val="bottom"/>
          </w:tcPr>
          <w:p>
            <w:pPr>
              <w:spacing w:after="0"/>
              <w:rPr>
                <w:sz w:val="1"/>
                <w:szCs w:val="1"/>
                <w:color w:val="auto"/>
              </w:rPr>
            </w:pPr>
          </w:p>
        </w:tc>
      </w:tr>
      <w:tr>
        <w:trPr>
          <w:trHeight w:val="229"/>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14,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340" w:hanging="652"/>
        <w:spacing w:after="0" w:line="235"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2022 for the period from July 1, 2022 through September 30, 2022. At September 30, 2022, such amount was accrued as distributions payable in “Other current liabilities” on our Condensed Consolidated Balance Sheet.</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Series B Preferred Unit Distributions</w:t>
      </w:r>
      <w:r>
        <w:rPr>
          <w:rFonts w:ascii="Times New Roman" w:cs="Times New Roman" w:eastAsia="Times New Roman" w:hAnsi="Times New Roman"/>
          <w:sz w:val="18"/>
          <w:szCs w:val="18"/>
          <w:color w:val="auto"/>
        </w:rPr>
        <w:t>. Distributions on our Series B preferred units are payable semi-annually in arrears on the 15th day of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November. The following table details distributions paid to our Series B preferred unitholders (in millions, except per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November 15, 2022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16,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0" w:type="dxa"/>
            <w:vAlign w:val="bottom"/>
          </w:tcPr>
          <w:p>
            <w:pPr>
              <w:spacing w:after="0"/>
              <w:rPr>
                <w:sz w:val="1"/>
                <w:szCs w:val="1"/>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2022 for the period from May 17, 2022 through November 14, 2022.</w:t>
      </w:r>
    </w:p>
    <w:p>
      <w:pPr>
        <w:spacing w:after="0" w:line="27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approximately $18 million of accrued distributions payable to our Series B preferred unitholders was included in “Other current liabilities” on our Condensed Consolidated Balance Sheet.</w:t>
      </w:r>
    </w:p>
    <w:p>
      <w:pPr>
        <w:spacing w:after="0" w:line="187"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Common Unit Distributions</w:t>
      </w:r>
      <w:r>
        <w:rPr>
          <w:rFonts w:ascii="Times New Roman" w:cs="Times New Roman" w:eastAsia="Times New Roman" w:hAnsi="Times New Roman"/>
          <w:sz w:val="18"/>
          <w:szCs w:val="18"/>
          <w:color w:val="auto"/>
        </w:rPr>
        <w:t>. The following table details distributions to our common unitholders paid during or pertaining to the first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2022 (in millions, except per unit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Distribution per</w:t>
            </w:r>
          </w:p>
        </w:tc>
      </w:tr>
      <w:tr>
        <w:trPr>
          <w:trHeight w:val="198"/>
        </w:trPr>
        <w:tc>
          <w:tcPr>
            <w:tcW w:w="40" w:type="dxa"/>
            <w:vAlign w:val="bottom"/>
          </w:tcPr>
          <w:p>
            <w:pPr>
              <w:spacing w:after="0"/>
              <w:rPr>
                <w:sz w:val="17"/>
                <w:szCs w:val="17"/>
                <w:color w:val="auto"/>
              </w:rPr>
            </w:pPr>
          </w:p>
        </w:tc>
        <w:tc>
          <w:tcPr>
            <w:tcW w:w="4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Common Unit</w:t>
            </w:r>
          </w:p>
        </w:tc>
      </w:tr>
      <w:tr>
        <w:trPr>
          <w:trHeight w:val="228"/>
        </w:trPr>
        <w:tc>
          <w:tcPr>
            <w:tcW w:w="40" w:type="dxa"/>
            <w:vAlign w:val="bottom"/>
          </w:tcPr>
          <w:p>
            <w:pPr>
              <w:spacing w:after="0"/>
              <w:rPr>
                <w:sz w:val="19"/>
                <w:szCs w:val="19"/>
                <w:color w:val="auto"/>
              </w:rPr>
            </w:pPr>
          </w:p>
        </w:tc>
        <w:tc>
          <w:tcPr>
            <w:tcW w:w="4380" w:type="dxa"/>
            <w:vAlign w:val="bottom"/>
            <w:tcBorders>
              <w:top w:val="single" w:sz="8" w:color="auto"/>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November 14, 2022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0.2175</w:t>
            </w:r>
          </w:p>
        </w:tc>
      </w:tr>
      <w:tr>
        <w:trPr>
          <w:trHeight w:val="230"/>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12, 2022</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0.2175</w:t>
            </w:r>
          </w:p>
        </w:tc>
      </w:tr>
      <w:tr>
        <w:trPr>
          <w:trHeight w:val="230"/>
        </w:trPr>
        <w:tc>
          <w:tcPr>
            <w:tcW w:w="40" w:type="dxa"/>
            <w:vAlign w:val="bottom"/>
          </w:tcPr>
          <w:p>
            <w:pPr>
              <w:spacing w:after="0"/>
              <w:rPr>
                <w:sz w:val="19"/>
                <w:szCs w:val="19"/>
                <w:color w:val="auto"/>
              </w:rPr>
            </w:pPr>
          </w:p>
        </w:tc>
        <w:tc>
          <w:tcPr>
            <w:tcW w:w="4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13, 2022</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0.2175</w:t>
            </w:r>
          </w:p>
        </w:tc>
      </w:tr>
      <w:tr>
        <w:trPr>
          <w:trHeight w:val="229"/>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14, 2022</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r>
      <w:tr>
        <w:trPr>
          <w:trHeight w:val="176"/>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87"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2022 for the period from July 1, 2022 through September 30, 2022.</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5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noncontrolling interests in our subsidiaries consisted of (i) a 35% interest in Plains Oyrx Permian Basin LLC (the “Permian JV”) and (ii) a 33% interest in Red River Pipeline Company LLC (“Red River LLC”).</w:t>
      </w:r>
    </w:p>
    <w:p>
      <w:pPr>
        <w:spacing w:after="0" w:line="18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paid distributions of $180 million and $15 million to noncontrolling interests in the Permian JV and Red River LLC, respectively.</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we received a contribution of $26 million from noncontrolling interests in the Permian JV associated with the acquisition of the remaining 50% interest in an unconsolidated subsidiary of the Permian JV.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8—Derivatives and Risk Management Activities</w:t>
      </w:r>
    </w:p>
    <w:p>
      <w:pPr>
        <w:spacing w:after="0" w:line="229"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7"/>
          <w:szCs w:val="17"/>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260" w:firstLine="607"/>
        <w:spacing w:after="0" w:line="261" w:lineRule="auto"/>
        <w:rPr>
          <w:sz w:val="20"/>
          <w:szCs w:val="20"/>
          <w:color w:val="auto"/>
        </w:rPr>
      </w:pPr>
      <w:r>
        <w:rPr>
          <w:rFonts w:ascii="Times New Roman" w:cs="Times New Roman" w:eastAsia="Times New Roman" w:hAnsi="Times New Roman"/>
          <w:sz w:val="18"/>
          <w:szCs w:val="18"/>
          <w:color w:val="auto"/>
        </w:rPr>
        <w:t>At September 30, 2022 and December 31,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to optimize profits. As of September 30, 2022, net derivative positions related to these activities included:</w:t>
      </w:r>
    </w:p>
    <w:p>
      <w:pPr>
        <w:spacing w:after="0" w:line="162" w:lineRule="exact"/>
        <w:rPr>
          <w:sz w:val="20"/>
          <w:szCs w:val="20"/>
          <w:color w:val="auto"/>
        </w:rPr>
      </w:pPr>
    </w:p>
    <w:p>
      <w:pPr>
        <w:ind w:left="980" w:right="12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5.8 million barrels associated with our crude oil purchases, which was unwound ratably during October 2022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7.8 million barrels, which hedges a portion of our anticipated crude oil lease gathering purchases through December 2024.</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2.7 million barrels at multiple locations through December 2024.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14.3 million barrels through December 2023 related to anticipated net sales of crude oil and NGL inventory.</w:t>
      </w:r>
    </w:p>
    <w:p>
      <w:pPr>
        <w:spacing w:after="0" w:line="25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2022:</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2180" w:type="dxa"/>
            <w:vAlign w:val="bottom"/>
          </w:tcPr>
          <w:p>
            <w:pPr>
              <w:spacing w:after="0"/>
              <w:rPr>
                <w:sz w:val="16"/>
                <w:szCs w:val="16"/>
                <w:color w:val="auto"/>
              </w:rPr>
            </w:pPr>
          </w:p>
        </w:tc>
      </w:tr>
      <w:tr>
        <w:trPr>
          <w:trHeight w:val="203"/>
        </w:trPr>
        <w:tc>
          <w:tcPr>
            <w:tcW w:w="6660" w:type="dxa"/>
            <w:vAlign w:val="bottom"/>
          </w:tcPr>
          <w:p>
            <w:pPr>
              <w:spacing w:after="0"/>
              <w:rPr>
                <w:sz w:val="17"/>
                <w:szCs w:val="17"/>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r>
      <w:tr>
        <w:trPr>
          <w:trHeight w:val="23"/>
        </w:trPr>
        <w:tc>
          <w:tcPr>
            <w:tcW w:w="6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 Bcf</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Propane sales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(12.2)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2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(2.5) MMbls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Condensate sales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(0.9)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29"/>
        </w:trPr>
        <w:tc>
          <w:tcPr>
            <w:tcW w:w="66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9.1 Bcf</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r>
      <w:tr>
        <w:trPr>
          <w:trHeight w:val="30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0.5 TWh</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79"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1"/>
        </w:trPr>
        <w:tc>
          <w:tcPr>
            <w:tcW w:w="58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133</w:t>
            </w:r>
          </w:p>
        </w:tc>
      </w:tr>
      <w:tr>
        <w:trPr>
          <w:trHeight w:val="28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(47)</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37"/>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1"/>
                <w:szCs w:val="11"/>
                <w:color w:val="auto"/>
              </w:rPr>
            </w:pPr>
          </w:p>
        </w:tc>
        <w:tc>
          <w:tcPr>
            <w:tcW w:w="88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112"/>
        </w:trPr>
        <w:tc>
          <w:tcPr>
            <w:tcW w:w="2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6"/>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September 30, 2022 (notional amounts in millions):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2740" w:type="dxa"/>
            <w:vAlign w:val="bottom"/>
            <w:gridSpan w:val="2"/>
            <w:vMerge w:val="continue"/>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83"/>
        </w:trPr>
        <w:tc>
          <w:tcPr>
            <w:tcW w:w="264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8 forward starting swaps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6/15/2023</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1.38 %</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Cash flow hedge</w:t>
            </w: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(30-year)</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4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4 forward starting swaps</w:t>
            </w: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6"/>
                <w:szCs w:val="16"/>
                <w:color w:val="auto"/>
              </w:rPr>
            </w:pP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6/14/2024</w:t>
            </w:r>
          </w:p>
        </w:tc>
        <w:tc>
          <w:tcPr>
            <w:tcW w:w="100" w:type="dxa"/>
            <w:vAlign w:val="bottom"/>
          </w:tcPr>
          <w:p>
            <w:pPr>
              <w:spacing w:after="0"/>
              <w:rPr>
                <w:sz w:val="16"/>
                <w:szCs w:val="16"/>
                <w:color w:val="auto"/>
              </w:rPr>
            </w:pPr>
          </w:p>
        </w:tc>
        <w:tc>
          <w:tcPr>
            <w:tcW w:w="14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0.74 %</w:t>
            </w:r>
          </w:p>
        </w:tc>
        <w:tc>
          <w:tcPr>
            <w:tcW w:w="100" w:type="dxa"/>
            <w:vAlign w:val="bottom"/>
          </w:tcPr>
          <w:p>
            <w:pPr>
              <w:spacing w:after="0"/>
              <w:rPr>
                <w:sz w:val="16"/>
                <w:szCs w:val="16"/>
                <w:color w:val="auto"/>
              </w:rPr>
            </w:pPr>
          </w:p>
        </w:tc>
        <w:tc>
          <w:tcPr>
            <w:tcW w:w="17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Cash flow hedge</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(30-year)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2022, there was a net loss of $115 million deferred in AOCI. The deferred net loss recorded in AOCI is expected to be reclassified to future earnings contemporaneously with interest expense accruals associated with underlying debt instruments. During the three months ended September 30, 2022, we terminated $100 million of notional interest hedging instruments previously expected to terminate in June 2024 for proceeds of $42 million. The early termination did not result in an impact to the relationship between the hedging instrument and hedged item. We estimate that substantially all of the remaining deferred loss will be reclassified to earnings through 2054 as the underlying hedged transactions impact earnings. A portion of these amounts is based on market prices as of September 30, 2022; thus, actual amounts to be reclassified will differ and could vary materially as a result of changes in market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30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4"/>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31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2022, the net fair value of our interest rate hedges, which were included in “Other current assets” and “Other long-term assets, net” on our Condensed Consolidated Balance Sheet, totaled $70 million and $43 million, respectively. At December 31, 2021, the net fair value of these hedges totaled $65 million and was included in “Other long-term assets, net.”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Distribution Rate Reset Option</w:t>
      </w:r>
    </w:p>
    <w:p>
      <w:pPr>
        <w:spacing w:after="0" w:line="229"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September 30, 2022 and 2021, we recognized a loss of $49 million and a gain of</w:t>
      </w:r>
    </w:p>
    <w:p>
      <w:pPr>
        <w:spacing w:after="0" w:line="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$4 million, respectively. For the nine months ended September 30, 2022 and 2021, we recognized a net loss of $196 million and a net gain of $13 million, respectively. The fair value of the Preferred Distribution Rate Reset Option, which was included in “Other long-term liabilities and deferred credits” on our Condensed Consolidated Balance Sheets, totaled $196 million and less than $1 million at September 30, 2022 and December 31, 2021, respectively. See Note 12 to our Consolidated Financial Statements included in Part IV of our 2021 Annual Report on Form 10-K for additional information regarding our Series A preferred units and the Preferred Distribution Rate Reset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6"/>
                <w:szCs w:val="16"/>
                <w:color w:val="auto"/>
              </w:rPr>
            </w:pPr>
          </w:p>
        </w:tc>
        <w:tc>
          <w:tcPr>
            <w:tcW w:w="27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as of September 30, 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as of December 31, 2021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0" w:type="dxa"/>
            <w:vAlign w:val="bottom"/>
            <w:gridSpan w:val="3"/>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232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40" w:type="dxa"/>
            <w:vAlign w:val="bottom"/>
          </w:tcPr>
          <w:p>
            <w:pPr>
              <w:spacing w:after="0"/>
              <w:rPr>
                <w:sz w:val="19"/>
                <w:szCs w:val="19"/>
                <w:color w:val="auto"/>
              </w:rPr>
            </w:pPr>
          </w:p>
        </w:tc>
        <w:tc>
          <w:tcPr>
            <w:tcW w:w="76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6"/>
              </w:rPr>
              <w:t>113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7"/>
              </w:rPr>
              <w:t>(196)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center"/>
              <w:ind w:left="236"/>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color w:val="auto"/>
                <w:w w:val="96"/>
              </w:rPr>
              <w:t>149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center"/>
              <w:ind w:left="216"/>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1</w:t>
      </w:r>
    </w:p>
    <w:p>
      <w:pPr>
        <w:spacing w:after="0" w:line="229"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229"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3</w:t>
      </w:r>
    </w:p>
    <w:p>
      <w:pPr>
        <w:spacing w:after="0" w:line="229" w:lineRule="exact"/>
        <w:rPr>
          <w:sz w:val="20"/>
          <w:szCs w:val="20"/>
          <w:color w:val="auto"/>
        </w:rPr>
      </w:pPr>
    </w:p>
    <w:p>
      <w:pPr>
        <w:ind w:left="660" w:right="880"/>
        <w:spacing w:after="0" w:line="282" w:lineRule="auto"/>
        <w:rPr>
          <w:sz w:val="20"/>
          <w:szCs w:val="20"/>
          <w:color w:val="auto"/>
        </w:rPr>
      </w:pPr>
      <w:r>
        <w:rPr>
          <w:rFonts w:ascii="Times New Roman" w:cs="Times New Roman" w:eastAsia="Times New Roman" w:hAnsi="Times New Roman"/>
          <w:sz w:val="18"/>
          <w:szCs w:val="18"/>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62"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Product sales revenues.</w:t>
      </w:r>
    </w:p>
    <w:p>
      <w:pPr>
        <w:spacing w:after="0" w:line="210"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The fair value of the Preferred Distribution Rate Reset Option of our Series A preferred units contained in our partnership agreement is based on a Monte Carlo simulation that estimates the fair value of the Series A preferred units with and without the Preferred Distribution Rate Reset Option. This model utilizes observable and unobservable inputs, including our common unit price, ten-year U.S. Treasury rates, default probabilities and timing estimates, some of which involve management judgment. In general, an increase in ten-year U.S. Treasury rates would increase the fair value of the feature and our liability and expense. The future impact on “Other income/(expense), net” depends on how inputs change in relation to one another.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our derivatives classified as Level 3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4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gains/(losses) for the period included in earnings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58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75"/>
        </w:trPr>
        <w:tc>
          <w:tcPr>
            <w:tcW w:w="5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still held at the end of the period</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9—Related Party Transactions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See Note 17 to our Consolidated Financial Statements included in Part IV of our 2021 Annual Report on Form 10-K for a complete discussion of related parties, including the determination of our related parties and nature of involvement with such related parties.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5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bl>
    <w:p>
      <w:pPr>
        <w:spacing w:after="0" w:line="37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6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62"/>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84" w:lineRule="exact"/>
        <w:rPr>
          <w:sz w:val="20"/>
          <w:szCs w:val="20"/>
          <w:color w:val="auto"/>
        </w:rPr>
      </w:pPr>
    </w:p>
    <w:p>
      <w:pPr>
        <w:ind w:left="660" w:right="80" w:hanging="652"/>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36"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At September 30, 2022, our estimated undiscounted reserve for environmental liabilities (excluding liabilities related to the Line 901 incident, as discussed further below) totaled $55 million, of which $10 million was classified as short-term and $45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September 30, 2022 and December 31, 2021, we had recorded receivables (excluding receivables related to the Line 901 incident) totaling $6 million and $11 million, respectively, for amounts probable of recovery under insurance and from third parties under indemnification agreements,</w:t>
      </w:r>
    </w:p>
    <w:p>
      <w:pPr>
        <w:spacing w:after="0" w:line="3"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$1 million of which for each period is reflected in “Other long-term assets, net” and the remainder is reflected in “Trade accounts receivable and other receivables, net” on our Condensed Consolidated Balance Sheets.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1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 In the first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order to fully and finally resolve all claims and litigation for both classes, we have reached an agreement in principle to settle this case in exchange for a payment of $230 million (the “Class Action Settlement”). The Class Action Settlement was formally approved by the trial court on September 20, 2022, and we made the $230 million settlement payment on October 27, 2022.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 and the purchaser of Line 901 and the Sisquoc to Pentland portion of Line 903 will be joining this proceeding as a co-defendant with respect to its interest in such acquired pipelines.</w:t>
      </w:r>
    </w:p>
    <w:p>
      <w:pPr>
        <w:spacing w:after="0" w:line="214"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In addition, after various other unitholder derivative lawsuits were either dismissed or consolidated, one proceeding remains pending in Delaware Chancery Court. Generally, the plaintiffs in the remaining derivative lawsuit claim that PAGP’s Board of Directors failed to exercise proper oversight over PAA’s pipeline integrity efforts. In April 2022, Plains entered into a settlement agreement to settle this lawsuit, subject to court approval and notice to all PAA unitholders (the “Derivative Settlement”). Following preliminary court approval, on May 23, 2022 we filed a Current Report on Form 8-K with the SEC. We also posted notice on our website and mailed copies of the notice to all record holders of PAA common units as of August 10, 2022. The key terms of the Derivative Settlement include a payment of Plaintiff’s attorneys’ fees by our insurers in the amount of approximately $1.0 million and the agreement of Plains to comply with various covenants regarding the implementation or continuation of certain Board oversight practices with respect to pipeline integrity. At a settlement hearing held on November 1, 2022, the Delaware Chancery Court approved the terms of the Derivative Settlement.</w:t>
      </w:r>
    </w:p>
    <w:p>
      <w:pPr>
        <w:spacing w:after="0" w:line="19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September 30, 2022, we estimate that the aggregate total costs we have incurred or will incur with respect to the Line 901 incident will be approximately $730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As of September 30, 2022, we had a remaining undiscounted gross liability of approximately $330 million related to this event, which aggregate amount is reflected in “Trade accounts payable” and “Other current liabilities” on our Condensed Consolidated Balance Sheet. We maintain insurance coverage, which is subject to certain exclusions and deductibles, in the event of such environmental liabilities; however, after giving effect to the settlements described above and assuming full collection of costs that we believe are probable of recovery from insurance providers, net of deductibles, we will reach the limit of our $500 million 2015 insurance program applicable to the Line 901 incident. Through September 30, 2022, we had collected, subject to customary reservations, approximately $265 million out of the $505 million of release costs that we believe are probable of recovery from insurance carriers (including the 2015 insurance program), net of deductibles. Therefore, as of September 30, 2022, we have recognized a receivable of approximately $240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2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w:t>
      </w:r>
      <w:r>
        <w:rPr>
          <w:rFonts w:ascii="Times New Roman" w:cs="Times New Roman" w:eastAsia="Times New Roman" w:hAnsi="Times New Roman"/>
          <w:sz w:val="18"/>
          <w:szCs w:val="18"/>
          <w:color w:val="auto"/>
        </w:rPr>
        <w:t>On July 19, 2022 Hartree Natural Gas Storage, LLC (“Hartree”) filed a lawsuit under seal in the Superior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11—Segment Information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During the fourth quarter of 2021, we effected changes in the primary financial information provided to our CODM for assessing performance and allocating resources to present two operating segments, Crude Oil and NGL. Prior to the fourth quarter of 2021, this information was organized into three operating segments: Transportation, Facilities and Supply and Logistics. All segment data and related disclosures for earlier periods presented herein have been recast to reflect the new segment reporting structure. Our CODM evaluates segment performance based on measures including Segment Adjusted EBITDA (as defined below) and maintenance capital. 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earlier periods presented herein have been recast to reflect this modification. See Note 20 to our Consolidated Financial Statements included in Part IV of our</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2021 Annual Report on Form 10-K for additional information regarding the modifications to our segment reporting and for a full discussion of our basis for segmentation and performance measures.</w:t>
      </w:r>
    </w:p>
    <w:p>
      <w:pPr>
        <w:spacing w:after="0" w:line="20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43,390</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40" w:hanging="652"/>
        <w:spacing w:after="0" w:line="235"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PAA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6"/>
        </w:trPr>
        <w:tc>
          <w:tcPr>
            <w:tcW w:w="58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Gains/(losses) from derivative activities and inventory valuation adjustments</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5"/>
        </w:trPr>
        <w:tc>
          <w:tcPr>
            <w:tcW w:w="3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(3)</w:t>
            </w:r>
          </w:p>
        </w:tc>
        <w:tc>
          <w:tcPr>
            <w:tcW w:w="1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Significant transaction-related expenses </w:t>
            </w:r>
            <w:r>
              <w:rPr>
                <w:rFonts w:ascii="Times New Roman" w:cs="Times New Roman" w:eastAsia="Times New Roman" w:hAnsi="Times New Roman"/>
                <w:sz w:val="23"/>
                <w:szCs w:val="23"/>
                <w:color w:val="auto"/>
                <w:vertAlign w:val="superscript"/>
              </w:rPr>
              <w:t>(9)</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noncontrolling interests </w:t>
            </w:r>
            <w:r>
              <w:rPr>
                <w:rFonts w:ascii="Times New Roman" w:cs="Times New Roman" w:eastAsia="Times New Roman" w:hAnsi="Times New Roman"/>
                <w:sz w:val="23"/>
                <w:szCs w:val="23"/>
                <w:color w:val="auto"/>
                <w:vertAlign w:val="superscript"/>
              </w:rPr>
              <w:t>(10)</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tax</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PAA</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of unconsolidated entities.</w:t>
      </w:r>
    </w:p>
    <w:p>
      <w:pPr>
        <w:spacing w:after="0" w:line="54" w:lineRule="exact"/>
        <w:rPr>
          <w:sz w:val="20"/>
          <w:szCs w:val="20"/>
          <w:color w:val="auto"/>
        </w:rPr>
      </w:pPr>
    </w:p>
    <w:p>
      <w:pPr>
        <w:ind w:left="20" w:right="20" w:hanging="11"/>
        <w:spacing w:after="0" w:line="254"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0" w:right="8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ind w:left="20" w:right="40" w:hanging="11"/>
        <w:spacing w:after="0" w:line="255"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2021 Annual Report on Form 10-K for a discussion regarding our equity-indexed compensation plans.</w:t>
      </w:r>
    </w:p>
    <w:p>
      <w:pPr>
        <w:spacing w:after="0" w:line="81" w:lineRule="exact"/>
        <w:rPr>
          <w:sz w:val="20"/>
          <w:szCs w:val="20"/>
          <w:color w:val="auto"/>
        </w:rPr>
      </w:pPr>
    </w:p>
    <w:p>
      <w:pPr>
        <w:ind w:left="20"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0" w:lineRule="exact"/>
        <w:rPr>
          <w:sz w:val="20"/>
          <w:szCs w:val="20"/>
          <w:color w:val="auto"/>
        </w:rPr>
      </w:pPr>
    </w:p>
    <w:p>
      <w:pPr>
        <w:ind w:left="20" w:right="100" w:hanging="11"/>
        <w:spacing w:after="0" w:line="282" w:lineRule="auto"/>
        <w:rPr>
          <w:sz w:val="20"/>
          <w:szCs w:val="20"/>
          <w:color w:val="auto"/>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10 for additional information regarding the Line 901 incident.</w:t>
      </w:r>
    </w:p>
    <w:p>
      <w:pPr>
        <w:spacing w:after="0" w:line="54" w:lineRule="exact"/>
        <w:rPr>
          <w:sz w:val="20"/>
          <w:szCs w:val="20"/>
          <w:color w:val="auto"/>
        </w:rPr>
      </w:pPr>
    </w:p>
    <w:p>
      <w:pPr>
        <w:ind w:left="20" w:right="500" w:hanging="11"/>
        <w:spacing w:after="0" w:line="282" w:lineRule="auto"/>
        <w:rPr>
          <w:sz w:val="20"/>
          <w:szCs w:val="20"/>
          <w:color w:val="auto"/>
        </w:rPr>
      </w:pPr>
      <w:r>
        <w:rPr>
          <w:rFonts w:ascii="Times New Roman" w:cs="Times New Roman" w:eastAsia="Times New Roman" w:hAnsi="Times New Roman"/>
          <w:sz w:val="18"/>
          <w:szCs w:val="18"/>
          <w:color w:val="auto"/>
        </w:rPr>
        <w:t>Includes expenses associated with the Permian JV transaction announced in July 2021. See Note 7 to our Consolidated Financial Statements included in Part IV of our 2021 Annual Report on Form 10-K for further discussion of the joint venture transaction.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and Red River LLC.</w:t>
      </w:r>
    </w:p>
    <w:p>
      <w:pPr>
        <w:spacing w:after="0" w:line="200"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and transportation corridors and at major market hubs in the United States and Canada. Our assets and the services we provide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Changes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2021, we reorganized our historical operating segments into two operating segments: Crude Oil and NGL. Additionally, during the fourth quarter of 2021, we modified our definition of Segment Adjusted EBITDA to exclude amounts attributable to noncontrolling interests. See Note 20 to our Consolidated Financial Statements included in Part IV of our 2021 Annual Report on Form 10-K for additional information. All segment data and related disclosures for earlier periods presented herein have been recast to reflect the new segment reporting structure and the modification to our definition of Segment Adjusted EBITDA.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During the first nine months of 2022, we recognized net income attributable to PAA of $774 million compared to net income attributable to PAA of $143 million recognized during the first nine months of 2021. Results from our operations increased for the first nine months of 2022 over the comparable 2021 period driven primarily by more favorable margins in our NGL segment, as well as increased earnings from our crude oil pipelines due to higher tariff volumes and higher loss allowance revenue attributable to higher commodity prices. However, these items were partially offset by the impact of the monetization of contango hedges that benefited the 2021 period, the sale of our natural gas storage facilities in the third quarter of 2021 and higher field operating costs in the 2022 period primarily from (i) an increase in estimated costs associated with the Line 901 incident and (ii) gains related to hedged power costs resulting from the extreme winter weather event that occurred in February 2021 (“Winter Storm Uri”) recognized in the first quarter of 2021.</w:t>
      </w:r>
    </w:p>
    <w:p>
      <w:pPr>
        <w:spacing w:after="0" w:line="21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Additionally, results for the first nine months of 2022 included a net gain on asset sales of $46 million, compared to a net loss on asset sales and asset impairments of $592 million included in results for the first nine months of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“Results of Operations” section below for further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1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 net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PAA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income/(loss) per</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weighted average common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outstanding</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range of the NYMEX WTI benchmark price of crude oil (in dollars per barrel):</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NYMEX WTI</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5"/>
        </w:trPr>
        <w:tc>
          <w:tcPr>
            <w:tcW w:w="7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5"/>
        </w:trPr>
        <w:tc>
          <w:tcPr>
            <w:tcW w:w="7240" w:type="dxa"/>
            <w:vAlign w:val="bottom"/>
          </w:tcPr>
          <w:p>
            <w:pPr>
              <w:spacing w:after="0"/>
              <w:rPr>
                <w:sz w:val="16"/>
                <w:szCs w:val="16"/>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2022</w:t>
            </w: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2021</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2022</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2021</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31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and purchases increased for the three and nine months ended September 30, 2022, compared to the same periods in 2021 primarily due to higher prices and volumes in the 2022 periods.</w:t>
      </w:r>
    </w:p>
    <w:p>
      <w:pPr>
        <w:spacing w:after="0" w:line="189" w:lineRule="exact"/>
        <w:rPr>
          <w:sz w:val="20"/>
          <w:szCs w:val="20"/>
          <w:color w:val="auto"/>
        </w:rPr>
      </w:pPr>
    </w:p>
    <w:p>
      <w:pPr>
        <w:jc w:val="both"/>
        <w:ind w:right="180" w:firstLine="648"/>
        <w:spacing w:after="0" w:line="312" w:lineRule="auto"/>
        <w:rPr>
          <w:sz w:val="20"/>
          <w:szCs w:val="20"/>
          <w:color w:val="auto"/>
        </w:rPr>
      </w:pPr>
      <w:r>
        <w:rPr>
          <w:rFonts w:ascii="Times New Roman" w:cs="Times New Roman" w:eastAsia="Times New Roman" w:hAnsi="Times New Roman"/>
          <w:sz w:val="17"/>
          <w:szCs w:val="17"/>
          <w:color w:val="auto"/>
        </w:rPr>
        <w:t>Revenues from services increased for the three and nine months ended September 30, 2022, compared to the same periods in 2021 primarily due to higher prices and volumes in the 2022 periods, partially offset by the impact of the sale of our natural gas storage facilities in the third quarter of 2021.</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our net revenues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and nine months ended September 30, 2022 compared to the same periods in 2021 was primarily due to (i) employee-related costs, including an increase in equity-indexed compensation expense on equity-classified awards (which is excluded in the calculation of Adjusted EBITDA and Segment Adjusted EBITDA) and liability-classified awards due to changes in plan assumptions and a higher common unit price and (ii) higher office rent due to an operating cost abatement in the prior year. For the nine months ended September 30, 2022, the increase was also attributed to (i) costs associated with the formation of the Permian JV, a portion of which are related to the provision of transition services, and (ii) reduced wage subsidies received by our Canadian subsidiary.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and Asset Impairments,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first quarter of 2022, we recognized a gain of $40 million related to the sale of land and buildings in California.</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net loss on asset sales and asset impairments for 2021 primarily consisted of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during the second quarter (these assets were sold in August 2021) and (iii) a gain of $106 million recognized in the second quarter related to the asset exchange agreement (the “Asset Exchange”) involving the sale of one of our crude oil pipelines in Canada in exchange for additional interests in certain Empress natural gas processing plants.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for the three and nine months ended September 30, 2022 compared to the same periods in 2021 was driven by depreciation expense on the assets contributed by Oryx Midstream Holdings LLC (“Oryx Midstream”) upon formation of the Permian JV.</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interest expense for the three and nine months ended September 30, 2022 compared to the three and nine months ended September 30, 2021 was primarily due to (i) a lower weighted average debt balance during the 2022 periods largely driven by the repayment of $750 million of senior notes in March 2022 and (ii) gains of $2 million and $6 million recognized during the three and nine months ended September 30, 2022, respectively, due to anticipated hedged transactions being probable of not occurring. These decreases were partially offset by lower capitalized interest in the 2022 periods resulting from fewer capital projects under construction.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2"/>
        </w:trPr>
        <w:tc>
          <w:tcPr>
            <w:tcW w:w="59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Gain/(loss) related to mark-to-market adjustment of Preferred Distribution Rate</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43"/>
        </w:trPr>
        <w:tc>
          <w:tcPr>
            <w:tcW w:w="59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Reset Option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on foreign currency revaluation </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82" w:lineRule="auto"/>
        <w:rPr>
          <w:sz w:val="20"/>
          <w:szCs w:val="20"/>
          <w:color w:val="auto"/>
        </w:rPr>
      </w:pPr>
      <w:r>
        <w:rPr>
          <w:rFonts w:ascii="Times New Roman" w:cs="Times New Roman" w:eastAsia="Times New Roman" w:hAnsi="Times New Roman"/>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6"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net unfavorable income tax variance for the three and nine months ended September 30, 2022 compared to the same periods in 2021 was primarily a result of higher year-over-year income as impacted by fluctuations of the derivative mark-to-market valuations in our Canadian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increase in amounts attributable to noncontrolling interests for the three and nine months ended September 30, 2022 compared to the same periods in 2021 was primarily due to the formation of the Permian JV in October 2021. See Note 7 to our Consolidated Financial Statements included in Part IV of our 2021 Annual Report on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 for Certain Idled and Underutilized Assets</w:t>
      </w:r>
    </w:p>
    <w:p>
      <w:pPr>
        <w:spacing w:after="0" w:line="25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temporarily ceased service on Line 2000 in California as a precautionary measure following a routine inspection and initiated a program of additional tests and inspections. We are in the process of assessing the results of such tests; however, possible outcomes could include a reduction in the remaining useful life of the pipeline and/or a partial impairment of the carrying value of the associated asset group, which was approximately $540 million, exclusive of linefill,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207"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and Implied DCF are reconciled to Net Income,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 Liquidity and Capital Resources—Liquidity Measures” for additional information regarding Free Cash Flow and Free Cash Flow after Distributions.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5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non-GAAP financial performance measures Adjusted EBITDA, Adjusted EBITDA attributable to PAA and Implied DCF from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10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impairments, net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unconsolidated entities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(Gains)/losses from derivative activities and</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revaluation</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Line 901 incident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Significant transaction-related expenses</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(Gain)/loss on Preferred Distribution Rate</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Reset Option embedded derivative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Net loss on foreign currency revaluation </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Adjusted EBITDA attributable to</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Interest expense, net of certain non-cash</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items </w:t>
            </w:r>
            <w:r>
              <w:rPr>
                <w:rFonts w:ascii="Times New Roman" w:cs="Times New Roman" w:eastAsia="Times New Roman" w:hAnsi="Times New Roman"/>
                <w:sz w:val="23"/>
                <w:szCs w:val="23"/>
                <w:color w:val="auto"/>
                <w:vertAlign w:val="superscript"/>
              </w:rPr>
              <w:t>(7)</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(8)</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6"/>
        </w:trPr>
        <w:tc>
          <w:tcPr>
            <w:tcW w:w="35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Investment capital of noncontrolling interests</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Borders>
              <w:right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35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excess of/(less than) adjusted equity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320"/>
              <w:spacing w:after="0" w:line="237"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(10)</w:t>
            </w: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(11)</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DCF</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(11)</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56"/>
        </w:trPr>
        <w:tc>
          <w:tcPr>
            <w:tcW w:w="35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Implied DCF Available to Common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Unitholders</w:t>
            </w:r>
          </w:p>
        </w:tc>
        <w:tc>
          <w:tcPr>
            <w:tcW w:w="1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(11)</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Excess </w:t>
            </w:r>
            <w:r>
              <w:rPr>
                <w:rFonts w:ascii="Times New Roman" w:cs="Times New Roman" w:eastAsia="Times New Roman" w:hAnsi="Times New Roman"/>
                <w:sz w:val="23"/>
                <w:szCs w:val="23"/>
                <w:color w:val="auto"/>
                <w:vertAlign w:val="superscript"/>
              </w:rPr>
              <w:t>(12)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89" w:lineRule="exact"/>
        <w:rPr>
          <w:rFonts w:ascii="Times New Roman" w:cs="Times New Roman" w:eastAsia="Times New Roman" w:hAnsi="Times New Roman"/>
          <w:sz w:val="23"/>
          <w:szCs w:val="23"/>
          <w:color w:val="auto"/>
          <w:vertAlign w:val="superscript"/>
        </w:rPr>
      </w:pPr>
    </w:p>
    <w:p>
      <w:pPr>
        <w:ind w:left="660" w:right="20" w:hanging="652"/>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11 to our Condensed Consolidated Financial Statements.</w:t>
      </w:r>
    </w:p>
    <w:p>
      <w:pPr>
        <w:sectPr>
          <w:pgSz w:w="11900" w:h="16838" w:orient="portrait"/>
          <w:cols w:equalWidth="0" w:num="1">
            <w:col w:w="11240"/>
          </w:cols>
          <w:pgMar w:left="320" w:top="121" w:right="33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0" w:hanging="11"/>
        <w:spacing w:after="0" w:line="261" w:lineRule="auto"/>
        <w:rPr>
          <w:sz w:val="20"/>
          <w:szCs w:val="20"/>
          <w:color w:val="auto"/>
        </w:rPr>
      </w:pPr>
      <w:r>
        <w:rPr>
          <w:rFonts w:ascii="Times New Roman" w:cs="Times New Roman" w:eastAsia="Times New Roman" w:hAnsi="Times New Roman"/>
          <w:sz w:val="18"/>
          <w:szCs w:val="18"/>
          <w:color w:val="auto"/>
        </w:rPr>
        <w:t>The Preferred Distribution Rate Reset Option of our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2" w:lineRule="exact"/>
        <w:rPr>
          <w:sz w:val="20"/>
          <w:szCs w:val="20"/>
          <w:color w:val="auto"/>
        </w:rPr>
      </w:pPr>
    </w:p>
    <w:p>
      <w:pPr>
        <w:ind w:right="20" w:hanging="11"/>
        <w:spacing w:after="0" w:line="266" w:lineRule="auto"/>
        <w:rPr>
          <w:sz w:val="20"/>
          <w:szCs w:val="20"/>
          <w:color w:val="auto"/>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68"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ind w:left="660" w:right="480" w:hanging="652"/>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ectPr>
          <w:pgSz w:w="11900" w:h="16838" w:orient="portrait"/>
          <w:cols w:equalWidth="0" w:num="1">
            <w:col w:w="11240"/>
          </w:cols>
          <w:pgMar w:left="320" w:top="121" w:right="3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and Red River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117" w:lineRule="exact"/>
        <w:rPr>
          <w:sz w:val="20"/>
          <w:szCs w:val="20"/>
          <w:color w:val="auto"/>
        </w:rPr>
      </w:pPr>
    </w:p>
    <w:p>
      <w:pPr>
        <w:ind w:left="20" w:right="340" w:hanging="11"/>
        <w:spacing w:after="0" w:line="282" w:lineRule="auto"/>
        <w:rPr>
          <w:sz w:val="20"/>
          <w:szCs w:val="20"/>
          <w:color w:val="auto"/>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expenditures attributable to noncontrolling interests that reduce Implied DCF available to PAA common unitholders.</w:t>
      </w:r>
    </w:p>
    <w:p>
      <w:pPr>
        <w:spacing w:after="0" w:line="117"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left="660" w:right="860" w:hanging="652"/>
        <w:spacing w:after="0" w:line="235" w:lineRule="auto"/>
        <w:tabs>
          <w:tab w:leader="none" w:pos="65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89" w:lineRule="exact"/>
        <w:rPr>
          <w:rFonts w:ascii="Times New Roman" w:cs="Times New Roman" w:eastAsia="Times New Roman" w:hAnsi="Times New Roman"/>
          <w:sz w:val="23"/>
          <w:szCs w:val="23"/>
          <w:color w:val="auto"/>
          <w:vertAlign w:val="superscript"/>
        </w:rPr>
      </w:pPr>
    </w:p>
    <w:p>
      <w:pPr>
        <w:ind w:left="660" w:right="320" w:hanging="652"/>
        <w:spacing w:after="0" w:line="229" w:lineRule="auto"/>
        <w:tabs>
          <w:tab w:leader="none" w:pos="65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Excess DCF is retained to establish reserves for debt repayment, future distributions, common unit repurchases, capital expenditures and other partnership purposes.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11 to our Condensed Consolidated Financial Statements for our definition of Segment Adjusted EBITDA and a reconciliation of Segment Adjusted EBITDA to Net income attributable to PAA. See Note 20 to our Consolidated Financial Statements included in Part IV of our 2021 Annual Report on Form 10-K for our definition of maintenance capital.</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primarily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7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1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1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34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6"/>
        </w:trPr>
        <w:tc>
          <w:tcPr>
            <w:tcW w:w="33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unconsolidated entities</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(Gains)/losses from derivative activities and</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6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commitments, net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revaluation</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Significant transaction-related expenses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Adjusted EBITDA attributable to</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33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Crude oil pipeline tariff volumes (by region)</w:t>
            </w:r>
          </w:p>
        </w:tc>
        <w:tc>
          <w:tcPr>
            <w:tcW w:w="14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346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3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 volumes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14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(5)(6)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14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79"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ind w:left="20" w:right="46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54" w:lineRule="exact"/>
        <w:rPr>
          <w:sz w:val="20"/>
          <w:szCs w:val="20"/>
          <w:color w:val="auto"/>
        </w:rPr>
      </w:pPr>
    </w:p>
    <w:p>
      <w:pPr>
        <w:ind w:left="20" w:right="20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monthly capacity in millions of barrels per day calculated as total volumes for the period divided by the number of months in the period.</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Crude Oil Segment Adjusted EBITDA was favorably impacted for the three and nine months ended September 30, 2022 compared to the same periods in 2021 by higher volumes on our pipelines, favorable Canadian crude oil differentials and higher loss allowance revenue. These favorable impacts were offset for the nine months ended September 30, 2022 compared to the nine months ended September 30, 2021 by (i) the monetization of contango hedges that benefited the 2021 period, (ii) the sale of our natural gas storage facilities in August of 2021 (which were reported in our Crude Oil Segment) and (iii) gains related to hedged power costs resulting from Winter Storm Uri recognized in the first quarter of 2021.</w:t>
      </w:r>
    </w:p>
    <w:p>
      <w:pPr>
        <w:spacing w:after="0" w:line="21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and nine months ended September 30, 2022 compared to the same periods in 2021.</w:t>
      </w:r>
    </w:p>
    <w:p>
      <w:pPr>
        <w:spacing w:after="0" w:line="160" w:lineRule="exact"/>
        <w:rPr>
          <w:sz w:val="20"/>
          <w:szCs w:val="20"/>
          <w:color w:val="auto"/>
        </w:rPr>
      </w:pPr>
    </w:p>
    <w:p>
      <w:pPr>
        <w:ind w:left="980" w:right="260" w:hanging="324"/>
        <w:spacing w:after="0" w:line="261" w:lineRule="auto"/>
        <w:tabs>
          <w:tab w:leader="none" w:pos="97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Natural Gas Storage Assets. </w:t>
      </w:r>
      <w:r>
        <w:rPr>
          <w:rFonts w:ascii="Times New Roman" w:cs="Times New Roman" w:eastAsia="Times New Roman" w:hAnsi="Times New Roman"/>
          <w:sz w:val="18"/>
          <w:szCs w:val="18"/>
          <w:color w:val="auto"/>
        </w:rPr>
        <w:t>We sold our natural gas storage facilities in August 2021, impacting the comparison of our results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2022 compared to the nine months ended September 30, 2021. Net revenues from our natural gas storage facilities were approximately $76 million for the nine months ended September 30, 2021, which included the benefit of favorable margins from hub activities related to Winter Storm Uri, as mentioned below.</w:t>
      </w:r>
    </w:p>
    <w:p>
      <w:pPr>
        <w:spacing w:after="0" w:line="206" w:lineRule="exact"/>
        <w:rPr>
          <w:rFonts w:ascii="Times New Roman" w:cs="Times New Roman" w:eastAsia="Times New Roman" w:hAnsi="Times New Roman"/>
          <w:sz w:val="18"/>
          <w:szCs w:val="18"/>
          <w:i w:val="1"/>
          <w:iCs w:val="1"/>
          <w:color w:val="auto"/>
        </w:rPr>
      </w:pPr>
    </w:p>
    <w:p>
      <w:pPr>
        <w:ind w:left="980" w:hanging="324"/>
        <w:spacing w:after="0" w:line="258" w:lineRule="auto"/>
        <w:tabs>
          <w:tab w:leader="none" w:pos="97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Opportunities. </w:t>
      </w:r>
      <w:r>
        <w:rPr>
          <w:rFonts w:ascii="Times New Roman" w:cs="Times New Roman" w:eastAsia="Times New Roman" w:hAnsi="Times New Roman"/>
          <w:sz w:val="18"/>
          <w:szCs w:val="18"/>
          <w:color w:val="auto"/>
        </w:rPr>
        <w:t>Our results for the three months ended September 30, 2022 include the impact of more favorable Canadian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differentials compared to the three months ended September 30, 2021. The nine month period ended September 30, 2022 benefited from favorable Canadian crude oil differentials and the sale of excess linefill in a higher crude oil price environment, however, in comparison to the nine months ended September 30, 2021, these favorable variances were offset by the benefit of the monetization of contango hedges during the nine months ended September 30, 2021.</w:t>
      </w:r>
    </w:p>
    <w:p>
      <w:pPr>
        <w:spacing w:after="0" w:line="210" w:lineRule="exact"/>
        <w:rPr>
          <w:rFonts w:ascii="Times New Roman" w:cs="Times New Roman" w:eastAsia="Times New Roman" w:hAnsi="Times New Roman"/>
          <w:sz w:val="18"/>
          <w:szCs w:val="18"/>
          <w:i w:val="1"/>
          <w:iCs w:val="1"/>
          <w:color w:val="auto"/>
        </w:rPr>
      </w:pPr>
    </w:p>
    <w:p>
      <w:pPr>
        <w:ind w:left="980" w:right="80" w:hanging="324"/>
        <w:spacing w:after="0" w:line="275" w:lineRule="auto"/>
        <w:tabs>
          <w:tab w:leader="none" w:pos="975"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Permian JV. </w:t>
      </w:r>
      <w:r>
        <w:rPr>
          <w:rFonts w:ascii="Times New Roman" w:cs="Times New Roman" w:eastAsia="Times New Roman" w:hAnsi="Times New Roman"/>
          <w:sz w:val="17"/>
          <w:szCs w:val="17"/>
          <w:color w:val="auto"/>
        </w:rPr>
        <w:t>In October of 2021, we closed on the transaction with Oryx Midstream to merge our respective Permian Basin assets,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exception of our long-haul pipeline systems and certain of our intra-basin assets, into the Permian JV. The significant year-over-year growth in our tariff volumes in the Permian Basin region was primarily from the Permian JV assets, largely due to additional volumes from the pipelines contributed by Oryx Midstream as well as increased production and new connections. We deduct the portion of the financial results attributable to Oryx Midstream’s 35% interest in the Permian JV in determining Segment Adjusted EBITDA, which partially offset the favorable impact of the volume growth when comparing Segment Adjusted EBITDA for the first nine months of 2022 compared to 2021.</w:t>
      </w:r>
    </w:p>
    <w:p>
      <w:pPr>
        <w:spacing w:after="0" w:line="195" w:lineRule="exact"/>
        <w:rPr>
          <w:rFonts w:ascii="Times New Roman" w:cs="Times New Roman" w:eastAsia="Times New Roman" w:hAnsi="Times New Roman"/>
          <w:sz w:val="17"/>
          <w:szCs w:val="17"/>
          <w:i w:val="1"/>
          <w:iCs w:val="1"/>
          <w:color w:val="auto"/>
        </w:rPr>
      </w:pPr>
    </w:p>
    <w:p>
      <w:pPr>
        <w:ind w:left="980" w:right="40" w:hanging="324"/>
        <w:spacing w:after="0" w:line="267" w:lineRule="auto"/>
        <w:tabs>
          <w:tab w:leader="none" w:pos="97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Pipeline Projects. </w:t>
      </w:r>
      <w:r>
        <w:rPr>
          <w:rFonts w:ascii="Times New Roman" w:cs="Times New Roman" w:eastAsia="Times New Roman" w:hAnsi="Times New Roman"/>
          <w:sz w:val="18"/>
          <w:szCs w:val="18"/>
          <w:color w:val="auto"/>
        </w:rPr>
        <w:t>The Capline pipeline reversal project and phase two of the Wink to Webster pipeline project have been completed and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placed in service in the first quarter of 2022, which favorably impacted equity earnings in unconsolidated entities and our tariff volumes for the first nine months of 2022.</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60"/>
        <w:spacing w:after="0" w:line="258" w:lineRule="auto"/>
        <w:rPr>
          <w:sz w:val="20"/>
          <w:szCs w:val="20"/>
          <w:color w:val="auto"/>
        </w:rPr>
      </w:pPr>
      <w:r>
        <w:rPr>
          <w:rFonts w:ascii="Times New Roman" w:cs="Times New Roman" w:eastAsia="Times New Roman" w:hAnsi="Times New Roman"/>
          <w:sz w:val="18"/>
          <w:szCs w:val="18"/>
          <w:color w:val="auto"/>
        </w:rPr>
        <w:t>The variance in equity earnings in unconsolidated entities for the nine months ended September 30, 2022 compared to the same period in 2021 was also driven by the unfavorable impact to the prior period of the recognition of our proportionate share of the write-off of costs associated with a capital project canceled during the second quarter of 2021 (which impacted equity earnings in unconsolidated entities but is excluded from Segment Adjusted EBITDA and thus is reflected as an “Adjustment” as “Depreciation and amortization of unconsolidated entities” in the table above).</w:t>
      </w:r>
    </w:p>
    <w:p>
      <w:pPr>
        <w:spacing w:after="0" w:line="208" w:lineRule="exact"/>
        <w:rPr>
          <w:sz w:val="20"/>
          <w:szCs w:val="20"/>
          <w:color w:val="auto"/>
        </w:rPr>
      </w:pPr>
    </w:p>
    <w:p>
      <w:pPr>
        <w:ind w:left="980" w:right="500" w:hanging="324"/>
        <w:spacing w:after="0" w:line="284" w:lineRule="auto"/>
        <w:tabs>
          <w:tab w:leader="none" w:pos="97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Pipeline Loss Allowance Revenue. </w:t>
      </w:r>
      <w:r>
        <w:rPr>
          <w:rFonts w:ascii="Times New Roman" w:cs="Times New Roman" w:eastAsia="Times New Roman" w:hAnsi="Times New Roman"/>
          <w:sz w:val="18"/>
          <w:szCs w:val="18"/>
          <w:color w:val="auto"/>
        </w:rPr>
        <w:t>Pipeline loss allowance revenues increased for the three and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periods in 2021 primarily due to higher prices and volumes during the 2022 periods.</w:t>
      </w:r>
    </w:p>
    <w:p>
      <w:pPr>
        <w:spacing w:after="0" w:line="185" w:lineRule="exact"/>
        <w:rPr>
          <w:rFonts w:ascii="Times New Roman" w:cs="Times New Roman" w:eastAsia="Times New Roman" w:hAnsi="Times New Roman"/>
          <w:sz w:val="18"/>
          <w:szCs w:val="18"/>
          <w:i w:val="1"/>
          <w:iCs w:val="1"/>
          <w:color w:val="auto"/>
        </w:rPr>
      </w:pPr>
    </w:p>
    <w:p>
      <w:pPr>
        <w:ind w:left="980" w:hanging="324"/>
        <w:spacing w:after="0" w:line="267" w:lineRule="auto"/>
        <w:tabs>
          <w:tab w:leader="none" w:pos="97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Winter Storm Uri. </w:t>
      </w:r>
      <w:r>
        <w:rPr>
          <w:rFonts w:ascii="Times New Roman" w:cs="Times New Roman" w:eastAsia="Times New Roman" w:hAnsi="Times New Roman"/>
          <w:sz w:val="18"/>
          <w:szCs w:val="18"/>
          <w:color w:val="auto"/>
        </w:rPr>
        <w:t>During the first quarter of 2021, Winter Storm Uri had a negative impact on our volumes; however, this impact was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200" w:lineRule="exact"/>
        <w:rPr>
          <w:rFonts w:ascii="Times New Roman" w:cs="Times New Roman" w:eastAsia="Times New Roman" w:hAnsi="Times New Roman"/>
          <w:sz w:val="18"/>
          <w:szCs w:val="18"/>
          <w:i w:val="1"/>
          <w:iCs w:val="1"/>
          <w:color w:val="auto"/>
        </w:rPr>
      </w:pPr>
    </w:p>
    <w:p>
      <w:pPr>
        <w:ind w:left="980" w:hanging="324"/>
        <w:spacing w:after="0" w:line="269" w:lineRule="auto"/>
        <w:tabs>
          <w:tab w:leader="none" w:pos="975"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Minimum Volume Commitments. </w:t>
      </w:r>
      <w:r>
        <w:rPr>
          <w:rFonts w:ascii="Times New Roman" w:cs="Times New Roman" w:eastAsia="Times New Roman" w:hAnsi="Times New Roman"/>
          <w:sz w:val="17"/>
          <w:szCs w:val="17"/>
          <w:color w:val="auto"/>
        </w:rPr>
        <w:t>“Deficiencies under minimum volume commitments, net” in the table above is a net adjustment to (i)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Segment Adjusted EBITDA amounts billed to counterparties during the period that are deferred and therefore not reflected in revenues or equity earnings and (ii) exclude from Segment Adjusted EBITDA amounts recognized in revenue and equity earnings during the period that were previously deferred as they were included in Segment Adjusted EBITDA when those amounts were billed. A majority of the variance in “Deficiencies under minimum volume commitments, net” for the three months ended September 30, 2022 compared to the three months ended September 31, 2021 relates to the recognition of previously deferred amounts, which do not have an impact on Segment Adjusted</w:t>
      </w:r>
    </w:p>
    <w:p>
      <w:pPr>
        <w:spacing w:after="0" w:line="1" w:lineRule="exact"/>
        <w:rPr>
          <w:rFonts w:ascii="Times New Roman" w:cs="Times New Roman" w:eastAsia="Times New Roman" w:hAnsi="Times New Roman"/>
          <w:sz w:val="17"/>
          <w:szCs w:val="17"/>
          <w:i w:val="1"/>
          <w:iCs w:val="1"/>
          <w:color w:val="auto"/>
        </w:rPr>
      </w:pPr>
    </w:p>
    <w:p>
      <w:pPr>
        <w:ind w:left="98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EBITDA.</w:t>
      </w:r>
    </w:p>
    <w:p>
      <w:pPr>
        <w:spacing w:after="0" w:line="231" w:lineRule="exact"/>
        <w:rPr>
          <w:rFonts w:ascii="Times New Roman" w:cs="Times New Roman" w:eastAsia="Times New Roman" w:hAnsi="Times New Roman"/>
          <w:sz w:val="17"/>
          <w:szCs w:val="17"/>
          <w:i w:val="1"/>
          <w:iCs w:val="1"/>
          <w:color w:val="auto"/>
        </w:rPr>
      </w:pPr>
    </w:p>
    <w:p>
      <w:pPr>
        <w:ind w:left="980" w:right="40" w:hanging="324"/>
        <w:spacing w:after="0" w:line="25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increase in field operating costs for the three and nine months ended September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2021 was primarily due to (i) incremental operating costs from the Permian JV, (ii) increased utilities as a result of higher volumes, (iii) increased costs resulting from higher third-party trucked volumes and (iv) higher fuel prices, partially offset by (v) the sale of our natural gas storage facilities. For the nine months ended September 30, 2022, the increase compared to 2021 was also attributable to additional estimated costs associated with the Line 901 incident (which impact field operating costs but are excluded from Segment Adjusted EBITDA and thus are reflected as an “Adjustment” in the table above) and the impact of gains related to hedged power costs resulting from Winter Storm Uri recognized in the first quarter of 2021.</w:t>
      </w:r>
    </w:p>
    <w:p>
      <w:pPr>
        <w:spacing w:after="0" w:line="21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General and Administrative Expenses. </w:t>
      </w:r>
      <w:r>
        <w:rPr>
          <w:rFonts w:ascii="Times New Roman" w:cs="Times New Roman" w:eastAsia="Times New Roman" w:hAnsi="Times New Roman"/>
          <w:sz w:val="18"/>
          <w:szCs w:val="18"/>
          <w:color w:val="auto"/>
        </w:rPr>
        <w:t>See the</w:t>
      </w:r>
      <w:r>
        <w:rPr>
          <w:rFonts w:ascii="Times New Roman" w:cs="Times New Roman" w:eastAsia="Times New Roman" w:hAnsi="Times New Roman"/>
          <w:sz w:val="18"/>
          <w:szCs w:val="18"/>
          <w:i w:val="1"/>
          <w:iCs w:val="1"/>
          <w:color w:val="auto"/>
        </w:rPr>
        <w:t xml:space="preserve"> “—Consolidated Results” </w:t>
      </w:r>
      <w:r>
        <w:rPr>
          <w:rFonts w:ascii="Times New Roman" w:cs="Times New Roman" w:eastAsia="Times New Roman" w:hAnsi="Times New Roman"/>
          <w:sz w:val="18"/>
          <w:szCs w:val="18"/>
          <w:color w:val="auto"/>
        </w:rPr>
        <w:t>section above for a discussion of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w:t>
      </w:r>
    </w:p>
    <w:p>
      <w:pPr>
        <w:spacing w:after="0" w:line="185"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Maintenance Capital</w:t>
      </w:r>
      <w:r>
        <w:rPr>
          <w:rFonts w:ascii="Times New Roman" w:cs="Times New Roman" w:eastAsia="Times New Roman" w:hAnsi="Times New Roman"/>
          <w:sz w:val="18"/>
          <w:szCs w:val="18"/>
          <w:color w:val="auto"/>
        </w:rPr>
        <w:t>. The increase in maintenance capital spending for the nine months ended September 30, 2022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2021 was primarily due to ongoing station upgrades, integrity projects and tank maintenance, partially offset by lower costs due to the completion of certain projects.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68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1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1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5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9"/>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5"/>
        </w:trPr>
        <w:tc>
          <w:tcPr>
            <w:tcW w:w="354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40" w:type="dxa"/>
            <w:vAlign w:val="bottom"/>
          </w:tcPr>
          <w:p>
            <w:pPr>
              <w:spacing w:after="0"/>
              <w:rPr>
                <w:sz w:val="15"/>
                <w:szCs w:val="15"/>
                <w:color w:val="auto"/>
              </w:rPr>
            </w:pP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6"/>
        </w:trPr>
        <w:tc>
          <w:tcPr>
            <w:tcW w:w="3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(Gains)/losses from derivative activities and</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10"/>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4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Average Volumes</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4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(4)</w:t>
            </w:r>
          </w:p>
        </w:tc>
        <w:tc>
          <w:tcPr>
            <w:tcW w:w="140" w:type="dxa"/>
            <w:vAlign w:val="bottom"/>
          </w:tcPr>
          <w:p>
            <w:pPr>
              <w:spacing w:after="0"/>
              <w:rPr>
                <w:sz w:val="21"/>
                <w:szCs w:val="21"/>
                <w:color w:val="auto"/>
              </w:rPr>
            </w:pPr>
          </w:p>
        </w:tc>
        <w:tc>
          <w:tcPr>
            <w:tcW w:w="6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fractionation</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pipeline tariff</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sales</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2"/>
        <w:spacing w:after="0"/>
        <w:tabs>
          <w:tab w:leader="none" w:pos="30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left="660" w:right="480" w:hanging="652"/>
        <w:spacing w:after="0" w:line="22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90" w:lineRule="exact"/>
        <w:rPr>
          <w:rFonts w:ascii="Times New Roman" w:cs="Times New Roman" w:eastAsia="Times New Roman" w:hAnsi="Times New Roman"/>
          <w:sz w:val="23"/>
          <w:szCs w:val="23"/>
          <w:color w:val="auto"/>
          <w:vertAlign w:val="superscript"/>
        </w:rPr>
      </w:pPr>
    </w:p>
    <w:p>
      <w:pPr>
        <w:ind w:left="660" w:right="360" w:hanging="652"/>
        <w:spacing w:after="0" w:line="22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daily volumes are calculated as total volumes (attributable to our interest for pipelines and facilities in which we have undivided joint interests)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5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NGL Segment Adjusted EBITDA increased for the three and nine months ended September 30, 2022 compared to the same periods in 2021 primarily due to the favorable impact of higher realized fractionation spreads between the price of natural gas and the extracted NGL (“frac spreads”) and increased NGL mix supply produced at our straddle plants.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pacing w:after="0" w:line="25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from our NGL sales activities, excluding the impact of derivative activities and inventory valuation and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costing adjustments, increased for the three and nine months ended September 30, 2022 compared to the same periods in 2021 primarily due to higher realized frac spreads, increased NGL mix supply produced at our straddle plants and higher ethane prices due to higher utility operating costs at our straddle plants. This was partially offset for the nine months ended September 30, 2022 compared to the nine months ended September 30, 2021 by lower NGL sales volumes during the first half of 2022 due to a reduction in lower margin hub activity. Additionally, net revenues for the nine months ended September 30, 2022 compared to the same period in 2021 include the benefit of our increased ownership in the Empress straddle plants effective June 2021 and higher product gains at certain of our NGL fractionation facilities.</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increase in field operating costs for the three and nine months ended September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2021 was primarily due to increased utilities-related costs associated with (i) our increased ownership in the Empress straddle plants, (ii) higher prices in the 2022 periods, and (iii) a reduction in unrealized mark-to-market gains (which impact our field operating costs but are excluded from Segment Adjusted EBITDA and thus are reflected as an “Adjustment” in the table above). The increase in utilities-related costs was largely offset by the benefit to net revenues of ethane recoveries.</w:t>
      </w:r>
    </w:p>
    <w:p>
      <w:pPr>
        <w:spacing w:after="0" w:line="210"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Maintenance Capital</w:t>
      </w:r>
      <w:r>
        <w:rPr>
          <w:rFonts w:ascii="Times New Roman" w:cs="Times New Roman" w:eastAsia="Times New Roman" w:hAnsi="Times New Roman"/>
          <w:sz w:val="18"/>
          <w:szCs w:val="18"/>
          <w:color w:val="auto"/>
        </w:rPr>
        <w:t>. The increase in maintenance capital spending for the three and nine months ended September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periods in 2021 was primarily due to a turnaround at one of our Empress facilities during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30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spacing w:after="0" w:line="3" w:lineRule="exact"/>
        <w:rPr>
          <w:sz w:val="20"/>
          <w:szCs w:val="20"/>
          <w:color w:val="auto"/>
        </w:rPr>
      </w:pPr>
    </w:p>
    <w:p>
      <w:pPr>
        <w:ind w:right="120" w:firstLine="8"/>
        <w:spacing w:after="0" w:line="253"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we had approximately $3.3 billion of liquidity available to meet our ongoing operating, investing and financing needs, subject to continued covenant compliance, as noted below (in millions):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Availability under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-156210</wp:posOffset>
            </wp:positionV>
            <wp:extent cx="710628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40"/>
        <w:spacing w:after="0" w:line="228" w:lineRule="auto"/>
        <w:rPr>
          <w:sz w:val="20"/>
          <w:szCs w:val="20"/>
          <w:color w:val="auto"/>
        </w:rPr>
      </w:pPr>
      <w:r>
        <w:rPr>
          <w:rFonts w:ascii="Times New Roman" w:cs="Times New Roman" w:eastAsia="Times New Roman" w:hAnsi="Times New Roman"/>
          <w:sz w:val="17"/>
          <w:szCs w:val="17"/>
          <w:color w:val="auto"/>
        </w:rPr>
        <w:t xml:space="preserve">Availability under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0" w:lineRule="exact"/>
        <w:rPr>
          <w:sz w:val="20"/>
          <w:szCs w:val="20"/>
          <w:color w:val="auto"/>
        </w:rPr>
      </w:pPr>
    </w:p>
    <w:p>
      <w:pPr>
        <w:ind w:left="1163" w:hanging="1163"/>
        <w:spacing w:after="0"/>
        <w:tabs>
          <w:tab w:leader="none" w:pos="116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1,321</w:t>
      </w:r>
    </w:p>
    <w:p>
      <w:pPr>
        <w:spacing w:after="0" w:line="38" w:lineRule="exact"/>
        <w:rPr>
          <w:rFonts w:ascii="Times New Roman" w:cs="Times New Roman" w:eastAsia="Times New Roman" w:hAnsi="Times New Roman"/>
          <w:sz w:val="17"/>
          <w:szCs w:val="17"/>
          <w:color w:val="auto"/>
        </w:rPr>
      </w:pPr>
    </w:p>
    <w:p>
      <w:pPr>
        <w:ind w:left="116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1,321</w:t>
      </w:r>
    </w:p>
    <w:p>
      <w:pPr>
        <w:spacing w:after="0" w:line="34" w:lineRule="exact"/>
        <w:rPr>
          <w:rFonts w:ascii="Times New Roman" w:cs="Times New Roman" w:eastAsia="Times New Roman" w:hAnsi="Times New Roman"/>
          <w:sz w:val="17"/>
          <w:szCs w:val="17"/>
          <w:color w:val="auto"/>
        </w:rPr>
      </w:pPr>
    </w:p>
    <w:p>
      <w:pPr>
        <w:ind w:left="138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2" w:lineRule="exact"/>
        <w:rPr>
          <w:sz w:val="20"/>
          <w:szCs w:val="20"/>
          <w:color w:val="auto"/>
        </w:rPr>
      </w:pPr>
    </w:p>
    <w:p>
      <w:pPr>
        <w:sectPr>
          <w:pgSz w:w="11900" w:h="16838" w:orient="portrait"/>
          <w:cols w:equalWidth="0" w:num="2">
            <w:col w:w="8857" w:space="720"/>
            <w:col w:w="1643"/>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30"/>
        </w:trPr>
        <w:tc>
          <w:tcPr>
            <w:tcW w:w="40" w:type="dxa"/>
            <w:vAlign w:val="bottom"/>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4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our commercial paper program, which reduce available capacity under the facilities.</w:t>
      </w:r>
    </w:p>
    <w:p>
      <w:pPr>
        <w:spacing w:after="0" w:line="54" w:lineRule="exact"/>
        <w:rPr>
          <w:sz w:val="20"/>
          <w:szCs w:val="20"/>
          <w:color w:val="auto"/>
        </w:rPr>
      </w:pPr>
    </w:p>
    <w:p>
      <w:pPr>
        <w:ind w:right="22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our senior unsecured revolving credit facility and senior secured hedged inventory facility was reduced by outstanding letters of credit of $29 million and $29 million, respectively.</w:t>
      </w:r>
    </w:p>
    <w:p>
      <w:pPr>
        <w:spacing w:after="0" w:line="189" w:lineRule="exact"/>
        <w:rPr>
          <w:sz w:val="20"/>
          <w:szCs w:val="20"/>
          <w:color w:val="auto"/>
        </w:rPr>
      </w:pPr>
    </w:p>
    <w:p>
      <w:pPr>
        <w:sectPr>
          <w:pgSz w:w="11900" w:h="16838" w:orient="portrait"/>
          <w:cols w:equalWidth="0" w:num="2">
            <w:col w:w="140" w:space="520"/>
            <w:col w:w="10560"/>
          </w:cols>
          <w:pgMar w:left="320" w:top="121" w:right="359" w:bottom="1440" w:gutter="0" w:footer="0" w:header="0"/>
          <w:type w:val="continuous"/>
        </w:sect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August 2022, we amended our credit facility agreements to, among other things, extend the maturity dates of our senior secured hedged inventory facility and senior unsecured revolving credit facility by one year to August 2025 and August 2027, respectively.</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Additionally, lack of compliance with the provisions in our credit agreements may restrict our ability to make distributions of available cash. We were in compliance with the covenants contained in our credit agreements and indentures as of September 30, 2022.</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2021 Annual Report on Form 10-K for further discussion regarding risks that may impact our liquidity and capital resources.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Measures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liquidity measures Free Cash Flow and Free Cash Flow 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from Net Cash Provided by Operating Activities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176"/>
        </w:trPr>
        <w:tc>
          <w:tcPr>
            <w:tcW w:w="5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free cash</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9"/>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flow:</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4"/>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29"/>
        </w:trPr>
        <w:tc>
          <w:tcPr>
            <w:tcW w:w="58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(2)</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 after Distributions</w:t>
            </w:r>
          </w:p>
        </w:tc>
        <w:tc>
          <w:tcPr>
            <w:tcW w:w="8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1"/>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2021 Annual Report on Form 10-K.</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first nine months of 2022 and 2021 was $2.074 billion and $1.361 billion, respectively, and primarily resulted from earnings from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capital</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jc w:val="both"/>
        <w:ind w:right="26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68" w:lineRule="exact"/>
        <w:rPr>
          <w:sz w:val="20"/>
          <w:szCs w:val="20"/>
          <w:color w:val="auto"/>
        </w:rPr>
      </w:pPr>
    </w:p>
    <w:p>
      <w:pPr>
        <w:jc w:val="both"/>
        <w:ind w:right="240" w:hanging="11"/>
        <w:spacing w:after="0" w:line="282" w:lineRule="auto"/>
        <w:rPr>
          <w:sz w:val="20"/>
          <w:szCs w:val="20"/>
          <w:color w:val="auto"/>
        </w:rPr>
      </w:pPr>
      <w:r>
        <w:rPr>
          <w:rFonts w:ascii="Times New Roman" w:cs="Times New Roman" w:eastAsia="Times New Roman" w:hAnsi="Times New Roman"/>
          <w:sz w:val="18"/>
          <w:szCs w:val="18"/>
          <w:color w:val="auto"/>
        </w:rPr>
        <w:t>Includes contributions to unconsolidated entities, accounted for under the equity method of accounting, related to investment capital projects by such entities.</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2022 Investment and Maintenance Capital. </w:t>
      </w:r>
      <w:r>
        <w:rPr>
          <w:rFonts w:ascii="Times New Roman" w:cs="Times New Roman" w:eastAsia="Times New Roman" w:hAnsi="Times New Roman"/>
          <w:sz w:val="18"/>
          <w:szCs w:val="18"/>
          <w:color w:val="auto"/>
        </w:rPr>
        <w:t>Total investment capital for the year ended December 31, 2022 is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$330 million ($275 million net to our interest). Approximately half of our projected investment capital expenditures are expected to be invested in the Permian JV assets. Additionally, maintenance capital for the full year of 2022 is projected to be $220 million ($210 million net to our interest). We expect to fund our 2022 investment and maintenance capital expenditures primarily with retained cash flow.</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assets have generally been used to fund our investment capital projects and reduce debt levels. The following table summarizes the proceeds received during the first nine months of 2022 and 2021 from sales of assets (in millions):</w:t>
      </w:r>
    </w:p>
    <w:p>
      <w:pPr>
        <w:spacing w:after="0" w:line="223"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4"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Times New Roman" w:cs="Times New Roman" w:eastAsia="Times New Roman" w:hAnsi="Times New Roman"/>
          <w:sz w:val="18"/>
          <w:szCs w:val="18"/>
          <w:color w:val="auto"/>
        </w:rPr>
        <w:t xml:space="preserve">Proceeds from divestitures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w:t>
        <w:tab/>
        <w:t>$</w:t>
      </w:r>
      <w:r>
        <w:rPr>
          <w:sz w:val="20"/>
          <w:szCs w:val="20"/>
          <w:color w:val="auto"/>
        </w:rPr>
        <w:tab/>
      </w:r>
      <w:r>
        <w:rPr>
          <w:rFonts w:ascii="Times New Roman" w:cs="Times New Roman" w:eastAsia="Times New Roman" w:hAnsi="Times New Roman"/>
          <w:sz w:val="17"/>
          <w:szCs w:val="17"/>
          <w:color w:val="auto"/>
        </w:rPr>
        <w:t>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9"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proceeds, including working capital adjustments, net of transaction costs.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21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and acquisitions involve risks that may adversely affect our business” included in our 2021 Annual Report on Form 10-K.</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November 2, 2022, we completed a transaction to purchase an additional 5% interest in Cactus II Pipeline LLC (“Cactus II”) for approximately $88 million. Subsequent to the transaction, we own a 70% interest in Cactus II and as a result of certain amended governance provisions, we have obtained control over this entity. As a result, we will consolidate Cactus II at fair value at the date of acquisition and amendment, further resulting in a gain being recorded because of our remeasurement of our previously held equity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Repayment of Senior Notes</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On March 1, 2022, we redeemed our 3.65%, $750 million senior notes due June 2022. We utilized cash on hand and borrowings under our commercial paper program to repay these senior notes.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repurchased 7.3 million and 11.9 million common units under the Program through open market purchases that settled during the nine months ended September 30, 2022 and 2021, respectively, for a total purchase price of $74 million and $117 million, respectively, including commissions and fees. At September 30, 2022, the remaining available capacity under the Program was $198 million.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periodically access the capital markets for both equity and debt financing. We have filed with the SEC a universal shelf registration statement that, subject to effectiveness at the time of use, allows us to issue, in the aggregate, up to a specified amount of debt or equity securities (“Traditional Shelf”), under which we had approximately $1.1 billion of unsold securities available at September 30, 2022.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nine months ended September 30, 2022.</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included in our 2021 Annual Report on Form 10-K for additional discussion.</w:t>
      </w:r>
    </w:p>
    <w:p>
      <w:pPr>
        <w:spacing w:after="0" w:line="21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we will pay a quarterly cash distribution of $0.2175 per common unit ($0.87 per unit on an annualized basis) to common unitholders of record at the close of business on October 31, 2022 for the period from July 1, 2022 through September 30, 2022, which is unchanged from the distribution per unit paid in August of 2022.</w:t>
      </w:r>
    </w:p>
    <w:p>
      <w:pPr>
        <w:spacing w:after="0" w:line="2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See Note 7 to our Condensed Consolidated Financial Statements for details of distributions paid during or pertaining to the first nine months of 2022, including distributions to our preferred unitholders.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Allocation Framework Update</w:t>
      </w:r>
    </w:p>
    <w:p>
      <w:pPr>
        <w:spacing w:after="0" w:line="25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On November 2, 2022, we provided updates to our capital allocation framework and announced our intention to recommend to the Board of Directors a $0.20 per unit (annualized) increase to our distribution payable to holders of our common units with respect to the fourth quarter of 2022. If approved and declared by the Board of Directors, such increased distribution would be paid in February 2023.</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September 30, 2022, noncontrolling interests in our subsidiaries consisted of (i) a 35% interest in the Permian JV and (ii) a 33% interest in Red River LLC. See Note 7 to our Condensed Consolidated Financial Statements for details of distributions paid to noncontrolling interests during the nine months ended 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10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well as other amounts due under the specified contractual obligations as of September 30, 2022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2027 and</w:t>
            </w:r>
          </w:p>
        </w:tc>
        <w:tc>
          <w:tcPr>
            <w:tcW w:w="22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21,129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19,951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18,678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54,686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139,228</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120" w:hanging="652"/>
        <w:spacing w:after="0" w:line="235" w:lineRule="auto"/>
        <w:tabs>
          <w:tab w:leader="none" w:pos="64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September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Additionally, we issue letters of credit to support insurance programs, derivative transactions, including hedging-related margin obligations, and construction activities. At September 30, 2022 and December 31, 2021, we had outstanding letters of credit of approximately $58 million and $98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jc w:val="both"/>
        <w:ind w:left="980" w:right="400" w:hanging="324"/>
        <w:spacing w:after="0" w:line="281" w:lineRule="auto"/>
        <w:tabs>
          <w:tab w:leader="none" w:pos="9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6" w:lineRule="exact"/>
        <w:rPr>
          <w:rFonts w:ascii="Times New Roman" w:cs="Times New Roman" w:eastAsia="Times New Roman" w:hAnsi="Times New Roman"/>
          <w:sz w:val="17"/>
          <w:szCs w:val="17"/>
          <w:color w:val="auto"/>
        </w:rPr>
      </w:pPr>
    </w:p>
    <w:p>
      <w:pPr>
        <w:ind w:left="980" w:right="60" w:hanging="324"/>
        <w:spacing w:after="0" w:line="25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40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divestitures, joint ventures, acquisitions or other strategic opportunities;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117"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2021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1300" w:right="38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200"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rFonts w:ascii="Times New Roman" w:cs="Times New Roman" w:eastAsia="Times New Roman" w:hAnsi="Times New Roman"/>
          <w:sz w:val="18"/>
          <w:szCs w:val="18"/>
          <w:i w:val="1"/>
          <w:iCs w:val="1"/>
          <w:color w:val="auto"/>
        </w:rPr>
      </w:pPr>
    </w:p>
    <w:p>
      <w:pPr>
        <w:ind w:left="1300" w:right="3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77"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NGL and other</w:t>
      </w:r>
    </w:p>
    <w:p>
      <w:pPr>
        <w:spacing w:after="0" w:line="227" w:lineRule="exact"/>
        <w:rPr>
          <w:rFonts w:ascii="Times New Roman" w:cs="Times New Roman" w:eastAsia="Times New Roman" w:hAnsi="Times New Roman"/>
          <w:sz w:val="18"/>
          <w:szCs w:val="18"/>
          <w:color w:val="auto"/>
        </w:rPr>
      </w:pPr>
    </w:p>
    <w:p>
      <w:pPr>
        <w:ind w:left="1300" w:right="2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to our Condensed Consolidated Financial Statements for further discussion regarding our hedging strategies and objectives.</w:t>
      </w:r>
    </w:p>
    <w:p>
      <w:pPr>
        <w:spacing w:after="0" w:line="25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September 30, 2022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837"/>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September 30, 2022. The average interest rate on variable rate debt that was outstanding during the nine months ended September 30, 2022 was 1.3%, based upon rates in effect during such period. The fair value of our interest rate derivatives was a net asset of $113 million as of September 30, 2022. A 10% increase in the forward LIBOR curve as of September 30, 2022 would have resulted in an increase of $17 million to the fair value of our interest rate derivatives. A 10% decrease in the forward LIBOR curve as of September 30, 2022 would have resulted in a decrease of $17 million to the fair value of our interest rate derivatives. See Note 8 to our Condensed Consolidated Financial Statements for a discussion of our interest rate risk hedging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Distribution Rate Reset Option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Preferred Distribution Rate Reset Option of our Series A preferred units is an embedded derivative that must be bifurcated from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 contract, our partnership agreement, and recorded at fair value in our Condensed Consolidated Balance Sheets. The valuation model utilized for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derivative contains inputs including our common unit price, ten-year United States treasury rates, default probabilities and timing estimates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ultimately calculate the fair value of our Series A preferred units with and without the Preferred Distribution Rate Reset Option. The fair value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derivative was a liability of $196 million as of September 30, 2022. The ten-year U.S. Treasury rate as of September 30, 2022 was 3.83%.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the ten-year U.S. Treasury rate curve of 10%, holding other inputs constant, would result in an increase in both expense and our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million. A decrease in the ten-year U.S. Treasury rate curve of 10%, holding other inputs constant, would result in a decrease in both expense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$31 million. See Note 8 to our Condensed Consolidated Financial Statements for a discussion of embedded derivatives.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2022,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10 to our Condensed Consolidated Financial Statements,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September 30, 2022, we issued 35,715 common units to AAP in connection with PAGP LTIP award vestings. This issuance was exempt from the registration requirements of the Securities Act of 1933, as amended, pursuant to Section 4(a)(2) thereof.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2" w:lineRule="exact"/>
        <w:rPr>
          <w:sz w:val="20"/>
          <w:szCs w:val="20"/>
          <w:color w:val="auto"/>
        </w:rPr>
      </w:pPr>
    </w:p>
    <w:p>
      <w:pPr>
        <w:ind w:left="48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78">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760"/>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2017 (incorporated by reference to Exhibit 3.1 to our Current Report on Form 8-K filed October 12, 2017).</w:t>
        </w:r>
      </w:hyperlink>
    </w:p>
    <w:p>
      <w:pPr>
        <w:spacing w:after="0" w:line="124" w:lineRule="exact"/>
        <w:rPr>
          <w:sz w:val="20"/>
          <w:szCs w:val="20"/>
          <w:color w:val="auto"/>
        </w:rPr>
      </w:pPr>
    </w:p>
    <w:p>
      <w:pPr>
        <w:ind w:left="1380" w:right="6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FF"/>
          </w:rPr>
          <w:t>Third Amended and Restated Agreement of Limited Partnership of Plains Marketing, L.P. dated as of April 1, 2004 (incorporated</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FF"/>
          </w:rPr>
          <w:t>by reference to Exhibit 3.2 to our Quarterly Report on Form 10-Q for the quarter ended March 31, 2004).</w:t>
        </w:r>
      </w:hyperlink>
    </w:p>
    <w:p>
      <w:pPr>
        <w:spacing w:after="0" w:line="118"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FF"/>
          </w:rPr>
          <w:t>Amendment No. 1 dated December 31, 2010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FF"/>
          </w:rPr>
          <w:t>Marketing, L.P. (incorporated by reference to Exhibit 3.9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1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FF"/>
          </w:rPr>
          <w:t>Amendment No. 2 dated January 1,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FF"/>
          </w:rPr>
          <w:t>Marketing,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FF"/>
          </w:rPr>
          <w:t>Amendment No. 3 dated June 30,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2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FF"/>
          </w:rPr>
          <w:t>Amendment No. 4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FF"/>
          </w:rPr>
          <w:t>Marketing, L.P (incorporated by reference to Exhibit 3.8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1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Amendment No. 5 dated December 1, 2019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2019).</w:t>
        </w:r>
      </w:hyperlink>
    </w:p>
    <w:p>
      <w:pPr>
        <w:spacing w:after="0" w:line="111" w:lineRule="exact"/>
        <w:rPr>
          <w:sz w:val="20"/>
          <w:szCs w:val="20"/>
          <w:color w:val="auto"/>
        </w:rPr>
      </w:pPr>
    </w:p>
    <w:p>
      <w:pPr>
        <w:ind w:left="138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Third Amended and Restated Agreement of Limited Partnership of Plains Pipeline, L.P. dated as of April 1, 2004 (incorporated by</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reference to Exhibit 3.3 to our Quarterly Report on Form 10-Q for the quarter ended March 31, 2004).</w:t>
        </w:r>
      </w:hyperlink>
    </w:p>
    <w:p>
      <w:pPr>
        <w:spacing w:after="0" w:line="118" w:lineRule="exact"/>
        <w:rPr>
          <w:sz w:val="20"/>
          <w:szCs w:val="20"/>
          <w:color w:val="auto"/>
        </w:rPr>
      </w:pPr>
    </w:p>
    <w:p>
      <w:pPr>
        <w:ind w:left="1380" w:right="30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FF"/>
          </w:rPr>
          <w:t>Amendment No. 1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FF"/>
          </w:rPr>
          <w:t>Pipeline,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2013).</w:t>
        </w:r>
      </w:hyperlink>
    </w:p>
    <w:p>
      <w:pPr>
        <w:spacing w:after="0" w:line="99"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7">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760"/>
        <w:spacing w:after="0"/>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380" w:right="280" w:hanging="1305"/>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L.P. (incorporated by reference to Exhibit 3.1 to our Current Report on Form 8-K filed October 2, 2018).</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0">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760"/>
        <w:spacing w:after="0"/>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380" w:right="1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Certificate of Incorporation of PAA Finance Corp. (f/k/a Pacific Energy Finance Corporation, successor-by-merger to PAA</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Finance Corp.)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2006).</w:t>
        </w:r>
      </w:hyperlink>
    </w:p>
    <w:p>
      <w:pPr>
        <w:spacing w:after="0" w:line="111" w:lineRule="exact"/>
        <w:rPr>
          <w:sz w:val="20"/>
          <w:szCs w:val="20"/>
          <w:color w:val="auto"/>
        </w:rPr>
      </w:pPr>
    </w:p>
    <w:p>
      <w:pPr>
        <w:jc w:val="right"/>
        <w:ind w:left="440" w:right="80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3.15       —  </w:t>
      </w:r>
      <w:hyperlink r:id="rId92">
        <w:r>
          <w:rPr>
            <w:rFonts w:ascii="Times New Roman" w:cs="Times New Roman" w:eastAsia="Times New Roman" w:hAnsi="Times New Roman"/>
            <w:sz w:val="18"/>
            <w:szCs w:val="18"/>
            <w:u w:val="single" w:color="auto"/>
            <w:color w:val="0000FF"/>
          </w:rPr>
          <w:t>Bylaws of PAA Finance Corp. (f/k/a Pacific Energy Finance Corporation, successor-by-merger to PAA Finance Corp.)</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(incorporated by reference to Exhibit 3.11 to our Annual Report on Form 10-K for the year ended December 31, 2006).</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 our</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Current Report on Form 8-K filed January 4, 2008).</w:t>
        </w:r>
      </w:hyperlink>
    </w:p>
    <w:p>
      <w:pPr>
        <w:spacing w:after="0" w:line="118" w:lineRule="exact"/>
        <w:rPr>
          <w:sz w:val="20"/>
          <w:szCs w:val="20"/>
          <w:color w:val="auto"/>
        </w:rPr>
      </w:pPr>
    </w:p>
    <w:p>
      <w:pPr>
        <w:ind w:left="1380" w:right="2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PAGP’s Registration</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380" w:right="6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Second Amended and Restated Agreement of Limited Partnership of Plains GP Holdings, L.P. dated November 15, 2016</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(incorporated by reference to Exhibit 3.2 to PAGP’s Current Report on Form 8-K filed November 21, 2016).</w:t>
        </w:r>
      </w:hyperlink>
    </w:p>
    <w:p>
      <w:pPr>
        <w:spacing w:after="0" w:line="118" w:lineRule="exact"/>
        <w:rPr>
          <w:sz w:val="20"/>
          <w:szCs w:val="20"/>
          <w:color w:val="auto"/>
        </w:rPr>
      </w:pPr>
    </w:p>
    <w:p>
      <w:pPr>
        <w:ind w:left="1380" w:right="40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Holdings, L.P. (incorporated by reference to Exhibit 3.1 to PAGP’s Current Report on Form 8-K filed April 9, 2020).</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Certificate of Formation of PAA GP Holdings LLC (incorporated by reference to Exhibit 3.3 to PAGP’s Registration Statement on</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9">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760"/>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2021 (incorporated by reference to Exhibit 3.21 to our Annual Report on Form 10-K for the year ended December 31, 2021).</w:t>
        </w:r>
      </w:hyperlink>
    </w:p>
    <w:p>
      <w:pPr>
        <w:spacing w:after="0" w:line="124"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Association, as trustee (incorporated by reference to Exhibit 4.1 to our Quarterly Report on Form 10-Q for the quarter ended</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119"/>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as trustee (incorporated by reference to Exhibit 4.1 to our Current Report on Form 8-K filed May 12, 2006).</w:t>
        </w:r>
      </w:hyperlink>
    </w:p>
    <w:p>
      <w:pPr>
        <w:spacing w:after="0" w:line="111" w:lineRule="exact"/>
        <w:rPr>
          <w:sz w:val="20"/>
          <w:szCs w:val="20"/>
          <w:color w:val="auto"/>
        </w:rPr>
      </w:pPr>
    </w:p>
    <w:p>
      <w:pPr>
        <w:ind w:left="1380" w:right="1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trustee (incorporated by reference to Exhibit 4.2 to our Current Report on Form 8-K filed October 30, 2006).</w:t>
        </w:r>
      </w:hyperlink>
    </w:p>
    <w:p>
      <w:pPr>
        <w:spacing w:after="0" w:line="111"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our Current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380" w:right="40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Twenty-Second Supplemental Indenture (2.85% Senior Notes due 2023) dated December 10, 2012, by and among Plains All</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Exhibit 4.1 to our Current Report on Form 8-K filed December 12, 2012).</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Exhibit 4.3 to our Current Report on Form 8-K filed December 12, 2012).</w:t>
        </w:r>
      </w:hyperlink>
    </w:p>
    <w:p>
      <w:pPr>
        <w:spacing w:after="0" w:line="111" w:lineRule="exact"/>
        <w:rPr>
          <w:sz w:val="20"/>
          <w:szCs w:val="20"/>
          <w:color w:val="auto"/>
        </w:rPr>
      </w:pPr>
    </w:p>
    <w:p>
      <w:pPr>
        <w:jc w:val="right"/>
        <w:ind w:left="480" w:right="6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  </w:t>
      </w:r>
      <w:hyperlink r:id="rId106">
        <w:r>
          <w:rPr>
            <w:rFonts w:ascii="Times New Roman" w:cs="Times New Roman" w:eastAsia="Times New Roman" w:hAnsi="Times New Roman"/>
            <w:sz w:val="18"/>
            <w:szCs w:val="18"/>
            <w:u w:val="single" w:color="auto"/>
            <w:color w:val="0000FF"/>
          </w:rPr>
          <w:t>Twenty-Fourth Supplemental Indenture (3.85% Senior Notes due 2023) dated August 15, 2013, by and among Plains All</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Exhibit 4.1 to our Current Report on Form 8-K filed August 15, 2013).</w:t>
        </w:r>
      </w:hyperlink>
    </w:p>
    <w:p>
      <w:pPr>
        <w:spacing w:after="0" w:line="111" w:lineRule="exact"/>
        <w:rPr>
          <w:sz w:val="20"/>
          <w:szCs w:val="20"/>
          <w:color w:val="auto"/>
        </w:rPr>
      </w:pPr>
    </w:p>
    <w:p>
      <w:pPr>
        <w:ind w:left="1380" w:right="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u w:val="single" w:color="auto"/>
            <w:color w:val="0000FF"/>
          </w:rPr>
          <w:t>Current Report on Form 8-K filed April 29, 2014)</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jc w:val="right"/>
        <w:ind w:left="480" w:right="6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4.9       —  </w:t>
      </w:r>
      <w:hyperlink r:id="rId108">
        <w:r>
          <w:rPr>
            <w:rFonts w:ascii="Times New Roman" w:cs="Times New Roman" w:eastAsia="Times New Roman" w:hAnsi="Times New Roman"/>
            <w:sz w:val="18"/>
            <w:szCs w:val="18"/>
            <w:u w:val="single" w:color="auto"/>
            <w:color w:val="0000FF"/>
          </w:rPr>
          <w:t>Twenty-Sixth Supplemental Indenture (3.60% Senior Notes due 2024) dated September 9, 2014, by and among Plains All</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Exhibit 4.1 to our Current Report on Form 8-K filed September 11, 2014).</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5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380" w:right="40" w:hanging="1305"/>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 American</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Current Report on Form 8-K filed August 26, 2015).</w:t>
        </w:r>
      </w:hyperlink>
    </w:p>
    <w:p>
      <w:pPr>
        <w:spacing w:after="0" w:line="111" w:lineRule="exact"/>
        <w:rPr>
          <w:sz w:val="20"/>
          <w:szCs w:val="20"/>
          <w:color w:val="auto"/>
        </w:rPr>
      </w:pPr>
    </w:p>
    <w:p>
      <w:pPr>
        <w:ind w:left="1380" w:right="10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u w:val="single" w:color="auto"/>
            <w:color w:val="0000FF"/>
          </w:rPr>
          <w:t>Current Report on Form 8-K filed November 29, 2016)</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ind w:left="1380" w:right="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Thirty-First Supplemental Indenture (3.55% Senior Notes due 2029) dated September 16, 2019, by and among Plains All</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 Exhibit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4.1 to our Current Report on Form 8-K filed September 17, 2019).</w:t>
        </w:r>
      </w:hyperlink>
    </w:p>
    <w:p>
      <w:pPr>
        <w:spacing w:after="0" w:line="111" w:lineRule="exact"/>
        <w:rPr>
          <w:sz w:val="20"/>
          <w:szCs w:val="20"/>
          <w:color w:val="auto"/>
        </w:rPr>
      </w:pPr>
    </w:p>
    <w:p>
      <w:pPr>
        <w:ind w:left="1380" w:right="10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Thirty-Second Supplemental Indenture (3.80% Senior Notes due 2030) dated June 11, 2020, by and among Plains All American</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Current Report on Form 8-K filed June 11, 2020).</w:t>
        </w:r>
      </w:hyperlink>
    </w:p>
    <w:p>
      <w:pPr>
        <w:spacing w:after="0" w:line="111" w:lineRule="exact"/>
        <w:rPr>
          <w:sz w:val="20"/>
          <w:szCs w:val="20"/>
          <w:color w:val="auto"/>
        </w:rPr>
      </w:pPr>
    </w:p>
    <w:p>
      <w:pPr>
        <w:ind w:left="1380" w:right="4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Registration Rights Agreement dated September 3, 2009 by and between Plains All American Pipeline, L.P. and Vulcan Gas</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Storage LLC (incorporated by reference to Exhibit 4.1 to our Registration Statement on Form S-3, File No. 333-162477).</w:t>
        </w:r>
      </w:hyperlink>
    </w:p>
    <w:p>
      <w:pPr>
        <w:spacing w:after="0" w:line="118" w:lineRule="exact"/>
        <w:rPr>
          <w:sz w:val="20"/>
          <w:szCs w:val="20"/>
          <w:color w:val="auto"/>
        </w:rPr>
      </w:pPr>
    </w:p>
    <w:p>
      <w:pPr>
        <w:ind w:left="1380" w:right="1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Registration Rights Agreement dated as of January 28, 2016 among Plains All American Pipeline, L.P. and the Purchasers named</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therein (incorporated by reference to Exhibit 4.1 to our Current Report on Form 8-K filed February 2, 2016).</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17">
        <w:r>
          <w:rPr>
            <w:rFonts w:ascii="Times New Roman" w:cs="Times New Roman" w:eastAsia="Times New Roman" w:hAnsi="Times New Roman"/>
            <w:sz w:val="17"/>
            <w:szCs w:val="17"/>
            <w:u w:val="single" w:color="auto"/>
            <w:color w:val="0000FF"/>
          </w:rPr>
          <w:t>Registration Rights Agreement by and among Plains All American Pipeline, L.P. and the Holders defined therein, dated November</w:t>
        </w:r>
      </w:hyperlink>
    </w:p>
    <w:p>
      <w:pPr>
        <w:ind w:left="176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15, 2016 (incorporated by reference to Exhibit 10.4 to our Current Report on Form 8-K filed November 21, 2016).</w:t>
        </w:r>
      </w:hyperlink>
    </w:p>
    <w:p>
      <w:pPr>
        <w:spacing w:after="0" w:line="124" w:lineRule="exact"/>
        <w:rPr>
          <w:sz w:val="20"/>
          <w:szCs w:val="20"/>
          <w:color w:val="auto"/>
        </w:rPr>
      </w:pPr>
    </w:p>
    <w:p>
      <w:pPr>
        <w:ind w:left="1380" w:right="24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Description of Our Securities (incorporated by reference to Exhibit 4.19 to our Annual Report on Form 10-K for the year ended</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December 31, 2021).</w:t>
        </w:r>
      </w:hyperlink>
    </w:p>
    <w:p>
      <w:pPr>
        <w:spacing w:after="0" w:line="118" w:lineRule="exact"/>
        <w:rPr>
          <w:sz w:val="20"/>
          <w:szCs w:val="20"/>
          <w:color w:val="auto"/>
        </w:rPr>
      </w:pPr>
    </w:p>
    <w:p>
      <w:pPr>
        <w:ind w:left="1380" w:right="480" w:hanging="1354"/>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Form of Amended and Restated Special Retention LTIP Grant Letter Dated February 24, 2022 (incorporated by reference to</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Exhibit 10.1 to our Quarterly Report on Form 10-Q for the quarter ended March 31, 2022).</w:t>
        </w:r>
      </w:hyperlink>
    </w:p>
    <w:p>
      <w:pPr>
        <w:spacing w:after="0" w:line="118" w:lineRule="exact"/>
        <w:rPr>
          <w:sz w:val="20"/>
          <w:szCs w:val="20"/>
          <w:color w:val="auto"/>
        </w:rPr>
      </w:pPr>
    </w:p>
    <w:p>
      <w:pPr>
        <w:ind w:left="1380" w:right="10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First Amendment to Credit Agreement dated as of August 22, 2022, among Plains All American Pipeline, L.P. and Plains</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Midstream Canada ULC, as Borrowers; certain subsidiaries of Plains All American Pipeline, L.P. from time to time party thereto,</w:t>
        </w:r>
      </w:hyperlink>
    </w:p>
    <w:p>
      <w:pPr>
        <w:spacing w:after="0" w:line="2" w:lineRule="exact"/>
        <w:rPr>
          <w:sz w:val="20"/>
          <w:szCs w:val="20"/>
          <w:color w:val="auto"/>
        </w:rPr>
      </w:pPr>
    </w:p>
    <w:p>
      <w:pPr>
        <w:ind w:left="1760" w:right="180"/>
        <w:spacing w:after="0" w:line="218"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as Designated Borrowers; Bank of America, N.A., as Administrative Agent and Swing Line Lender; Bank of America, N.A.,</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Citibank, N.A., JPMorgan Chase Bank, N.A. and Wells Fargo Bank, National Association, as L/C Issuers; and the other Lenders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party thereto (incorporated by reference to Exhibit 10.1 to our Current Report on Form 8-K filed August 25, 2022).</w:t>
        </w:r>
      </w:hyperlink>
    </w:p>
    <w:p>
      <w:pPr>
        <w:spacing w:after="0" w:line="118" w:lineRule="exact"/>
        <w:rPr>
          <w:rFonts w:ascii="Times New Roman" w:cs="Times New Roman" w:eastAsia="Times New Roman" w:hAnsi="Times New Roman"/>
          <w:sz w:val="18"/>
          <w:szCs w:val="18"/>
          <w:u w:val="single" w:color="auto"/>
          <w:color w:val="0000FF"/>
        </w:rPr>
      </w:pPr>
    </w:p>
    <w:p>
      <w:pPr>
        <w:ind w:left="1380" w:right="10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First Amendment to Fourth Amended and Restated Credit Agreement dated as of August 22, 2022, among Plains Marketing, L.P.</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and Plains Midstream Canada ULC, as Borrowers; Plains All American Pipeline, L.P., as guarantor; Bank of America, N.A., as</w:t>
        </w:r>
      </w:hyperlink>
    </w:p>
    <w:p>
      <w:pPr>
        <w:spacing w:after="0" w:line="2" w:lineRule="exact"/>
        <w:rPr>
          <w:sz w:val="20"/>
          <w:szCs w:val="20"/>
          <w:color w:val="auto"/>
        </w:rPr>
      </w:pPr>
    </w:p>
    <w:p>
      <w:pPr>
        <w:jc w:val="both"/>
        <w:ind w:left="1760" w:right="180"/>
        <w:spacing w:after="0" w:line="218"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Administrative Agent and Swing Line Lender; Bank of America, N.A., Citibank, N.A., JPMorgan Chase Bank, N.A. and Wells</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Fargo Bank, National Association, as L/C Issuers; and the other Lenders party thereto (incorporated by reference to Exhibit 10.2</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to our Current Report on Form 8-K filed August 25, 2022).</w:t>
        </w:r>
      </w:hyperlink>
    </w:p>
    <w:p>
      <w:pPr>
        <w:spacing w:after="0" w:line="118" w:lineRule="exact"/>
        <w:rPr>
          <w:rFonts w:ascii="Times New Roman" w:cs="Times New Roman" w:eastAsia="Times New Roman" w:hAnsi="Times New Roman"/>
          <w:sz w:val="18"/>
          <w:szCs w:val="18"/>
          <w:u w:val="single" w:color="auto"/>
          <w:color w:val="0000FF"/>
        </w:rPr>
      </w:pPr>
    </w:p>
    <w:p>
      <w:pPr>
        <w:ind w:left="34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Form of LTIP Grant Letter dated August 18, 2022 (Named Executive Officers).</w:t>
      </w:r>
    </w:p>
    <w:p>
      <w:pPr>
        <w:spacing w:after="0" w:line="131" w:lineRule="exact"/>
        <w:rPr>
          <w:rFonts w:ascii="Times New Roman" w:cs="Times New Roman" w:eastAsia="Times New Roman" w:hAnsi="Times New Roman"/>
          <w:sz w:val="18"/>
          <w:szCs w:val="18"/>
          <w:u w:val="single" w:color="auto"/>
          <w:color w:val="0000FF"/>
        </w:rPr>
      </w:pPr>
    </w:p>
    <w:p>
      <w:pPr>
        <w:ind w:left="34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10.5*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Form of LTIP Grant Letter dated August 18, 2022 (Directors).</w:t>
      </w:r>
    </w:p>
    <w:p>
      <w:pPr>
        <w:spacing w:after="0" w:line="131" w:lineRule="exact"/>
        <w:rPr>
          <w:rFonts w:ascii="Times New Roman" w:cs="Times New Roman" w:eastAsia="Times New Roman" w:hAnsi="Times New Roman"/>
          <w:sz w:val="18"/>
          <w:szCs w:val="18"/>
          <w:u w:val="single" w:color="auto"/>
          <w:color w:val="0000FF"/>
        </w:rPr>
      </w:pPr>
    </w:p>
    <w:p>
      <w:pPr>
        <w:ind w:left="38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Exchange Act Rules 13a-14(a) and 15d-14(a).</w:t>
      </w:r>
    </w:p>
    <w:p>
      <w:pPr>
        <w:spacing w:after="0" w:line="131" w:lineRule="exact"/>
        <w:rPr>
          <w:rFonts w:ascii="Times New Roman" w:cs="Times New Roman" w:eastAsia="Times New Roman" w:hAnsi="Times New Roman"/>
          <w:sz w:val="18"/>
          <w:szCs w:val="18"/>
          <w:u w:val="single" w:color="auto"/>
          <w:color w:val="0000FF"/>
        </w:rPr>
      </w:pPr>
    </w:p>
    <w:p>
      <w:pPr>
        <w:ind w:left="38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Financial Officer pursuant to Exchange Act Rules 13a-14(a) and 15d-14(a).</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8"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32.1 ††</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32.2 ††</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101.INS†</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101.CAL†</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283"/>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101.LAB†</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101.PRE†</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2022</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2022</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2022</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21" w:right="359" w:bottom="1440" w:gutter="0" w:footer="0" w:header="0"/>
        </w:sectPr>
      </w:pPr>
    </w:p>
    <w:bookmarkStart w:id="62" w:name="page63"/>
    <w:bookmarkEnd w:id="62"/>
    <w:p>
      <w:pPr>
        <w:ind w:left="9900"/>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5715</wp:posOffset>
            </wp:positionV>
            <wp:extent cx="2768600" cy="796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27686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2022 Regular Annual LTIP Grant</w:t>
      </w:r>
    </w:p>
    <w:p>
      <w:pPr>
        <w:jc w:val="right"/>
        <w:spacing w:after="0" w:line="204" w:lineRule="auto"/>
        <w:rPr>
          <w:sz w:val="20"/>
          <w:szCs w:val="20"/>
          <w:color w:val="auto"/>
        </w:rPr>
      </w:pPr>
      <w:r>
        <w:rPr>
          <w:rFonts w:ascii="Times New Roman" w:cs="Times New Roman" w:eastAsia="Times New Roman" w:hAnsi="Times New Roman"/>
          <w:sz w:val="22"/>
          <w:szCs w:val="22"/>
          <w:b w:val="1"/>
          <w:bCs w:val="1"/>
          <w:u w:val="single" w:color="auto"/>
          <w:color w:val="auto"/>
        </w:rPr>
        <w:t>Section 16 Officers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18, 2022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18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«Salutation»: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8" w:lineRule="exact"/>
        <w:rPr>
          <w:sz w:val="20"/>
          <w:szCs w:val="20"/>
          <w:color w:val="auto"/>
        </w:rPr>
      </w:pPr>
    </w:p>
    <w:p>
      <w:pPr>
        <w:jc w:val="both"/>
        <w:ind w:left="1060" w:hanging="404"/>
        <w:spacing w:after="0" w:line="252" w:lineRule="auto"/>
        <w:tabs>
          <w:tab w:leader="none" w:pos="10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ind w:left="1620" w:hanging="316"/>
        <w:spacing w:after="0"/>
        <w:tabs>
          <w:tab w:leader="none" w:pos="16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your Phantom Units (“Tranche 1”) will vest on the August 2025 Distribution Date.</w:t>
      </w:r>
    </w:p>
    <w:p>
      <w:pPr>
        <w:spacing w:after="0" w:line="3" w:lineRule="exact"/>
        <w:rPr>
          <w:rFonts w:ascii="Times New Roman" w:cs="Times New Roman" w:eastAsia="Times New Roman" w:hAnsi="Times New Roman"/>
          <w:sz w:val="22"/>
          <w:szCs w:val="22"/>
          <w:color w:val="auto"/>
        </w:rPr>
      </w:pPr>
    </w:p>
    <w:p>
      <w:pPr>
        <w:ind w:left="1620" w:right="20" w:hanging="316"/>
        <w:spacing w:after="0" w:line="243" w:lineRule="auto"/>
        <w:tabs>
          <w:tab w:leader="none" w:pos="16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2”) will vest pursuant to the terms and conditions described in Exhibit A attached hereto.</w:t>
      </w:r>
    </w:p>
    <w:p>
      <w:pPr>
        <w:ind w:left="1620" w:hanging="316"/>
        <w:spacing w:after="0" w:line="249" w:lineRule="auto"/>
        <w:tabs>
          <w:tab w:leader="none" w:pos="160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3”) will vest pursuant to the terms and conditions described in Exhibit B attached hereto.</w:t>
      </w:r>
    </w:p>
    <w:p>
      <w:pPr>
        <w:spacing w:after="0" w:line="1" w:lineRule="exact"/>
        <w:rPr>
          <w:rFonts w:ascii="Times New Roman" w:cs="Times New Roman" w:eastAsia="Times New Roman" w:hAnsi="Times New Roman"/>
          <w:sz w:val="22"/>
          <w:szCs w:val="22"/>
          <w:color w:val="auto"/>
        </w:rPr>
      </w:pPr>
    </w:p>
    <w:p>
      <w:pPr>
        <w:ind w:left="1620" w:right="20" w:hanging="316"/>
        <w:spacing w:after="0" w:line="248" w:lineRule="auto"/>
        <w:tabs>
          <w:tab w:leader="none" w:pos="16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Tranche 2 or Tranche 3 Phantom Units that are determined not to have vested as of the August 2025 Distribution Date shall expire effective as of such date.</w:t>
      </w:r>
    </w:p>
    <w:p>
      <w:pPr>
        <w:spacing w:after="0" w:line="20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DERs shall vest (become payable in cash) as follows:</w:t>
      </w:r>
    </w:p>
    <w:p>
      <w:pPr>
        <w:spacing w:after="0" w:line="27" w:lineRule="exact"/>
        <w:rPr>
          <w:rFonts w:ascii="Times New Roman" w:cs="Times New Roman" w:eastAsia="Times New Roman" w:hAnsi="Times New Roman"/>
          <w:sz w:val="22"/>
          <w:szCs w:val="22"/>
          <w:color w:val="auto"/>
        </w:rPr>
      </w:pPr>
    </w:p>
    <w:p>
      <w:pPr>
        <w:jc w:val="both"/>
        <w:ind w:left="1620" w:hanging="316"/>
        <w:spacing w:after="0" w:line="249" w:lineRule="auto"/>
        <w:tabs>
          <w:tab w:leader="none" w:pos="160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 1 will begin accruing on the November 2022 Distribution Date and will continue to accrue until the August 2023 Distribution Date, on which date such accrued but unpaid DERs will vest and be paid in a lump sum. Beginning on the November 2023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80"/>
        </w:rPr>
        <w:t>333 Clay Street, Suite 1600 (77002) ■ P.O. Box 4648 ■ Houston, Texas 77210-4648 ■ 713-646-4100</w:t>
      </w:r>
    </w:p>
    <w:p>
      <w:pPr>
        <w:sectPr>
          <w:pgSz w:w="11900" w:h="16838" w:orient="portrait"/>
          <w:cols w:equalWidth="0" w:num="1">
            <w:col w:w="11240"/>
          </w:cols>
          <w:pgMar w:left="320" w:top="9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04" w:lineRule="auto"/>
        <w:rPr>
          <w:sz w:val="20"/>
          <w:szCs w:val="20"/>
          <w:color w:val="auto"/>
        </w:rPr>
      </w:pPr>
      <w:r>
        <w:rPr>
          <w:rFonts w:ascii="Times New Roman" w:cs="Times New Roman" w:eastAsia="Times New Roman" w:hAnsi="Times New Roman"/>
          <w:sz w:val="22"/>
          <w:szCs w:val="22"/>
          <w:color w:val="auto"/>
        </w:rPr>
        <w:t>August 18,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620" w:hanging="316"/>
        <w:spacing w:after="0" w:line="248" w:lineRule="auto"/>
        <w:tabs>
          <w:tab w:leader="none" w:pos="162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Tranches 2 and 3 will begin accruing on the November 2022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2022 Distribution Date. All accrued and unpaid DERs associated with Tranche 2 and Tranche 3 shall be paid on the August 2025 Distribution Date or as soon thereafter as is administratively practicable.</w:t>
      </w:r>
    </w:p>
    <w:p>
      <w:pPr>
        <w:spacing w:after="0" w:line="215" w:lineRule="exact"/>
        <w:rPr>
          <w:rFonts w:ascii="Times New Roman" w:cs="Times New Roman" w:eastAsia="Times New Roman" w:hAnsi="Times New Roman"/>
          <w:sz w:val="22"/>
          <w:szCs w:val="22"/>
          <w:color w:val="auto"/>
        </w:rPr>
      </w:pPr>
    </w:p>
    <w:p>
      <w:pPr>
        <w:jc w:val="both"/>
        <w:ind w:left="1080" w:hanging="424"/>
        <w:spacing w:after="0" w:line="256"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203" w:lineRule="exact"/>
        <w:rPr>
          <w:rFonts w:ascii="Times New Roman" w:cs="Times New Roman" w:eastAsia="Times New Roman" w:hAnsi="Times New Roman"/>
          <w:sz w:val="22"/>
          <w:szCs w:val="22"/>
          <w:color w:val="auto"/>
        </w:rPr>
      </w:pPr>
    </w:p>
    <w:p>
      <w:pPr>
        <w:jc w:val="both"/>
        <w:ind w:left="1080" w:hanging="424"/>
        <w:spacing w:after="0" w:line="257"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13" w:lineRule="exact"/>
        <w:rPr>
          <w:rFonts w:ascii="Times New Roman" w:cs="Times New Roman" w:eastAsia="Times New Roman" w:hAnsi="Times New Roman"/>
          <w:sz w:val="22"/>
          <w:szCs w:val="22"/>
          <w:color w:val="auto"/>
        </w:rPr>
      </w:pPr>
    </w:p>
    <w:p>
      <w:pPr>
        <w:jc w:val="both"/>
        <w:ind w:left="980" w:hanging="324"/>
        <w:spacing w:after="0" w:line="247" w:lineRule="auto"/>
        <w:tabs>
          <w:tab w:leader="none" w:pos="9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2025 Distribution Date (1,092). If the resulting amount includes a fraction, it will be rounded down to the nearest whole number.</w:t>
      </w:r>
    </w:p>
    <w:p>
      <w:pPr>
        <w:sectPr>
          <w:pgSz w:w="11900" w:h="16838" w:orient="portrait"/>
          <w:cols w:equalWidth="0" w:num="1">
            <w:col w:w="11240"/>
          </w:cols>
          <w:pgMar w:left="320" w:top="8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04" w:lineRule="auto"/>
        <w:rPr>
          <w:sz w:val="20"/>
          <w:szCs w:val="20"/>
          <w:color w:val="auto"/>
        </w:rPr>
      </w:pPr>
      <w:r>
        <w:rPr>
          <w:rFonts w:ascii="Times New Roman" w:cs="Times New Roman" w:eastAsia="Times New Roman" w:hAnsi="Times New Roman"/>
          <w:sz w:val="22"/>
          <w:szCs w:val="22"/>
          <w:color w:val="auto"/>
        </w:rPr>
        <w:t>August 18,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980" w:hanging="324"/>
        <w:spacing w:after="0" w:line="261" w:lineRule="auto"/>
        <w:tabs>
          <w:tab w:leader="none" w:pos="9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spacing w:after="0" w:line="2" w:lineRule="exact"/>
        <w:rPr>
          <w:rFonts w:ascii="Times New Roman" w:cs="Times New Roman" w:eastAsia="Times New Roman" w:hAnsi="Times New Roman"/>
          <w:sz w:val="21"/>
          <w:szCs w:val="21"/>
          <w:color w:val="auto"/>
        </w:rPr>
      </w:pPr>
    </w:p>
    <w:p>
      <w:pPr>
        <w:jc w:val="both"/>
        <w:ind w:left="980"/>
        <w:spacing w:after="0" w:line="245" w:lineRule="auto"/>
        <w:tabs>
          <w:tab w:leader="none" w:pos="132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12" w:lineRule="exact"/>
        <w:rPr>
          <w:rFonts w:ascii="Times New Roman" w:cs="Times New Roman" w:eastAsia="Times New Roman" w:hAnsi="Times New Roman"/>
          <w:sz w:val="22"/>
          <w:szCs w:val="22"/>
          <w:color w:val="auto"/>
        </w:rPr>
      </w:pPr>
    </w:p>
    <w:p>
      <w:pPr>
        <w:jc w:val="both"/>
        <w:ind w:left="980" w:hanging="324"/>
        <w:spacing w:after="0" w:line="253"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Status, (i) all of your then outstanding Phantom Units (which shall be equal to the target number of Phantom Units specified in the first paragraph hereof)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313" w:lineRule="exact"/>
        <w:rPr>
          <w:rFonts w:ascii="Times New Roman" w:cs="Times New Roman" w:eastAsia="Times New Roman" w:hAnsi="Times New Roman"/>
          <w:sz w:val="22"/>
          <w:szCs w:val="22"/>
          <w:color w:val="auto"/>
        </w:rPr>
      </w:pPr>
    </w:p>
    <w:p>
      <w:pPr>
        <w:jc w:val="both"/>
        <w:ind w:left="980" w:hanging="324"/>
        <w:spacing w:after="0" w:line="256" w:lineRule="auto"/>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sectPr>
          <w:pgSz w:w="11900" w:h="16838" w:orient="portrait"/>
          <w:cols w:equalWidth="0" w:num="1">
            <w:col w:w="11240"/>
          </w:cols>
          <w:pgMar w:left="320" w:top="8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04" w:lineRule="auto"/>
        <w:rPr>
          <w:sz w:val="20"/>
          <w:szCs w:val="20"/>
          <w:color w:val="auto"/>
        </w:rPr>
      </w:pPr>
      <w:r>
        <w:rPr>
          <w:rFonts w:ascii="Times New Roman" w:cs="Times New Roman" w:eastAsia="Times New Roman" w:hAnsi="Times New Roman"/>
          <w:sz w:val="22"/>
          <w:szCs w:val="22"/>
          <w:color w:val="auto"/>
        </w:rPr>
        <w:t>August 18,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phrase “Change of Control” means, and shall be deemed to have occurred upon the occurrence of, one or more of the following events:</w:t>
      </w:r>
    </w:p>
    <w:p>
      <w:pPr>
        <w:spacing w:after="0" w:line="198" w:lineRule="exact"/>
        <w:rPr>
          <w:sz w:val="20"/>
          <w:szCs w:val="20"/>
          <w:color w:val="auto"/>
        </w:rPr>
      </w:pPr>
    </w:p>
    <w:p>
      <w:pPr>
        <w:jc w:val="both"/>
        <w:ind w:left="1580" w:hanging="924"/>
        <w:spacing w:after="0" w:line="233" w:lineRule="auto"/>
        <w:tabs>
          <w:tab w:leader="none" w:pos="157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jc w:val="both"/>
        <w:ind w:left="1580" w:hanging="924"/>
        <w:spacing w:after="0" w:line="247" w:lineRule="auto"/>
        <w:tabs>
          <w:tab w:leader="none" w:pos="157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Times New Roman" w:cs="Times New Roman" w:eastAsia="Times New Roman" w:hAnsi="Times New Roman"/>
          <w:sz w:val="22"/>
          <w:szCs w:val="22"/>
          <w:color w:val="auto"/>
        </w:rPr>
      </w:pPr>
    </w:p>
    <w:p>
      <w:pPr>
        <w:ind w:left="1580" w:hanging="924"/>
        <w:spacing w:after="0" w:line="243" w:lineRule="auto"/>
        <w:tabs>
          <w:tab w:leader="none" w:pos="156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PAGP ceases to retain direct or indirect control (in one transaction or a series of related transactions and whether by merger or otherwise) of the general partner of the Partnership; or</w:t>
      </w:r>
    </w:p>
    <w:p>
      <w:pPr>
        <w:jc w:val="both"/>
        <w:ind w:left="1580" w:hanging="924"/>
        <w:spacing w:after="0" w:line="249" w:lineRule="auto"/>
        <w:tabs>
          <w:tab w:leader="none" w:pos="157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1714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8"/>
        <w:spacing w:after="0" w:line="233" w:lineRule="auto"/>
        <w:tabs>
          <w:tab w:leader="none" w:pos="157" w:val="left"/>
        </w:tabs>
        <w:numPr>
          <w:ilvl w:val="0"/>
          <w:numId w:val="4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w:t>
      </w:r>
    </w:p>
    <w:p>
      <w:pPr>
        <w:sectPr>
          <w:pgSz w:w="11900" w:h="16838" w:orient="portrait"/>
          <w:cols w:equalWidth="0" w:num="1">
            <w:col w:w="11240"/>
          </w:cols>
          <w:pgMar w:left="320" w:top="8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04" w:lineRule="auto"/>
        <w:rPr>
          <w:sz w:val="20"/>
          <w:szCs w:val="20"/>
          <w:color w:val="auto"/>
        </w:rPr>
      </w:pPr>
      <w:r>
        <w:rPr>
          <w:rFonts w:ascii="Times New Roman" w:cs="Times New Roman" w:eastAsia="Times New Roman" w:hAnsi="Times New Roman"/>
          <w:sz w:val="22"/>
          <w:szCs w:val="22"/>
          <w:color w:val="auto"/>
        </w:rPr>
        <w:t>August 18,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194" w:lineRule="exact"/>
        <w:rPr>
          <w:sz w:val="20"/>
          <w:szCs w:val="20"/>
          <w:color w:val="auto"/>
        </w:rPr>
      </w:pPr>
    </w:p>
    <w:p>
      <w:pPr>
        <w:jc w:val="both"/>
        <w:ind w:firstLine="565"/>
        <w:spacing w:after="0" w:line="253" w:lineRule="auto"/>
        <w:rPr>
          <w:sz w:val="20"/>
          <w:szCs w:val="20"/>
          <w:color w:val="auto"/>
        </w:rPr>
      </w:pPr>
      <w:r>
        <w:rPr>
          <w:rFonts w:ascii="Times New Roman" w:cs="Times New Roman" w:eastAsia="Times New Roman" w:hAnsi="Times New Roman"/>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By signing below, you agree that the Phantom Units and DERs granted hereunder are governed by the terms of the Plan. You also acknowledge and agree that (i) Tranches 2 and 3 of this award constitute performance-based compensation as defined in the Clawback Policy adopted by PAGP GP on November 12, 2020 and (ii) Tranches 2 and 3 of this award, as well as any other performance-based compensation previously paid or awarded to you, are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8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04" w:lineRule="auto"/>
        <w:rPr>
          <w:sz w:val="20"/>
          <w:szCs w:val="20"/>
          <w:color w:val="auto"/>
        </w:rPr>
      </w:pPr>
      <w:r>
        <w:rPr>
          <w:rFonts w:ascii="Times New Roman" w:cs="Times New Roman" w:eastAsia="Times New Roman" w:hAnsi="Times New Roman"/>
          <w:sz w:val="22"/>
          <w:szCs w:val="22"/>
          <w:color w:val="auto"/>
        </w:rPr>
        <w:t>August 18,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PAA GP LLC, its general partner</w:t>
      </w:r>
    </w:p>
    <w:p>
      <w:pPr>
        <w:spacing w:after="0" w:line="2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AAP, L.P., its sole member</w:t>
      </w:r>
    </w:p>
    <w:p>
      <w:pPr>
        <w:spacing w:after="0" w:line="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ALL AMERICAN GP LLC,</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6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Jim Tillis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 Human Resources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3651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Target Number of Phantom Units: </w:t>
      </w:r>
      <w:r>
        <w:rPr>
          <w:rFonts w:ascii="Times New Roman" w:cs="Times New Roman" w:eastAsia="Times New Roman" w:hAnsi="Times New Roman"/>
          <w:sz w:val="22"/>
          <w:szCs w:val="22"/>
          <w:u w:val="single" w:color="auto"/>
          <w:color w:val="auto"/>
        </w:rPr>
        <w:t>«LTIP_Grant»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4114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Beneficiary Designation</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5360" w:type="dxa"/>
            <w:vAlign w:val="bottom"/>
            <w:tcBorders>
              <w:top w:val="single" w:sz="8" w:color="auto"/>
              <w:left w:val="single" w:sz="8" w:color="auto"/>
              <w:bottom w:val="single" w:sz="8" w:color="C0C0C0"/>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28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50"/>
        </w:trPr>
        <w:tc>
          <w:tcPr>
            <w:tcW w:w="53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spacing w:after="0"/>
              <w:rPr>
                <w:sz w:val="21"/>
                <w:szCs w:val="21"/>
                <w:color w:val="auto"/>
              </w:rPr>
            </w:pPr>
          </w:p>
        </w:tc>
        <w:tc>
          <w:tcPr>
            <w:tcW w:w="362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336"/>
        </w:trPr>
        <w:tc>
          <w:tcPr>
            <w:tcW w:w="5360" w:type="dxa"/>
            <w:vAlign w:val="bottom"/>
            <w:tcBorders>
              <w:left w:val="single" w:sz="8" w:color="auto"/>
              <w:bottom w:val="single" w:sz="8" w:color="C0C0C0"/>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28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10"/>
        </w:trPr>
        <w:tc>
          <w:tcPr>
            <w:tcW w:w="53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80" w:type="dxa"/>
            <w:vAlign w:val="bottom"/>
            <w:tcBorders>
              <w:top w:val="single" w:sz="8" w:color="auto"/>
              <w:bottom w:val="single" w:sz="8" w:color="auto"/>
              <w:right w:val="single" w:sz="8" w:color="auto"/>
            </w:tcBorders>
          </w:tcPr>
          <w:p>
            <w:pPr>
              <w:spacing w:after="0"/>
              <w:rPr>
                <w:sz w:val="18"/>
                <w:szCs w:val="18"/>
                <w:color w:val="auto"/>
              </w:rPr>
            </w:pPr>
          </w:p>
        </w:tc>
        <w:tc>
          <w:tcPr>
            <w:tcW w:w="3620" w:type="dxa"/>
            <w:vAlign w:val="bottom"/>
            <w:tcBorders>
              <w:top w:val="single" w:sz="8" w:color="auto"/>
              <w:bottom w:val="single" w:sz="8" w:color="auto"/>
              <w:right w:val="single" w:sz="8" w:color="auto"/>
            </w:tcBorders>
          </w:tcPr>
          <w:p>
            <w:pPr>
              <w:spacing w:after="0"/>
              <w:rPr>
                <w:sz w:val="18"/>
                <w:szCs w:val="18"/>
                <w:color w:val="auto"/>
              </w:rPr>
            </w:pPr>
          </w:p>
        </w:tc>
      </w:tr>
      <w:tr>
        <w:trPr>
          <w:trHeight w:val="209"/>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Check this box only if this beneficiary designation does not apply to prior grants.</w:t>
      </w:r>
    </w:p>
    <w:p>
      <w:pPr>
        <w:sectPr>
          <w:pgSz w:w="11900" w:h="16838" w:orient="portrait"/>
          <w:cols w:equalWidth="0" w:num="1">
            <w:col w:w="11260"/>
          </w:cols>
          <w:pgMar w:left="320" w:top="86" w:right="319" w:bottom="1440" w:gutter="0" w:footer="0" w:header="0"/>
        </w:sectPr>
      </w:pPr>
    </w:p>
    <w:bookmarkStart w:id="68" w:name="page69"/>
    <w:bookmarkEnd w:id="68"/>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Tranche 2 Vesting Terms</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(Total Shareholder Return)</w:t>
      </w:r>
    </w:p>
    <w:p>
      <w:pPr>
        <w:spacing w:after="0" w:line="189" w:lineRule="exact"/>
        <w:rPr>
          <w:sz w:val="20"/>
          <w:szCs w:val="20"/>
          <w:color w:val="auto"/>
        </w:rPr>
      </w:pPr>
    </w:p>
    <w:p>
      <w:pPr>
        <w:jc w:val="both"/>
        <w:ind w:left="660" w:right="20" w:hanging="328"/>
        <w:spacing w:after="0" w:line="23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47" w:lineRule="exact"/>
        <w:rPr>
          <w:rFonts w:ascii="Times New Roman" w:cs="Times New Roman" w:eastAsia="Times New Roman" w:hAnsi="Times New Roman"/>
          <w:sz w:val="18"/>
          <w:szCs w:val="18"/>
          <w:color w:val="auto"/>
        </w:rPr>
      </w:pPr>
    </w:p>
    <w:p>
      <w:pPr>
        <w:jc w:val="both"/>
        <w:ind w:left="660" w:right="20" w:hanging="328"/>
        <w:spacing w:after="0" w:line="225" w:lineRule="auto"/>
        <w:tabs>
          <w:tab w:leader="none" w:pos="6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Vesting and Payout</w:t>
      </w:r>
      <w:r>
        <w:rPr>
          <w:rFonts w:ascii="Times New Roman" w:cs="Times New Roman" w:eastAsia="Times New Roman" w:hAnsi="Times New Roman"/>
          <w:sz w:val="17"/>
          <w:szCs w:val="17"/>
          <w:color w:val="auto"/>
        </w:rPr>
        <w:t>. As soon as administratively feasible following the close of the three-year period ending on June 30, 2025 (the “Performance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w:t>
      </w:r>
    </w:p>
    <w:p>
      <w:pPr>
        <w:jc w:val="both"/>
        <w:ind w:left="660" w:right="20" w:hanging="4"/>
        <w:spacing w:after="0" w:line="218" w:lineRule="auto"/>
        <w:tabs>
          <w:tab w:leader="none" w:pos="8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33"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34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TSR Payout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52"/>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185.6%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171.5%</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157.1%</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142.9%</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128.5%</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114.4%</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37.6%</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Illustrative Examples (based on an assumed target number of Tranche 2 Phantom Units of 1,000):</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20" w:type="dxa"/>
            <w:vAlign w:val="bottom"/>
            <w:tcBorders>
              <w:top w:val="single" w:sz="8" w:color="auto"/>
              <w:left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6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TSR Payout Percentage / Number of Units Vesting</w:t>
            </w:r>
          </w:p>
        </w:tc>
      </w:tr>
      <w:tr>
        <w:trPr>
          <w:trHeight w:val="216"/>
        </w:trPr>
        <w:tc>
          <w:tcPr>
            <w:tcW w:w="512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of negative absolute TSR)</w:t>
            </w: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 or #2</w:t>
            </w:r>
          </w:p>
        </w:tc>
        <w:tc>
          <w:tcPr>
            <w:tcW w:w="6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200% / 2,000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6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157.1% / 1,571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60"/>
          </w:cols>
          <w:pgMar w:left="320" w:top="139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60"/>
          </w:cols>
          <w:pgMar w:left="320" w:top="1391" w:right="319" w:bottom="1440" w:gutter="0" w:footer="0" w:header="0"/>
          <w:type w:val="continuous"/>
        </w:sectPr>
      </w:pPr>
    </w:p>
    <w:bookmarkStart w:id="69" w:name="page70"/>
    <w:bookmarkEnd w:id="6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1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 but PAA’s absolute TSR is less than 0%</w:t>
            </w:r>
          </w:p>
        </w:tc>
        <w:tc>
          <w:tcPr>
            <w:tcW w:w="614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132.1% / 1,321 units (TSR Payout Percentage reduced by 25 percentage points)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114.4% / 1,144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 but PAA’s absolute TSR is less than 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(TSR Payout Percentage reduced from 114.4% to 100%)</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(performance at Target)</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50% / 500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 or #17</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0% / 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bl>
    <w:p>
      <w:pPr>
        <w:spacing w:after="0" w:line="30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PAA Peer Group (2022-2025 Performance Period)</w:t>
      </w:r>
      <w:r>
        <w:rPr>
          <w:rFonts w:ascii="Times New Roman" w:cs="Times New Roman" w:eastAsia="Times New Roman" w:hAnsi="Times New Roman"/>
          <w:sz w:val="18"/>
          <w:szCs w:val="18"/>
          <w:color w:val="auto"/>
        </w:rPr>
        <w:t>:</w:t>
      </w:r>
    </w:p>
    <w:p>
      <w:pPr>
        <w:spacing w:after="0" w:line="360"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Ticker</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EPD</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KMI</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WMB</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MPLX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ET</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OKE</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Magellan Midstream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MMP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Crestwood Equity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CEQP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TRGP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DCP Midstream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DCP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Holly Energy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NuStar Energy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ENLC</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AMNA</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60"/>
          </w:cols>
          <w:pgMar w:left="320" w:top="1440" w:right="319" w:bottom="1440" w:gutter="0" w:footer="0" w:header="0"/>
        </w:sectPr>
      </w:pPr>
    </w:p>
    <w:bookmarkStart w:id="70" w:name="page71"/>
    <w:bookmarkEnd w:id="70"/>
    <w:p>
      <w:pPr>
        <w:ind w:left="4848"/>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97" w:lineRule="exact"/>
        <w:rPr>
          <w:sz w:val="20"/>
          <w:szCs w:val="20"/>
          <w:color w:val="auto"/>
        </w:rPr>
      </w:pPr>
    </w:p>
    <w:p>
      <w:pPr>
        <w:ind w:left="4148"/>
        <w:spacing w:after="0"/>
        <w:rPr>
          <w:sz w:val="20"/>
          <w:szCs w:val="20"/>
          <w:color w:val="auto"/>
        </w:rPr>
      </w:pPr>
      <w:r>
        <w:rPr>
          <w:rFonts w:ascii="Times New Roman" w:cs="Times New Roman" w:eastAsia="Times New Roman" w:hAnsi="Times New Roman"/>
          <w:sz w:val="22"/>
          <w:szCs w:val="22"/>
          <w:b w:val="1"/>
          <w:bCs w:val="1"/>
          <w:color w:val="auto"/>
        </w:rPr>
        <w:t>Tranche 3 Vesting Terms</w:t>
      </w: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(Cumulative DCF with Leverage Modifier)</w:t>
      </w:r>
    </w:p>
    <w:p>
      <w:pPr>
        <w:spacing w:after="0" w:line="189" w:lineRule="exact"/>
        <w:rPr>
          <w:sz w:val="20"/>
          <w:szCs w:val="20"/>
          <w:color w:val="auto"/>
        </w:rPr>
      </w:pPr>
    </w:p>
    <w:p>
      <w:pPr>
        <w:jc w:val="both"/>
        <w:ind w:left="328" w:hanging="328"/>
        <w:spacing w:after="0" w:line="236" w:lineRule="auto"/>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74"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Payout</w:t>
      </w:r>
      <w:r>
        <w:rPr>
          <w:rFonts w:ascii="Times New Roman" w:cs="Times New Roman" w:eastAsia="Times New Roman" w:hAnsi="Times New Roman"/>
          <w:sz w:val="18"/>
          <w:szCs w:val="18"/>
          <w:color w:val="auto"/>
        </w:rPr>
        <w:t>. As soon as administratively feasible following the close of the three-year period ending on June 30, 2025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The DCF Payout Percentage will be reduced by 25 gross percentage points (the “Leverage Modifier”) if PAA’s leverage ratio (long-term debt to adjusted EBITDA as calculated pursuant to PAA’s senior unsecured revolving credit facility) as of June 30, 2025 is higher than 3.5x; if PAA’s leverage ratio as of June 30, 2025 is equal to or lower than 3.5x, there will be no adjustment to the DCF Payout Percentage.</w:t>
      </w:r>
    </w:p>
    <w:p>
      <w:pPr>
        <w:spacing w:after="0" w:line="359" w:lineRule="exact"/>
        <w:rPr>
          <w:sz w:val="20"/>
          <w:szCs w:val="20"/>
          <w:color w:val="auto"/>
        </w:rPr>
      </w:pPr>
    </w:p>
    <w:tbl>
      <w:tblPr>
        <w:tblLayout w:type="fixed"/>
        <w:tblInd w:w="898" w:type="dxa"/>
        <w:tblCellMar>
          <w:top w:w="0" w:type="dxa"/>
          <w:left w:w="0" w:type="dxa"/>
          <w:bottom w:w="0" w:type="dxa"/>
          <w:right w:w="0" w:type="dxa"/>
        </w:tblCellMar>
      </w:tblPr>
      <w:tr>
        <w:trPr>
          <w:trHeight w:val="270"/>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DCF Payout Percentage</w:t>
            </w:r>
          </w:p>
        </w:tc>
      </w:tr>
      <w:tr>
        <w:trPr>
          <w:trHeight w:val="243"/>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3560" w:type="dxa"/>
            <w:vAlign w:val="bottom"/>
            <w:tcBorders>
              <w:right w:val="single" w:sz="8" w:color="auto"/>
            </w:tcBorders>
          </w:tcPr>
          <w:p>
            <w:pPr>
              <w:spacing w:after="0"/>
              <w:rPr>
                <w:sz w:val="21"/>
                <w:szCs w:val="21"/>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$7.93 (112.5%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$7.71</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$7.49</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$7.27</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$7.05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$6.875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$6.70</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$6.525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$6.35 (90%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left="328"/>
        <w:spacing w:after="0" w:line="242" w:lineRule="auto"/>
        <w:rPr>
          <w:sz w:val="20"/>
          <w:szCs w:val="20"/>
          <w:color w:val="auto"/>
        </w:rPr>
      </w:pPr>
      <w:r>
        <w:rPr>
          <w:rFonts w:ascii="Times New Roman" w:cs="Times New Roman" w:eastAsia="Times New Roman" w:hAnsi="Times New Roman"/>
          <w:sz w:val="18"/>
          <w:szCs w:val="18"/>
          <w:color w:val="auto"/>
        </w:rPr>
        <w:t>Note: Both the cumulative DCF per CUE targets set forth in the table above and the leverage ratios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62" w:lineRule="exact"/>
        <w:rPr>
          <w:sz w:val="20"/>
          <w:szCs w:val="20"/>
          <w:color w:val="auto"/>
        </w:rPr>
      </w:pPr>
    </w:p>
    <w:p>
      <w:pPr>
        <w:jc w:val="both"/>
        <w:ind w:left="648" w:hanging="324"/>
        <w:spacing w:after="0" w:line="250" w:lineRule="auto"/>
        <w:tabs>
          <w:tab w:leader="none" w:pos="6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55" w:lineRule="exact"/>
        <w:rPr>
          <w:rFonts w:ascii="Times New Roman" w:cs="Times New Roman" w:eastAsia="Times New Roman" w:hAnsi="Times New Roman"/>
          <w:sz w:val="18"/>
          <w:szCs w:val="18"/>
          <w:color w:val="auto"/>
        </w:rPr>
      </w:pPr>
    </w:p>
    <w:p>
      <w:pPr>
        <w:ind w:left="648" w:hanging="324"/>
        <w:spacing w:after="0" w:line="266" w:lineRule="auto"/>
        <w:tabs>
          <w:tab w:leader="none" w:pos="6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spacing w:after="0" w:line="54" w:lineRule="exact"/>
        <w:rPr>
          <w:sz w:val="20"/>
          <w:szCs w:val="20"/>
          <w:color w:val="auto"/>
        </w:rPr>
      </w:pPr>
    </w:p>
    <w:p>
      <w:pPr>
        <w:jc w:val="both"/>
        <w:ind w:left="328"/>
        <w:spacing w:after="0" w:line="242" w:lineRule="auto"/>
        <w:rPr>
          <w:sz w:val="20"/>
          <w:szCs w:val="20"/>
          <w:color w:val="auto"/>
        </w:rPr>
      </w:pPr>
      <w:r>
        <w:rPr>
          <w:rFonts w:ascii="Times New Roman" w:cs="Times New Roman" w:eastAsia="Times New Roman" w:hAnsi="Times New Roman"/>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w:t>
      </w:r>
    </w:p>
    <w:p>
      <w:pPr>
        <w:sectPr>
          <w:pgSz w:w="11900" w:h="16838" w:orient="portrait"/>
          <w:cols w:equalWidth="0" w:num="1">
            <w:col w:w="10908"/>
          </w:cols>
          <w:pgMar w:left="652"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10908"/>
          </w:cols>
          <w:pgMar w:left="652" w:top="1391" w:right="339" w:bottom="1440" w:gutter="0" w:footer="0" w:header="0"/>
          <w:type w:val="continuous"/>
        </w:sectPr>
      </w:pPr>
    </w:p>
    <w:bookmarkStart w:id="71" w:name="page72"/>
    <w:bookmarkEnd w:id="71"/>
    <w:p>
      <w:pPr>
        <w:jc w:val="both"/>
        <w:ind w:left="660" w:right="20"/>
        <w:spacing w:after="0" w:line="235" w:lineRule="auto"/>
        <w:rPr>
          <w:sz w:val="20"/>
          <w:szCs w:val="20"/>
          <w:color w:val="auto"/>
        </w:rPr>
      </w:pPr>
      <w:r>
        <w:rPr>
          <w:rFonts w:ascii="Times New Roman" w:cs="Times New Roman" w:eastAsia="Times New Roman" w:hAnsi="Times New Roman"/>
          <w:sz w:val="18"/>
          <w:szCs w:val="18"/>
          <w:color w:val="auto"/>
        </w:rPr>
        <w:t>Performance Period (with the goal of isolating the balance sheet impact of other actions such as timing and amount of 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Illustrative Examples (based on an assumed target number of Tranche 3 Phantom Units of 1,000):</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PAA Cumulative DCF per CUE</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Leverage Ratio as of June</w:t>
            </w:r>
          </w:p>
        </w:tc>
        <w:tc>
          <w:tcPr>
            <w:tcW w:w="3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960" w:type="dxa"/>
            <w:vAlign w:val="bottom"/>
            <w:tcBorders>
              <w:top w:val="single" w:sz="8" w:color="auto"/>
              <w:right w:val="single" w:sz="8" w:color="auto"/>
            </w:tcBorders>
            <w:vMerge w:val="restart"/>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DCF Payout Percentage / Number of Units Vesting</w:t>
            </w:r>
          </w:p>
        </w:tc>
        <w:tc>
          <w:tcPr>
            <w:tcW w:w="0" w:type="dxa"/>
            <w:vAlign w:val="bottom"/>
          </w:tcPr>
          <w:p>
            <w:pPr>
              <w:spacing w:after="0"/>
              <w:rPr>
                <w:sz w:val="1"/>
                <w:szCs w:val="1"/>
                <w:color w:val="auto"/>
              </w:rPr>
            </w:pPr>
          </w:p>
        </w:tc>
      </w:tr>
      <w:tr>
        <w:trPr>
          <w:trHeight w:val="32"/>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Over the Performance Period</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12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(Impact of Leverage Modifier)</w:t>
            </w: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$7.93</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2,000 units (no adjustment to DCF Payout Percentage)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$7.93</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3.6x</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175%</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1,750 units (DCF Payout Percentage reduced by 25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(no adjustment to DCF Payout Percentage)</w:t>
            </w:r>
          </w:p>
        </w:tc>
        <w:tc>
          <w:tcPr>
            <w:tcW w:w="0" w:type="dxa"/>
            <w:vAlign w:val="bottom"/>
          </w:tcPr>
          <w:p>
            <w:pPr>
              <w:spacing w:after="0"/>
              <w:rPr>
                <w:sz w:val="1"/>
                <w:szCs w:val="1"/>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3.6x</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75% / 750 units (DCF Payout Percentage reduced by 25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$6.525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3.5x or lower</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25% / 250 units (no adjustment to DCF Payout Percentage)</w:t>
            </w:r>
          </w:p>
        </w:tc>
        <w:tc>
          <w:tcPr>
            <w:tcW w:w="0" w:type="dxa"/>
            <w:vAlign w:val="bottom"/>
          </w:tcPr>
          <w:p>
            <w:pPr>
              <w:spacing w:after="0"/>
              <w:rPr>
                <w:sz w:val="1"/>
                <w:szCs w:val="1"/>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$6.525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reduced by 25 percentage points)</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$6.35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3.5x or lower</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$6.35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c>
          <w:tcPr>
            <w:tcW w:w="0" w:type="dxa"/>
            <w:vAlign w:val="bottom"/>
          </w:tcPr>
          <w:p>
            <w:pPr>
              <w:spacing w:after="0"/>
              <w:rPr>
                <w:sz w:val="1"/>
                <w:szCs w:val="1"/>
                <w:color w:val="auto"/>
              </w:rPr>
            </w:pP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60"/>
          </w:cols>
          <w:pgMar w:left="320" w:top="1404"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5715</wp:posOffset>
            </wp:positionV>
            <wp:extent cx="2305685" cy="557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23056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2022 ANNUAL DIRECTOR GRANT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18,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18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Class A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 am pleased to inform you that you have been granted 11,400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9" w:lineRule="exact"/>
        <w:rPr>
          <w:sz w:val="20"/>
          <w:szCs w:val="20"/>
          <w:color w:val="auto"/>
        </w:rPr>
      </w:pPr>
    </w:p>
    <w:p>
      <w:pPr>
        <w:ind w:left="660" w:hanging="328"/>
        <w:spacing w:after="0" w:line="236"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Phantom Class A Shares shall vest (become payable in the form of one Class A Share of PAGP for each Phantom Class A Share that vests) on the August 2023 Distribution Date.</w:t>
      </w:r>
    </w:p>
    <w:p>
      <w:pPr>
        <w:spacing w:after="0" w:line="177" w:lineRule="exact"/>
        <w:rPr>
          <w:rFonts w:ascii="Times New Roman" w:cs="Times New Roman" w:eastAsia="Times New Roman" w:hAnsi="Times New Roman"/>
          <w:sz w:val="22"/>
          <w:szCs w:val="22"/>
          <w:color w:val="auto"/>
        </w:rPr>
      </w:pPr>
    </w:p>
    <w:p>
      <w:pPr>
        <w:ind w:left="660" w:hanging="328"/>
        <w:spacing w:after="0" w:line="236"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DERs shall be payable in cash substantially contemporaneously with each Distribution Date.</w:t>
      </w:r>
    </w:p>
    <w:p>
      <w:pPr>
        <w:spacing w:after="0" w:line="17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vesting of any Phantom Class A Shares, an equal number of DERs shall expire.</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forfeiture of Phantom Class A Shares, an equal number of DERs shall expire.</w:t>
      </w:r>
    </w:p>
    <w:p>
      <w:pPr>
        <w:spacing w:after="0" w:line="206" w:lineRule="exact"/>
        <w:rPr>
          <w:rFonts w:ascii="Times New Roman" w:cs="Times New Roman" w:eastAsia="Times New Roman" w:hAnsi="Times New Roman"/>
          <w:sz w:val="22"/>
          <w:szCs w:val="22"/>
          <w:color w:val="auto"/>
        </w:rPr>
      </w:pPr>
    </w:p>
    <w:p>
      <w:pPr>
        <w:jc w:val="both"/>
        <w:ind w:left="660" w:hanging="328"/>
        <w:spacing w:after="0" w:line="220"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179" w:lineRule="exact"/>
        <w:rPr>
          <w:rFonts w:ascii="Times New Roman" w:cs="Times New Roman" w:eastAsia="Times New Roman" w:hAnsi="Times New Roman"/>
          <w:sz w:val="22"/>
          <w:szCs w:val="22"/>
          <w:color w:val="auto"/>
        </w:rPr>
      </w:pPr>
    </w:p>
    <w:p>
      <w:pPr>
        <w:jc w:val="both"/>
        <w:ind w:left="660" w:hanging="328"/>
        <w:spacing w:after="0" w:line="217"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3051F2"/>
        </w:rPr>
        <w:t xml:space="preserve">333 Clay Street, Suite 1600 </w:t>
      </w:r>
      <w:r>
        <w:rPr>
          <w:rFonts w:ascii="Wingdings" w:cs="Wingdings" w:eastAsia="Wingdings" w:hAnsi="Wingdings"/>
          <w:sz w:val="20"/>
          <w:szCs w:val="20"/>
          <w:b w:val="1"/>
          <w:bCs w:val="1"/>
          <w:color w:val="3051F2"/>
        </w:rPr>
        <w:t>n</w:t>
      </w:r>
      <w:r>
        <w:rPr>
          <w:rFonts w:ascii="Times New Roman" w:cs="Times New Roman" w:eastAsia="Times New Roman" w:hAnsi="Times New Roman"/>
          <w:sz w:val="20"/>
          <w:szCs w:val="20"/>
          <w:color w:val="3051F2"/>
        </w:rPr>
        <w:t xml:space="preserve"> Houston, Texas 77002 </w:t>
      </w:r>
      <w:r>
        <w:rPr>
          <w:rFonts w:ascii="Wingdings" w:cs="Wingdings" w:eastAsia="Wingdings" w:hAnsi="Wingdings"/>
          <w:sz w:val="20"/>
          <w:szCs w:val="20"/>
          <w:b w:val="1"/>
          <w:bCs w:val="1"/>
          <w:color w:val="3051F2"/>
        </w:rPr>
        <w:t>n</w:t>
      </w:r>
      <w:r>
        <w:rPr>
          <w:rFonts w:ascii="Times New Roman" w:cs="Times New Roman" w:eastAsia="Times New Roman" w:hAnsi="Times New Roman"/>
          <w:sz w:val="20"/>
          <w:szCs w:val="20"/>
          <w:color w:val="3051F2"/>
        </w:rPr>
        <w:t xml:space="preserve"> 713/646-4100 or 800-564-3036</w:t>
      </w:r>
    </w:p>
    <w:p>
      <w:pPr>
        <w:sectPr>
          <w:pgSz w:w="11900" w:h="16838" w:orient="portrait"/>
          <w:cols w:equalWidth="0" w:num="1">
            <w:col w:w="11240"/>
          </w:cols>
          <w:pgMar w:left="320" w:top="94" w:right="339" w:bottom="1440" w:gutter="0" w:footer="0" w:header="0"/>
        </w:sectPr>
      </w:pPr>
    </w:p>
    <w:bookmarkStart w:id="73" w:name="page74"/>
    <w:bookmarkEnd w:id="73"/>
    <w:p>
      <w:pPr>
        <w:jc w:val="center"/>
        <w:spacing w:after="0"/>
        <w:tabs>
          <w:tab w:leader="none" w:pos="200" w:val="left"/>
          <w:tab w:leader="none" w:pos="180" w:val="left"/>
        </w:tabs>
        <w:rPr>
          <w:sz w:val="20"/>
          <w:szCs w:val="20"/>
          <w:color w:val="auto"/>
        </w:rPr>
      </w:pPr>
      <w:r>
        <w:rPr>
          <w:rFonts w:ascii="Times New Roman" w:cs="Times New Roman" w:eastAsia="Times New Roman" w:hAnsi="Times New Roman"/>
          <w:sz w:val="22"/>
          <w:szCs w:val="22"/>
          <w:color w:val="auto"/>
        </w:rPr>
        <w:t>[Name]</w:t>
        <w:tab/>
        <w:t>- 2 -</w:t>
      </w:r>
      <w:r>
        <w:rPr>
          <w:sz w:val="20"/>
          <w:szCs w:val="20"/>
          <w:color w:val="auto"/>
        </w:rPr>
        <w:tab/>
      </w:r>
      <w:r>
        <w:rPr>
          <w:rFonts w:ascii="Times New Roman" w:cs="Times New Roman" w:eastAsia="Times New Roman" w:hAnsi="Times New Roman"/>
          <w:sz w:val="21"/>
          <w:szCs w:val="21"/>
          <w:color w:val="auto"/>
        </w:rPr>
        <w:t>August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328"/>
        <w:spacing w:after="0" w:line="236"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77" w:lineRule="exact"/>
        <w:rPr>
          <w:sz w:val="20"/>
          <w:szCs w:val="20"/>
          <w:color w:val="auto"/>
        </w:rPr>
      </w:pPr>
    </w:p>
    <w:p>
      <w:pPr>
        <w:jc w:val="both"/>
        <w:ind w:firstLine="286"/>
        <w:spacing w:after="0" w:line="213" w:lineRule="auto"/>
        <w:rPr>
          <w:sz w:val="20"/>
          <w:szCs w:val="20"/>
          <w:color w:val="auto"/>
        </w:rPr>
      </w:pPr>
      <w:r>
        <w:rPr>
          <w:rFonts w:ascii="Times New Roman" w:cs="Times New Roman" w:eastAsia="Times New Roman" w:hAnsi="Times New Roman"/>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83" w:lineRule="exact"/>
        <w:rPr>
          <w:sz w:val="20"/>
          <w:szCs w:val="20"/>
          <w:color w:val="auto"/>
        </w:rPr>
      </w:pPr>
    </w:p>
    <w:p>
      <w:pPr>
        <w:jc w:val="both"/>
        <w:ind w:firstLine="236"/>
        <w:spacing w:after="0" w:line="227" w:lineRule="auto"/>
        <w:rPr>
          <w:sz w:val="20"/>
          <w:szCs w:val="20"/>
          <w:color w:val="auto"/>
        </w:rPr>
      </w:pPr>
      <w:r>
        <w:rPr>
          <w:rFonts w:ascii="Times New Roman" w:cs="Times New Roman" w:eastAsia="Times New Roman" w:hAnsi="Times New Roman"/>
          <w:sz w:val="21"/>
          <w:szCs w:val="21"/>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98" w:right="339" w:bottom="1440" w:gutter="0" w:footer="0" w:header="0"/>
        </w:sectPr>
      </w:pPr>
    </w:p>
    <w:bookmarkStart w:id="74" w:name="page75"/>
    <w:bookmarkEnd w:id="74"/>
    <w:p>
      <w:pPr>
        <w:jc w:val="center"/>
        <w:ind w:right="20"/>
        <w:spacing w:after="0"/>
        <w:tabs>
          <w:tab w:leader="none" w:pos="200" w:val="left"/>
          <w:tab w:leader="none" w:pos="180" w:val="left"/>
        </w:tabs>
        <w:rPr>
          <w:sz w:val="20"/>
          <w:szCs w:val="20"/>
          <w:color w:val="auto"/>
        </w:rPr>
      </w:pPr>
      <w:r>
        <w:rPr>
          <w:rFonts w:ascii="Times New Roman" w:cs="Times New Roman" w:eastAsia="Times New Roman" w:hAnsi="Times New Roman"/>
          <w:sz w:val="22"/>
          <w:szCs w:val="22"/>
          <w:color w:val="auto"/>
        </w:rPr>
        <w:t>[Name]</w:t>
        <w:tab/>
        <w:t>- 3 -</w:t>
      </w:r>
      <w:r>
        <w:rPr>
          <w:sz w:val="20"/>
          <w:szCs w:val="20"/>
          <w:color w:val="auto"/>
        </w:rPr>
        <w:tab/>
      </w:r>
      <w:r>
        <w:rPr>
          <w:rFonts w:ascii="Times New Roman" w:cs="Times New Roman" w:eastAsia="Times New Roman" w:hAnsi="Times New Roman"/>
          <w:sz w:val="21"/>
          <w:szCs w:val="21"/>
          <w:color w:val="auto"/>
        </w:rPr>
        <w:t>August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PAA GP HOLDINGS LLC</w:t>
      </w:r>
    </w:p>
    <w:p>
      <w:pPr>
        <w:spacing w:after="0" w:line="200" w:lineRule="exact"/>
        <w:rPr>
          <w:sz w:val="20"/>
          <w:szCs w:val="20"/>
          <w:color w:val="auto"/>
        </w:rPr>
      </w:pPr>
    </w:p>
    <w:p>
      <w:pPr>
        <w:spacing w:after="0" w:line="20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____________________________________</w:t>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Richard McGee</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822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Phantom Class A Shares: 11,400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-13970</wp:posOffset>
            </wp:positionV>
            <wp:extent cx="5092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6858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 Designation</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3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28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64"/>
        </w:trPr>
        <w:tc>
          <w:tcPr>
            <w:tcW w:w="536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28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09"/>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10"/>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98" w:right="3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2022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7, 2022</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2022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7,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2"/>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5"/>
    </w:lvl>
  </w:abstractNum>
  <w:abstractNum w:abstractNumId="22">
    <w:nsid w:val="3855585C"/>
    <w:multiLevelType w:val="hybridMultilevel"/>
    <w:lvl w:ilvl="0">
      <w:lvlJc w:val="left"/>
      <w:lvlText w:val="(%1)"/>
      <w:numFmt w:val="decimal"/>
      <w:start w:val="10"/>
    </w:lvl>
  </w:abstractNum>
  <w:abstractNum w:abstractNumId="23">
    <w:nsid w:val="70A64E2A"/>
    <w:multiLevelType w:val="hybridMultilevel"/>
    <w:lvl w:ilvl="0">
      <w:lvlJc w:val="left"/>
      <w:lvlText w:val="(%1)"/>
      <w:numFmt w:val="decimal"/>
      <w:start w:val="1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3"/>
    </w:lvl>
  </w:abstractNum>
  <w:abstractNum w:abstractNumId="30">
    <w:nsid w:val="7A6D8D3C"/>
    <w:multiLevelType w:val="hybridMultilevel"/>
    <w:lvl w:ilvl="0">
      <w:lvlJc w:val="left"/>
      <w:lvlText w:val="(%1)"/>
      <w:numFmt w:val="lowerRoman"/>
      <w:start w:val="5"/>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lvl w:ilvl="1">
      <w:lvlJc w:val="left"/>
      <w:lvlText w:val="%2."/>
      <w:numFmt w:val="lowerLetter"/>
      <w:start w:val="1"/>
    </w:lvl>
  </w:abstractNum>
  <w:abstractNum w:abstractNumId="39">
    <w:nsid w:val="749ABB43"/>
    <w:multiLevelType w:val="hybridMultilevel"/>
    <w:lvl w:ilvl="0">
      <w:lvlJc w:val="left"/>
      <w:lvlText w:val="%1"/>
      <w:numFmt w:val="decimal"/>
      <w:start w:val="1"/>
    </w:lvl>
    <w:lvl w:ilvl="1">
      <w:lvlJc w:val="left"/>
      <w:lvlText w:val="%2."/>
      <w:numFmt w:val="lowerLetter"/>
      <w:start w:val="2"/>
    </w:lvl>
  </w:abstractNum>
  <w:abstractNum w:abstractNumId="40">
    <w:nsid w:val="3DC240FB"/>
    <w:multiLevelType w:val="hybridMultilevel"/>
    <w:lvl w:ilvl="0">
      <w:lvlJc w:val="left"/>
      <w:lvlText w:val="%1."/>
      <w:numFmt w:val="decimal"/>
      <w:start w:val="3"/>
    </w:lvl>
    <w:lvl w:ilvl="1">
      <w:lvlJc w:val="left"/>
      <w:lvlText w:val="%2"/>
      <w:numFmt w:val="lowerLetter"/>
      <w:start w:val="1"/>
    </w:lvl>
  </w:abstractNum>
  <w:abstractNum w:abstractNumId="41">
    <w:nsid w:val="1BA026FA"/>
    <w:multiLevelType w:val="hybridMultilevel"/>
    <w:lvl w:ilvl="0">
      <w:lvlJc w:val="left"/>
      <w:lvlText w:val="%1."/>
      <w:numFmt w:val="decimal"/>
      <w:start w:val="6"/>
    </w:lvl>
    <w:lvl w:ilvl="1">
      <w:lvlJc w:val="left"/>
      <w:lvlText w:val="(%2)"/>
      <w:numFmt w:val="lowerLetter"/>
      <w:start w:val="25"/>
    </w:lvl>
  </w:abstractNum>
  <w:abstractNum w:abstractNumId="42">
    <w:nsid w:val="79A1DEAA"/>
    <w:multiLevelType w:val="hybridMultilevel"/>
    <w:lvl w:ilvl="0">
      <w:lvlJc w:val="left"/>
      <w:lvlText w:val="(%1)"/>
      <w:numFmt w:val="lowerRoman"/>
      <w:start w:val="1"/>
    </w:lvl>
  </w:abstractNum>
  <w:abstractNum w:abstractNumId="43">
    <w:nsid w:val="75C6C33A"/>
    <w:multiLevelType w:val="hybridMultilevel"/>
    <w:lvl w:ilvl="0">
      <w:lvlJc w:val="left"/>
      <w:lvlText w:val="1"/>
      <w:numFmt w:val="bullet"/>
      <w:start w:val="1"/>
    </w:lvl>
  </w:abstractNum>
  <w:abstractNum w:abstractNumId="44">
    <w:nsid w:val="12E685FB"/>
    <w:multiLevelType w:val="hybridMultilevel"/>
    <w:lvl w:ilvl="0">
      <w:lvlJc w:val="left"/>
      <w:lvlText w:val="%1."/>
      <w:numFmt w:val="decimal"/>
      <w:start w:val="1"/>
    </w:lvl>
    <w:lvl w:ilvl="1">
      <w:lvlJc w:val="left"/>
      <w:lvlText w:val="(%2)"/>
      <w:numFmt w:val="lowerRoman"/>
      <w:start w:val="1"/>
    </w:lvl>
  </w:abstractNum>
  <w:abstractNum w:abstractNumId="45">
    <w:nsid w:val="70C6A529"/>
    <w:multiLevelType w:val="hybridMultilevel"/>
    <w:lvl w:ilvl="0">
      <w:lvlJc w:val="left"/>
      <w:lvlText w:val="%1."/>
      <w:numFmt w:val="decimal"/>
      <w:start w:val="3"/>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7"/>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Roman"/>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3" Type="http://schemas.openxmlformats.org/officeDocument/2006/relationships/image" Target="media/image71.png"/><Relationship Id="rId109"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jpe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jpe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78" Type="http://schemas.openxmlformats.org/officeDocument/2006/relationships/hyperlink" Target="http://www.sec.gov/Archives/edgar/data/1070423/000110465917061889/a17-22685_5ex3d1.htm#Exhibit3_1_122228" TargetMode="External"/><Relationship Id="rId79" Type="http://schemas.openxmlformats.org/officeDocument/2006/relationships/hyperlink" Target="http://www.sec.gov/Archives/edgar/data/1070423/000104746904016502/a2135501zex-3_2.htm" TargetMode="External"/><Relationship Id="rId80" Type="http://schemas.openxmlformats.org/officeDocument/2006/relationships/hyperlink" Target="http://www.sec.gov/Archives/edgar/data/1070423/000110465911010359/a11-2319_1ex3d9.htm" TargetMode="External"/><Relationship Id="rId81" Type="http://schemas.openxmlformats.org/officeDocument/2006/relationships/hyperlink" Target="http://www.sec.gov/Archives/edgar/data/1070423/000110465911010359/a11-2319_1ex3d10.htm" TargetMode="External"/><Relationship Id="rId82" Type="http://schemas.openxmlformats.org/officeDocument/2006/relationships/hyperlink" Target="http://www.sec.gov/Archives/edgar/data/1070423/000110465914014322/a13-25941_1ex3d7.htm" TargetMode="External"/><Relationship Id="rId83" Type="http://schemas.openxmlformats.org/officeDocument/2006/relationships/hyperlink" Target="http://www.sec.gov/Archives/edgar/data/1070423/000110465914014322/a13-25941_1ex3d8.htm" TargetMode="External"/><Relationship Id="rId84" Type="http://schemas.openxmlformats.org/officeDocument/2006/relationships/hyperlink" Target="http://www.sec.gov/Archives/edgar/data/1070423/000107042320000004/paa201910-kexhibit37.htm" TargetMode="External"/><Relationship Id="rId85" Type="http://schemas.openxmlformats.org/officeDocument/2006/relationships/hyperlink" Target="http://www.sec.gov/Archives/edgar/data/1070423/000104746904016502/a2135501zex-3_3.htm" TargetMode="External"/><Relationship Id="rId86" Type="http://schemas.openxmlformats.org/officeDocument/2006/relationships/hyperlink" Target="http://www.sec.gov/Archives/edgar/data/1070423/000110465914014322/a13-25941_1ex3d10.htm" TargetMode="External"/><Relationship Id="rId87" Type="http://schemas.openxmlformats.org/officeDocument/2006/relationships/hyperlink" Target="http://www.sec.gov/Archives/edgar/data/1070423/000110465916158355/a16-21841_1ex3d3.htm" TargetMode="External"/><Relationship Id="rId88" Type="http://schemas.openxmlformats.org/officeDocument/2006/relationships/hyperlink" Target="http://www.sec.gov/Archives/edgar/data/1070423/000110465916158355/a16-21841_1ex3d4.htm" TargetMode="External"/><Relationship Id="rId89" Type="http://schemas.openxmlformats.org/officeDocument/2006/relationships/hyperlink" Target="http://www.sec.gov/Archives/edgar/data/1070423/000110465918060011/a18-36196_1ex3d1.htm" TargetMode="External"/><Relationship Id="rId90" Type="http://schemas.openxmlformats.org/officeDocument/2006/relationships/hyperlink" Target="http://www.sec.gov/Archives/edgar/data/1070423/000110465919032810/a19-10856_1ex3d1.htm" TargetMode="External"/><Relationship Id="rId91" Type="http://schemas.openxmlformats.org/officeDocument/2006/relationships/hyperlink" Target="http://www.sec.gov/Archives/edgar/data/1070423/000095012907001096/h43224exv3w10.htm" TargetMode="External"/><Relationship Id="rId92" Type="http://schemas.openxmlformats.org/officeDocument/2006/relationships/hyperlink" Target="http://www.sec.gov/Archives/edgar/data/1070423/000095012907001096/h43224exv3w11.htm" TargetMode="External"/><Relationship Id="rId94" Type="http://schemas.openxmlformats.org/officeDocument/2006/relationships/hyperlink" Target="http://www.sec.gov/Archives/edgar/data/1070423/000095012908000071/h52770exv3w3.htm" TargetMode="External"/><Relationship Id="rId95" Type="http://schemas.openxmlformats.org/officeDocument/2006/relationships/hyperlink" Target="http://www.sec.gov/Archives/edgar/data/1581990/000104746913007875/a2216069zex-3_1.htm" TargetMode="External"/><Relationship Id="rId96" Type="http://schemas.openxmlformats.org/officeDocument/2006/relationships/hyperlink" Target="http://www.sec.gov/Archives/edgar/data/1581990/000110465916158356/a16-21845_1ex3d2.htm" TargetMode="External"/><Relationship Id="rId97" Type="http://schemas.openxmlformats.org/officeDocument/2006/relationships/hyperlink" Target="http://www.sec.gov/Archives/edgar/data/1581990/000158199020000012/exhibit31.htm" TargetMode="External"/><Relationship Id="rId98" Type="http://schemas.openxmlformats.org/officeDocument/2006/relationships/hyperlink" Target="http://www.sec.gov/Archives/edgar/data/1581990/000104746913007875/a2216069zex-3_3.htm" TargetMode="External"/><Relationship Id="rId99" Type="http://schemas.openxmlformats.org/officeDocument/2006/relationships/hyperlink" Target="http://www.sec.gov/Archives/edgar/data/1070423/000107042322000006/paa202110-kexhibite69.htm" TargetMode="External"/><Relationship Id="rId100" Type="http://schemas.openxmlformats.org/officeDocument/2006/relationships/hyperlink" Target="http://www.sec.gov/Archives/edgar/data/1070423/000089924302002834/dex41.txt" TargetMode="External"/><Relationship Id="rId101" Type="http://schemas.openxmlformats.org/officeDocument/2006/relationships/hyperlink" Target="http://www.sec.gov/Archives/edgar/data/1070423/000110465906034368/a06-11663_1ex4d1.htm" TargetMode="External"/><Relationship Id="rId102" Type="http://schemas.openxmlformats.org/officeDocument/2006/relationships/hyperlink" Target="http://www.sec.gov/Archives/edgar/data/1070423/000095012906009235/h40667exv4w2.htm" TargetMode="External"/><Relationship Id="rId103" Type="http://schemas.openxmlformats.org/officeDocument/2006/relationships/hyperlink" Target="http://www.sec.gov/Archives/edgar/data/1070423/000119312512132295/d321017dex43.htm" TargetMode="External"/><Relationship Id="rId104" Type="http://schemas.openxmlformats.org/officeDocument/2006/relationships/hyperlink" Target="http://www.sec.gov/Archives/edgar/data/1070423/000119312512499932/d453762dex41.htm" TargetMode="External"/><Relationship Id="rId105" Type="http://schemas.openxmlformats.org/officeDocument/2006/relationships/hyperlink" Target="http://www.sec.gov/Archives/edgar/data/1070423/000119312512499932/d453762dex43.htm" TargetMode="External"/><Relationship Id="rId106" Type="http://schemas.openxmlformats.org/officeDocument/2006/relationships/hyperlink" Target="http://www.sec.gov/Archives/edgar/data/1070423/000119312513336066/d581734dex41.htm" TargetMode="External"/><Relationship Id="rId107" Type="http://schemas.openxmlformats.org/officeDocument/2006/relationships/hyperlink" Target="http://www.sec.gov/Archives/edgar/data/1070423/000119312514164183/d713938dex41.htm" TargetMode="External"/><Relationship Id="rId108" Type="http://schemas.openxmlformats.org/officeDocument/2006/relationships/hyperlink" Target="http://www.sec.gov/Archives/edgar/data/1070423/000119312514338289/d787160dex41.htm" TargetMode="External"/><Relationship Id="rId110" Type="http://schemas.openxmlformats.org/officeDocument/2006/relationships/hyperlink" Target="http://www.sec.gov/Archives/edgar/data/1070423/000119312514440007/d833885dex43.htm" TargetMode="External"/><Relationship Id="rId111" Type="http://schemas.openxmlformats.org/officeDocument/2006/relationships/hyperlink" Target="http://www.sec.gov/Archives/edgar/data/1070423/000119312515302829/d45393dex41.htm" TargetMode="External"/><Relationship Id="rId112" Type="http://schemas.openxmlformats.org/officeDocument/2006/relationships/hyperlink" Target="http://www.sec.gov/Archives/edgar/data/1070423/000110465916159593/a16-22232_1ex4d1.htm" TargetMode="External"/><Relationship Id="rId113" Type="http://schemas.openxmlformats.org/officeDocument/2006/relationships/hyperlink" Target="http://www.sec.gov/Archives/edgar/data/1070423/000141057819001281/tv529555_ex4-1.htm" TargetMode="External"/><Relationship Id="rId114" Type="http://schemas.openxmlformats.org/officeDocument/2006/relationships/hyperlink" Target="http://www.sec.gov/Archives/edgar/data/1070423/000110465920072270/tm2022235d1_ex4-1.htm" TargetMode="External"/><Relationship Id="rId115" Type="http://schemas.openxmlformats.org/officeDocument/2006/relationships/hyperlink" Target="http://www.sec.gov/Archives/edgar/data/1070423/000095012309050401/h68193exv4w1.htm" TargetMode="External"/><Relationship Id="rId116" Type="http://schemas.openxmlformats.org/officeDocument/2006/relationships/hyperlink" Target="http://www.sec.gov/Archives/edgar/data/1070423/000110465916093299/a16-3362_1ex4d1.htm" TargetMode="External"/><Relationship Id="rId117" Type="http://schemas.openxmlformats.org/officeDocument/2006/relationships/hyperlink" Target="http://www.sec.gov/Archives/edgar/data/1070423/000110465916158355/a16-21841_1ex10d4.htm" TargetMode="External"/><Relationship Id="rId118" Type="http://schemas.openxmlformats.org/officeDocument/2006/relationships/hyperlink" Target="https://www.sec.gov/Archives/edgar/data/1070423/000107042322000006/paa202110-kexhibit419.htm" TargetMode="External"/><Relationship Id="rId119" Type="http://schemas.openxmlformats.org/officeDocument/2006/relationships/hyperlink" Target="https://www.sec.gov/Archives/edgar/data/1070423/000107042322000012/paaq12022exhibit101.htm" TargetMode="External"/><Relationship Id="rId120" Type="http://schemas.openxmlformats.org/officeDocument/2006/relationships/hyperlink" Target="https://www.sec.gov/Archives/edgar/data/1070423/000110465922094478/tm2224524d1_ex10-1.htm" TargetMode="External"/><Relationship Id="rId121" Type="http://schemas.openxmlformats.org/officeDocument/2006/relationships/hyperlink" Target="https://www.sec.gov/Archives/edgar/data/1070423/000110465922094478/tm2224524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2022-11-08T05:28:48Z</dcterms:created>
  <dcterms:modified xsi:type="dcterms:W3CDTF">2022-11-08T05:28:48Z</dcterms:modified>
</cp:coreProperties>
</file>