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UNITED STATES</w:t>
      </w:r>
    </w:p>
    <w:p>
      <w:pPr>
        <w:pStyle w:val="TextBody"/>
        <w:bidi w:val="0"/>
        <w:spacing w:lineRule="auto" w:line="288" w:before="0" w:after="0"/>
        <w:jc w:val="center"/>
        <w:rPr>
          <w:rFonts w:ascii="Times New Roman;sans-serif" w:hAnsi="Times New Roman;sans-serif"/>
          <w:b/>
          <w:color w:val="000000"/>
          <w:sz w:val="34"/>
        </w:rPr>
      </w:pPr>
      <w:r>
        <w:rPr>
          <w:rFonts w:ascii="Times New Roman;sans-serif" w:hAnsi="Times New Roman;sans-serif"/>
          <w:b/>
          <w:color w:val="000000"/>
          <w:sz w:val="3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color w:val="000000"/>
          <w:sz w:val="10"/>
        </w:rPr>
      </w:pPr>
      <w:r>
        <w:rPr>
          <w:rFonts w:ascii="Times New Roman;sans-serif" w:hAnsi="Times New Roman;sans-serif"/>
          <w:b/>
          <w:color w:val="000000"/>
          <w:sz w:val="10"/>
        </w:rPr>
        <w:t>________________________________________________________________________________________________________________________________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June 30, 2024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1-14569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PLAINS ALL AMERICAN PIPELINE, L.P.</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0"/>
        <w:gridCol w:w="1390"/>
        <w:gridCol w:w="109"/>
        <w:gridCol w:w="109"/>
        <w:gridCol w:w="109"/>
        <w:gridCol w:w="793"/>
        <w:gridCol w:w="793"/>
        <w:gridCol w:w="1129"/>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76-0582150</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333 Clay Street, Suite 1600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Houston, Texas 77002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 (Zip code)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(713) 646-4100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Units</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PAA</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 </w:t>
      </w:r>
      <w:r>
        <w:rPr>
          <w:rFonts w:ascii="Times New Roman;sans-serif" w:hAnsi="Times New Roman;sans-serif"/>
          <w:b w:val="false"/>
          <w:color w:val="000000"/>
          <w:sz w:val="20"/>
        </w:rPr>
        <w:t>No</w:t>
      </w:r>
    </w:p>
    <w:p>
      <w:pPr>
        <w:pStyle w:val="TextBody"/>
        <w:bidi w:val="0"/>
        <w:spacing w:lineRule="auto" w:line="288" w:before="120" w:after="283"/>
        <w:ind w:left="0" w:right="0" w:firstLine="360"/>
        <w:jc w:val="left"/>
        <w:rPr/>
      </w:pPr>
      <w:r>
        <w:rPr>
          <w:color w:val="000000"/>
        </w:rPr>
        <w:t> </w:t>
      </w: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ind w:left="0" w:right="0" w:firstLine="360"/>
        <w:jc w:val="left"/>
        <w:rPr/>
      </w:pPr>
      <w:r>
        <w:rPr>
          <w:color w:val="000000"/>
        </w:rPr>
        <w:t> </w:t>
      </w: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20" w:after="283"/>
        <w:ind w:left="0" w:right="0" w:firstLine="360"/>
        <w:jc w:val="left"/>
        <w:rPr/>
      </w:pPr>
      <w:r>
        <w:rPr>
          <w:rFonts w:ascii="Times New Roman;sans-serif" w:hAnsi="Times New Roman;sans-serif"/>
          <w:b w:val="false"/>
          <w:color w:val="000000"/>
          <w:sz w:val="20"/>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July 31, 2024, there were 701,081,299 Common Units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18"/>
        <w:gridCol w:w="3080"/>
        <w:gridCol w:w="3094"/>
        <w:gridCol w:w="149"/>
        <w:gridCol w:w="149"/>
        <w:gridCol w:w="215"/>
      </w:tblGrid>
      <w:tr>
        <w:trPr/>
        <w:tc>
          <w:tcPr>
            <w:tcW w:w="3518"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309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44a56dd22cee4853b78b580dce76b31a_10">
              <w:r>
                <w:rPr>
                  <w:rStyle w:val="InternetLink"/>
                  <w:rFonts w:ascii="Times New Roman;sans-serif" w:hAnsi="Times New Roman;sans-serif"/>
                  <w:b/>
                  <w:color w:val="0000FF"/>
                  <w:sz w:val="20"/>
                  <w:u w:val="single"/>
                </w:rPr>
                <w:t>PART I. FINANCIAL INFORMATION</w:t>
              </w:r>
            </w:hyperlink>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13">
              <w:r>
                <w:rPr>
                  <w:rStyle w:val="InternetLink"/>
                  <w:rFonts w:ascii="Times New Roman;sans-serif" w:hAnsi="Times New Roman;sans-serif"/>
                  <w:b w:val="false"/>
                  <w:color w:val="0000FF"/>
                  <w:sz w:val="20"/>
                  <w:u w:val="single"/>
                </w:rPr>
                <w:t>Item 1. UNAUDITED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16">
              <w:r>
                <w:rPr>
                  <w:rStyle w:val="InternetLink"/>
                  <w:rFonts w:ascii="Times New Roman;sans-serif" w:hAnsi="Times New Roman;sans-serif"/>
                  <w:b w:val="false"/>
                  <w:color w:val="000080"/>
                  <w:sz w:val="20"/>
                  <w:u w:val="single"/>
                </w:rPr>
                <w:t xml:space="preserve">Condensed Consolidated Balance Sheets: As of </w:t>
              </w:r>
            </w:hyperlink>
            <w:hyperlink w:anchor="i44a56dd22cee4853b78b580dce76b31a_16">
              <w:r>
                <w:rPr>
                  <w:rStyle w:val="InternetLink"/>
                  <w:rFonts w:ascii="Times New Roman;sans-serif" w:hAnsi="Times New Roman;sans-serif"/>
                  <w:b w:val="false"/>
                  <w:color w:val="000080"/>
                  <w:sz w:val="20"/>
                  <w:u w:val="single"/>
                </w:rPr>
                <w:t>June 30</w:t>
              </w:r>
            </w:hyperlink>
            <w:hyperlink w:anchor="i44a56dd22cee4853b78b580dce76b31a_16">
              <w:r>
                <w:rPr>
                  <w:rStyle w:val="InternetLink"/>
                  <w:rFonts w:ascii="Times New Roman;sans-serif" w:hAnsi="Times New Roman;sans-serif"/>
                  <w:b w:val="false"/>
                  <w:color w:val="000080"/>
                  <w:sz w:val="20"/>
                  <w:u w:val="single"/>
                </w:rPr>
                <w:t>, 2024 and December 31,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16">
              <w:r>
                <w:rPr>
                  <w:rStyle w:val="InternetLink"/>
                  <w:rFonts w:ascii="Times New Roman;sans-serif" w:hAnsi="Times New Roman;sans-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4a56dd22cee4853b78b580dce76b31a_22">
              <w:r>
                <w:rPr>
                  <w:rStyle w:val="InternetLink"/>
                  <w:rFonts w:ascii="Times New Roman;sans-serif" w:hAnsi="Times New Roman;sans-serif"/>
                  <w:b w:val="false"/>
                  <w:color w:val="000080"/>
                  <w:sz w:val="20"/>
                  <w:u w:val="single"/>
                </w:rPr>
                <w:t>Condensed Consolidated Statements of Operations: For the three</w:t>
              </w:r>
            </w:hyperlink>
            <w:hyperlink w:anchor="i44a56dd22cee4853b78b580dce76b31a_22">
              <w:r>
                <w:rPr>
                  <w:rStyle w:val="InternetLink"/>
                  <w:rFonts w:ascii="Times New Roman;sans-serif" w:hAnsi="Times New Roman;sans-serif"/>
                  <w:b w:val="false"/>
                  <w:color w:val="000080"/>
                  <w:sz w:val="20"/>
                  <w:u w:val="single"/>
                </w:rPr>
                <w:t xml:space="preserve"> and six</w:t>
              </w:r>
            </w:hyperlink>
            <w:hyperlink w:anchor="i44a56dd22cee4853b78b580dce76b31a_22">
              <w:r>
                <w:rPr>
                  <w:rStyle w:val="InternetLink"/>
                  <w:rFonts w:ascii="Times New Roman;sans-serif" w:hAnsi="Times New Roman;sans-serif"/>
                  <w:b w:val="false"/>
                  <w:color w:val="000080"/>
                  <w:sz w:val="20"/>
                  <w:u w:val="single"/>
                </w:rPr>
                <w:t xml:space="preserve"> months ended </w:t>
              </w:r>
            </w:hyperlink>
            <w:hyperlink w:anchor="i44a56dd22cee4853b78b580dce76b31a_22">
              <w:r>
                <w:rPr>
                  <w:rStyle w:val="InternetLink"/>
                  <w:rFonts w:ascii="Times New Roman;sans-serif" w:hAnsi="Times New Roman;sans-serif"/>
                  <w:b w:val="false"/>
                  <w:color w:val="000080"/>
                  <w:sz w:val="20"/>
                  <w:u w:val="single"/>
                </w:rPr>
                <w:t>June 30</w:t>
              </w:r>
            </w:hyperlink>
            <w:hyperlink w:anchor="i44a56dd22cee4853b78b580dce76b31a_22">
              <w:r>
                <w:rPr>
                  <w:rStyle w:val="InternetLink"/>
                  <w:rFonts w:ascii="Times New Roman;sans-serif" w:hAnsi="Times New Roman;sans-serif"/>
                  <w:b w:val="false"/>
                  <w:color w:val="000080"/>
                  <w:sz w:val="20"/>
                  <w:u w:val="single"/>
                </w:rPr>
                <w:t>, 2024 and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22">
              <w:r>
                <w:rPr>
                  <w:rStyle w:val="InternetLink"/>
                  <w:rFonts w:ascii="Times New Roman;sans-serif" w:hAnsi="Times New Roman;sans-serif"/>
                  <w:b w:val="false"/>
                  <w:color w:val="0000FF"/>
                  <w:sz w:val="20"/>
                  <w:u w:val="single"/>
                </w:rPr>
                <w:t>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4a56dd22cee4853b78b580dce76b31a_25">
              <w:r>
                <w:rPr>
                  <w:rStyle w:val="InternetLink"/>
                  <w:rFonts w:ascii="Times New Roman;sans-serif" w:hAnsi="Times New Roman;sans-serif"/>
                  <w:b w:val="false"/>
                  <w:color w:val="000080"/>
                  <w:sz w:val="20"/>
                  <w:u w:val="single"/>
                </w:rPr>
                <w:t>Condensed Consolidated Statements of Comprehensive Income: For the three</w:t>
              </w:r>
            </w:hyperlink>
            <w:hyperlink w:anchor="i44a56dd22cee4853b78b580dce76b31a_25">
              <w:r>
                <w:rPr>
                  <w:rStyle w:val="InternetLink"/>
                  <w:rFonts w:ascii="Times New Roman;sans-serif" w:hAnsi="Times New Roman;sans-serif"/>
                  <w:b w:val="false"/>
                  <w:color w:val="000080"/>
                  <w:sz w:val="20"/>
                  <w:u w:val="single"/>
                </w:rPr>
                <w:t xml:space="preserve"> and six</w:t>
              </w:r>
            </w:hyperlink>
            <w:hyperlink w:anchor="i44a56dd22cee4853b78b580dce76b31a_25">
              <w:r>
                <w:rPr>
                  <w:rStyle w:val="InternetLink"/>
                  <w:rFonts w:ascii="Times New Roman;sans-serif" w:hAnsi="Times New Roman;sans-serif"/>
                  <w:b w:val="false"/>
                  <w:color w:val="000080"/>
                  <w:sz w:val="20"/>
                  <w:u w:val="single"/>
                </w:rPr>
                <w:t xml:space="preserve"> months ended </w:t>
              </w:r>
            </w:hyperlink>
            <w:hyperlink w:anchor="i44a56dd22cee4853b78b580dce76b31a_25">
              <w:r>
                <w:rPr>
                  <w:rStyle w:val="InternetLink"/>
                  <w:rFonts w:ascii="Times New Roman;sans-serif" w:hAnsi="Times New Roman;sans-serif"/>
                  <w:b w:val="false"/>
                  <w:color w:val="000080"/>
                  <w:sz w:val="20"/>
                  <w:u w:val="single"/>
                </w:rPr>
                <w:t>June 30</w:t>
              </w:r>
            </w:hyperlink>
            <w:hyperlink w:anchor="i44a56dd22cee4853b78b580dce76b31a_25">
              <w:r>
                <w:rPr>
                  <w:rStyle w:val="InternetLink"/>
                  <w:rFonts w:ascii="Times New Roman;sans-serif" w:hAnsi="Times New Roman;sans-serif"/>
                  <w:b w:val="false"/>
                  <w:color w:val="000080"/>
                  <w:sz w:val="20"/>
                  <w:u w:val="single"/>
                </w:rPr>
                <w:t>, 2024 and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25">
              <w:r>
                <w:rPr>
                  <w:rStyle w:val="InternetLink"/>
                  <w:rFonts w:ascii="Times New Roman;sans-serif" w:hAnsi="Times New Roman;sans-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4a56dd22cee4853b78b580dce76b31a_28">
              <w:r>
                <w:rPr>
                  <w:rStyle w:val="InternetLink"/>
                  <w:rFonts w:ascii="Times New Roman;sans-serif" w:hAnsi="Times New Roman;sans-serif"/>
                  <w:b w:val="false"/>
                  <w:color w:val="000080"/>
                  <w:sz w:val="20"/>
                  <w:u w:val="single"/>
                </w:rPr>
                <w:t xml:space="preserve">Condensed Consolidated Statements of Changes in Accumulated Other Comprehensive Income/(Loss): For the </w:t>
              </w:r>
            </w:hyperlink>
            <w:hyperlink w:anchor="i44a56dd22cee4853b78b580dce76b31a_28">
              <w:r>
                <w:rPr>
                  <w:rStyle w:val="InternetLink"/>
                  <w:rFonts w:ascii="Times New Roman;sans-serif" w:hAnsi="Times New Roman;sans-serif"/>
                  <w:b w:val="false"/>
                  <w:color w:val="000080"/>
                  <w:sz w:val="20"/>
                  <w:u w:val="single"/>
                </w:rPr>
                <w:t>six</w:t>
              </w:r>
            </w:hyperlink>
            <w:hyperlink w:anchor="i44a56dd22cee4853b78b580dce76b31a_28">
              <w:r>
                <w:rPr>
                  <w:rStyle w:val="InternetLink"/>
                  <w:rFonts w:ascii="Times New Roman;sans-serif" w:hAnsi="Times New Roman;sans-serif"/>
                  <w:b w:val="false"/>
                  <w:color w:val="000080"/>
                  <w:sz w:val="20"/>
                  <w:u w:val="single"/>
                </w:rPr>
                <w:t xml:space="preserve"> months ended </w:t>
              </w:r>
            </w:hyperlink>
            <w:hyperlink w:anchor="i44a56dd22cee4853b78b580dce76b31a_28">
              <w:r>
                <w:rPr>
                  <w:rStyle w:val="InternetLink"/>
                  <w:rFonts w:ascii="Times New Roman;sans-serif" w:hAnsi="Times New Roman;sans-serif"/>
                  <w:b w:val="false"/>
                  <w:color w:val="000080"/>
                  <w:sz w:val="20"/>
                  <w:u w:val="single"/>
                </w:rPr>
                <w:t>June 30</w:t>
              </w:r>
            </w:hyperlink>
            <w:hyperlink w:anchor="i44a56dd22cee4853b78b580dce76b31a_28">
              <w:r>
                <w:rPr>
                  <w:rStyle w:val="InternetLink"/>
                  <w:rFonts w:ascii="Times New Roman;sans-serif" w:hAnsi="Times New Roman;sans-serif"/>
                  <w:b w:val="false"/>
                  <w:color w:val="000080"/>
                  <w:sz w:val="20"/>
                  <w:u w:val="single"/>
                </w:rPr>
                <w:t>, 2024 and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28">
              <w:r>
                <w:rPr>
                  <w:rStyle w:val="InternetLink"/>
                  <w:rFonts w:ascii="Times New Roman;sans-serif" w:hAnsi="Times New Roman;sans-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31">
              <w:r>
                <w:rPr>
                  <w:rStyle w:val="InternetLink"/>
                  <w:rFonts w:ascii="Times New Roman;sans-serif" w:hAnsi="Times New Roman;sans-serif"/>
                  <w:b w:val="false"/>
                  <w:color w:val="000080"/>
                  <w:sz w:val="20"/>
                  <w:u w:val="single"/>
                </w:rPr>
                <w:t xml:space="preserve">Condensed Consolidated Statements of Cash Flows: For the </w:t>
              </w:r>
            </w:hyperlink>
            <w:hyperlink w:anchor="i44a56dd22cee4853b78b580dce76b31a_31">
              <w:r>
                <w:rPr>
                  <w:rStyle w:val="InternetLink"/>
                  <w:rFonts w:ascii="Times New Roman;sans-serif" w:hAnsi="Times New Roman;sans-serif"/>
                  <w:b w:val="false"/>
                  <w:color w:val="000080"/>
                  <w:sz w:val="20"/>
                  <w:u w:val="single"/>
                </w:rPr>
                <w:t>six</w:t>
              </w:r>
            </w:hyperlink>
            <w:hyperlink w:anchor="i44a56dd22cee4853b78b580dce76b31a_31">
              <w:r>
                <w:rPr>
                  <w:rStyle w:val="InternetLink"/>
                  <w:rFonts w:ascii="Times New Roman;sans-serif" w:hAnsi="Times New Roman;sans-serif"/>
                  <w:b w:val="false"/>
                  <w:color w:val="000080"/>
                  <w:sz w:val="20"/>
                  <w:u w:val="single"/>
                </w:rPr>
                <w:t xml:space="preserve"> months ended </w:t>
              </w:r>
            </w:hyperlink>
            <w:hyperlink w:anchor="i44a56dd22cee4853b78b580dce76b31a_31">
              <w:r>
                <w:rPr>
                  <w:rStyle w:val="InternetLink"/>
                  <w:rFonts w:ascii="Times New Roman;sans-serif" w:hAnsi="Times New Roman;sans-serif"/>
                  <w:b w:val="false"/>
                  <w:color w:val="000080"/>
                  <w:sz w:val="20"/>
                  <w:u w:val="single"/>
                </w:rPr>
                <w:t>June</w:t>
              </w:r>
            </w:hyperlink>
            <w:hyperlink w:anchor="i44a56dd22cee4853b78b580dce76b31a_31">
              <w:r>
                <w:rPr>
                  <w:rStyle w:val="InternetLink"/>
                  <w:rFonts w:ascii="Times New Roman;sans-serif" w:hAnsi="Times New Roman;sans-serif"/>
                  <w:b w:val="false"/>
                  <w:color w:val="000080"/>
                  <w:sz w:val="20"/>
                  <w:u w:val="single"/>
                </w:rPr>
                <w:t xml:space="preserve"> 3</w:t>
              </w:r>
            </w:hyperlink>
            <w:hyperlink w:anchor="i44a56dd22cee4853b78b580dce76b31a_31">
              <w:r>
                <w:rPr>
                  <w:rStyle w:val="InternetLink"/>
                  <w:rFonts w:ascii="Times New Roman;sans-serif" w:hAnsi="Times New Roman;sans-serif"/>
                  <w:b w:val="false"/>
                  <w:color w:val="000080"/>
                  <w:sz w:val="20"/>
                  <w:u w:val="single"/>
                </w:rPr>
                <w:t>0</w:t>
              </w:r>
            </w:hyperlink>
            <w:hyperlink w:anchor="i44a56dd22cee4853b78b580dce76b31a_31">
              <w:r>
                <w:rPr>
                  <w:rStyle w:val="InternetLink"/>
                  <w:rFonts w:ascii="Times New Roman;sans-serif" w:hAnsi="Times New Roman;sans-serif"/>
                  <w:b w:val="false"/>
                  <w:color w:val="000080"/>
                  <w:sz w:val="20"/>
                  <w:u w:val="single"/>
                </w:rPr>
                <w:t>, 2024 and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31">
              <w:r>
                <w:rPr>
                  <w:rStyle w:val="InternetLink"/>
                  <w:rFonts w:ascii="Times New Roman;sans-serif" w:hAnsi="Times New Roman;sans-serif"/>
                  <w:b w:val="false"/>
                  <w:color w:val="0000FF"/>
                  <w:sz w:val="20"/>
                  <w:u w:val="single"/>
                </w:rPr>
                <w:t>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4a56dd22cee4853b78b580dce76b31a_34">
              <w:r>
                <w:rPr>
                  <w:rStyle w:val="InternetLink"/>
                  <w:rFonts w:ascii="Times New Roman;sans-serif" w:hAnsi="Times New Roman;sans-serif"/>
                  <w:b w:val="false"/>
                  <w:color w:val="000080"/>
                  <w:sz w:val="20"/>
                  <w:u w:val="single"/>
                </w:rPr>
                <w:t xml:space="preserve">Condensed Consolidated Statements of Changes in Partners’ Capital: For the three </w:t>
              </w:r>
            </w:hyperlink>
            <w:hyperlink w:anchor="i44a56dd22cee4853b78b580dce76b31a_34">
              <w:r>
                <w:rPr>
                  <w:rStyle w:val="InternetLink"/>
                  <w:rFonts w:ascii="Times New Roman;sans-serif" w:hAnsi="Times New Roman;sans-serif"/>
                  <w:b w:val="false"/>
                  <w:color w:val="000080"/>
                  <w:sz w:val="20"/>
                  <w:u w:val="single"/>
                </w:rPr>
                <w:t xml:space="preserve">and six </w:t>
              </w:r>
            </w:hyperlink>
            <w:hyperlink w:anchor="i44a56dd22cee4853b78b580dce76b31a_34">
              <w:r>
                <w:rPr>
                  <w:rStyle w:val="InternetLink"/>
                  <w:rFonts w:ascii="Times New Roman;sans-serif" w:hAnsi="Times New Roman;sans-serif"/>
                  <w:b w:val="false"/>
                  <w:color w:val="000080"/>
                  <w:sz w:val="20"/>
                  <w:u w:val="single"/>
                </w:rPr>
                <w:t xml:space="preserve">months ended </w:t>
              </w:r>
            </w:hyperlink>
            <w:hyperlink w:anchor="i44a56dd22cee4853b78b580dce76b31a_34">
              <w:r>
                <w:rPr>
                  <w:rStyle w:val="InternetLink"/>
                  <w:rFonts w:ascii="Times New Roman;sans-serif" w:hAnsi="Times New Roman;sans-serif"/>
                  <w:b w:val="false"/>
                  <w:color w:val="000080"/>
                  <w:sz w:val="20"/>
                  <w:u w:val="single"/>
                </w:rPr>
                <w:t>June</w:t>
              </w:r>
            </w:hyperlink>
            <w:hyperlink w:anchor="i44a56dd22cee4853b78b580dce76b31a_34">
              <w:r>
                <w:rPr>
                  <w:rStyle w:val="InternetLink"/>
                  <w:rFonts w:ascii="Times New Roman;sans-serif" w:hAnsi="Times New Roman;sans-serif"/>
                  <w:b w:val="false"/>
                  <w:color w:val="000080"/>
                  <w:sz w:val="20"/>
                  <w:u w:val="single"/>
                </w:rPr>
                <w:t xml:space="preserve"> 3</w:t>
              </w:r>
            </w:hyperlink>
            <w:hyperlink w:anchor="i44a56dd22cee4853b78b580dce76b31a_34">
              <w:r>
                <w:rPr>
                  <w:rStyle w:val="InternetLink"/>
                  <w:rFonts w:ascii="Times New Roman;sans-serif" w:hAnsi="Times New Roman;sans-serif"/>
                  <w:b w:val="false"/>
                  <w:color w:val="000080"/>
                  <w:sz w:val="20"/>
                  <w:u w:val="single"/>
                </w:rPr>
                <w:t>0</w:t>
              </w:r>
            </w:hyperlink>
            <w:hyperlink w:anchor="i44a56dd22cee4853b78b580dce76b31a_34">
              <w:r>
                <w:rPr>
                  <w:rStyle w:val="InternetLink"/>
                  <w:rFonts w:ascii="Times New Roman;sans-serif" w:hAnsi="Times New Roman;sans-serif"/>
                  <w:b w:val="false"/>
                  <w:color w:val="000080"/>
                  <w:sz w:val="20"/>
                  <w:u w:val="single"/>
                </w:rPr>
                <w:t>, 2024 and 2023</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34">
              <w:r>
                <w:rPr>
                  <w:rStyle w:val="InternetLink"/>
                  <w:rFonts w:ascii="Times New Roman;sans-serif" w:hAnsi="Times New Roman;sans-serif"/>
                  <w:b w:val="false"/>
                  <w:color w:val="0000FF"/>
                  <w:sz w:val="20"/>
                  <w:u w:val="single"/>
                </w:rPr>
                <w:t>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37">
              <w:r>
                <w:rPr>
                  <w:rStyle w:val="InternetLink"/>
                  <w:rFonts w:ascii="Times New Roman;sans-serif" w:hAnsi="Times New Roman;sans-serif"/>
                  <w:b w:val="false"/>
                  <w:color w:val="0000FF"/>
                  <w:sz w:val="20"/>
                  <w:u w:val="single"/>
                </w:rPr>
                <w:t>Notes to the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40">
              <w:r>
                <w:rPr>
                  <w:rStyle w:val="InternetLink"/>
                  <w:rFonts w:ascii="Times New Roman;sans-serif" w:hAnsi="Times New Roman;sans-serif"/>
                  <w:b w:val="false"/>
                  <w:color w:val="0000FF"/>
                  <w:sz w:val="20"/>
                  <w:u w:val="single"/>
                </w:rPr>
                <w:t>1. Organization and Basis of Consolidation and Presentation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40">
              <w:r>
                <w:rPr>
                  <w:rStyle w:val="InternetLink"/>
                  <w:rFonts w:ascii="Times New Roman;sans-serif" w:hAnsi="Times New Roman;sans-serif"/>
                  <w:b w:val="false"/>
                  <w:color w:val="0000FF"/>
                  <w:sz w:val="20"/>
                  <w:u w:val="single"/>
                </w:rPr>
                <w:t>9</w:t>
              </w:r>
            </w:hyperlink>
          </w:p>
        </w:tc>
      </w:tr>
      <w:tr>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46">
              <w:r>
                <w:rPr>
                  <w:rStyle w:val="InternetLink"/>
                  <w:rFonts w:ascii="Times New Roman;sans-serif" w:hAnsi="Times New Roman;sans-serif"/>
                  <w:b w:val="false"/>
                  <w:color w:val="0000FF"/>
                  <w:sz w:val="20"/>
                  <w:u w:val="single"/>
                </w:rPr>
                <w:t>2. Revenues and Accounts Receivable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46">
              <w:r>
                <w:rPr>
                  <w:rStyle w:val="InternetLink"/>
                  <w:rFonts w:ascii="Times New Roman;sans-serif" w:hAnsi="Times New Roman;sans-serif"/>
                  <w:b w:val="false"/>
                  <w:color w:val="0000FF"/>
                  <w:sz w:val="20"/>
                  <w:u w:val="single"/>
                </w:rPr>
                <w:t>11</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52">
              <w:r>
                <w:rPr>
                  <w:rStyle w:val="InternetLink"/>
                  <w:rFonts w:ascii="Times New Roman;sans-serif" w:hAnsi="Times New Roman;sans-serif"/>
                  <w:b w:val="false"/>
                  <w:color w:val="0000FF"/>
                  <w:sz w:val="20"/>
                  <w:u w:val="single"/>
                </w:rPr>
                <w:t>3. Net Income Per Common Unit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52">
              <w:r>
                <w:rPr>
                  <w:rStyle w:val="InternetLink"/>
                  <w:rFonts w:ascii="Times New Roman;sans-serif" w:hAnsi="Times New Roman;sans-serif"/>
                  <w:b w:val="false"/>
                  <w:color w:val="0000FF"/>
                  <w:sz w:val="20"/>
                  <w:u w:val="single"/>
                </w:rPr>
                <w:t>14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55">
              <w:r>
                <w:rPr>
                  <w:rStyle w:val="InternetLink"/>
                  <w:rFonts w:ascii="Times New Roman;sans-serif" w:hAnsi="Times New Roman;sans-serif"/>
                  <w:b w:val="false"/>
                  <w:color w:val="0000FF"/>
                  <w:sz w:val="20"/>
                  <w:u w:val="single"/>
                </w:rPr>
                <w:t>4. Inventory, Linefill and Long-term Inventory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55">
              <w:r>
                <w:rPr>
                  <w:rStyle w:val="InternetLink"/>
                  <w:rFonts w:ascii="Times New Roman;sans-serif" w:hAnsi="Times New Roman;sans-serif"/>
                  <w:b w:val="false"/>
                  <w:color w:val="0000FF"/>
                  <w:sz w:val="20"/>
                  <w:u w:val="single"/>
                </w:rPr>
                <w:t>15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58">
              <w:r>
                <w:rPr>
                  <w:rStyle w:val="InternetLink"/>
                  <w:rFonts w:ascii="Times New Roman;sans-serif" w:hAnsi="Times New Roman;sans-serif"/>
                  <w:b w:val="false"/>
                  <w:color w:val="0000FF"/>
                  <w:sz w:val="20"/>
                  <w:u w:val="single"/>
                </w:rPr>
                <w:t>5. Debt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58">
              <w:r>
                <w:rPr>
                  <w:rStyle w:val="InternetLink"/>
                  <w:rFonts w:ascii="Times New Roman;sans-serif" w:hAnsi="Times New Roman;sans-serif"/>
                  <w:b w:val="false"/>
                  <w:color w:val="0000FF"/>
                  <w:sz w:val="20"/>
                  <w:u w:val="single"/>
                </w:rPr>
                <w:t>16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61">
              <w:r>
                <w:rPr>
                  <w:rStyle w:val="InternetLink"/>
                  <w:rFonts w:ascii="Times New Roman;sans-serif" w:hAnsi="Times New Roman;sans-serif"/>
                  <w:b w:val="false"/>
                  <w:color w:val="0000FF"/>
                  <w:sz w:val="20"/>
                  <w:u w:val="single"/>
                </w:rPr>
                <w:t>6. Partners’ Capital and Distributions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61">
              <w:r>
                <w:rPr>
                  <w:rStyle w:val="InternetLink"/>
                  <w:rFonts w:ascii="Times New Roman;sans-serif" w:hAnsi="Times New Roman;sans-serif"/>
                  <w:b w:val="false"/>
                  <w:color w:val="0000FF"/>
                  <w:sz w:val="20"/>
                  <w:u w:val="single"/>
                </w:rPr>
                <w:t>17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64">
              <w:r>
                <w:rPr>
                  <w:rStyle w:val="InternetLink"/>
                  <w:rFonts w:ascii="Times New Roman;sans-serif" w:hAnsi="Times New Roman;sans-serif"/>
                  <w:b w:val="false"/>
                  <w:color w:val="0000FF"/>
                  <w:sz w:val="20"/>
                  <w:u w:val="single"/>
                </w:rPr>
                <w:t>7. Derivatives and Risk Management Activities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64">
              <w:r>
                <w:rPr>
                  <w:rStyle w:val="InternetLink"/>
                  <w:rFonts w:ascii="Times New Roman;sans-serif" w:hAnsi="Times New Roman;sans-serif"/>
                  <w:b w:val="false"/>
                  <w:color w:val="0000FF"/>
                  <w:sz w:val="20"/>
                  <w:u w:val="single"/>
                </w:rPr>
                <w:t>19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67">
              <w:r>
                <w:rPr>
                  <w:rStyle w:val="InternetLink"/>
                  <w:rFonts w:ascii="Times New Roman;sans-serif" w:hAnsi="Times New Roman;sans-serif"/>
                  <w:b w:val="false"/>
                  <w:color w:val="0000FF"/>
                  <w:sz w:val="20"/>
                  <w:u w:val="single"/>
                </w:rPr>
                <w:t>8. Related Party Transactions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67">
              <w:r>
                <w:rPr>
                  <w:rStyle w:val="InternetLink"/>
                  <w:rFonts w:ascii="Times New Roman;sans-serif" w:hAnsi="Times New Roman;sans-serif"/>
                  <w:b w:val="false"/>
                  <w:color w:val="0000FF"/>
                  <w:sz w:val="20"/>
                  <w:u w:val="single"/>
                </w:rPr>
                <w:t>23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70">
              <w:r>
                <w:rPr>
                  <w:rStyle w:val="InternetLink"/>
                  <w:rFonts w:ascii="Times New Roman;sans-serif" w:hAnsi="Times New Roman;sans-serif"/>
                  <w:b w:val="false"/>
                  <w:color w:val="0000FF"/>
                  <w:sz w:val="20"/>
                  <w:u w:val="single"/>
                </w:rPr>
                <w:t>9. Commitments and Contingencies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70">
              <w:r>
                <w:rPr>
                  <w:rStyle w:val="InternetLink"/>
                  <w:rFonts w:ascii="Times New Roman;sans-serif" w:hAnsi="Times New Roman;sans-serif"/>
                  <w:b w:val="false"/>
                  <w:color w:val="0000FF"/>
                  <w:sz w:val="20"/>
                  <w:u w:val="single"/>
                </w:rPr>
                <w:t>25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73">
              <w:r>
                <w:rPr>
                  <w:rStyle w:val="InternetLink"/>
                  <w:rFonts w:ascii="Times New Roman;sans-serif" w:hAnsi="Times New Roman;sans-serif"/>
                  <w:b w:val="false"/>
                  <w:color w:val="0000FF"/>
                  <w:sz w:val="20"/>
                  <w:u w:val="single"/>
                </w:rPr>
                <w:t>10. Segment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73">
              <w:r>
                <w:rPr>
                  <w:rStyle w:val="InternetLink"/>
                  <w:rFonts w:ascii="Times New Roman;sans-serif" w:hAnsi="Times New Roman;sans-serif"/>
                  <w:b w:val="false"/>
                  <w:color w:val="0000FF"/>
                  <w:sz w:val="20"/>
                  <w:u w:val="single"/>
                </w:rPr>
                <w:t>30</w:t>
              </w:r>
            </w:hyperlink>
          </w:p>
        </w:tc>
      </w:tr>
      <w:tr>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pPr>
            <w:hyperlink w:anchor="i44a56dd22cee4853b78b580dce76b31a_82">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82">
              <w:r>
                <w:rPr>
                  <w:rStyle w:val="InternetLink"/>
                  <w:rFonts w:ascii="Times New Roman;sans-serif" w:hAnsi="Times New Roman;sans-serif"/>
                  <w:b w:val="false"/>
                  <w:color w:val="0000FF"/>
                  <w:sz w:val="20"/>
                  <w:u w:val="single"/>
                </w:rPr>
                <w:t>34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115">
              <w:r>
                <w:rPr>
                  <w:rStyle w:val="InternetLink"/>
                  <w:rFonts w:ascii="Times New Roman;sans-serif" w:hAnsi="Times New Roman;sans-serif"/>
                  <w:b w:val="false"/>
                  <w:color w:val="0000FF"/>
                  <w:sz w:val="20"/>
                  <w:u w:val="single"/>
                </w:rPr>
                <w:t>Item 3. 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115">
              <w:r>
                <w:rPr>
                  <w:rStyle w:val="InternetLink"/>
                  <w:rFonts w:ascii="Times New Roman;sans-serif" w:hAnsi="Times New Roman;sans-serif"/>
                  <w:b w:val="false"/>
                  <w:color w:val="0000FF"/>
                  <w:sz w:val="20"/>
                  <w:u w:val="single"/>
                </w:rPr>
                <w:t>53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118">
              <w:r>
                <w:rPr>
                  <w:rStyle w:val="InternetLink"/>
                  <w:rFonts w:ascii="Times New Roman;sans-serif" w:hAnsi="Times New Roman;sans-serif"/>
                  <w:b w:val="false"/>
                  <w:color w:val="0000FF"/>
                  <w:sz w:val="20"/>
                  <w:u w:val="single"/>
                </w:rPr>
                <w:t>Item 4. 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118">
              <w:r>
                <w:rPr>
                  <w:rStyle w:val="InternetLink"/>
                  <w:rFonts w:ascii="Times New Roman;sans-serif" w:hAnsi="Times New Roman;sans-serif"/>
                  <w:b w:val="false"/>
                  <w:color w:val="0000FF"/>
                  <w:sz w:val="20"/>
                  <w:u w:val="single"/>
                </w:rPr>
                <w:t>54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121">
              <w:r>
                <w:rPr>
                  <w:rStyle w:val="InternetLink"/>
                  <w:rFonts w:ascii="Times New Roman;sans-serif" w:hAnsi="Times New Roman;sans-serif"/>
                  <w:b/>
                  <w:color w:val="0000FF"/>
                  <w:sz w:val="20"/>
                  <w:u w:val="single"/>
                </w:rPr>
                <w:t>PART II.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124">
              <w:r>
                <w:rPr>
                  <w:rStyle w:val="InternetLink"/>
                  <w:rFonts w:ascii="Times New Roman;sans-serif" w:hAnsi="Times New Roman;sans-serif"/>
                  <w:b w:val="false"/>
                  <w:color w:val="0000FF"/>
                  <w:sz w:val="20"/>
                  <w:u w:val="single"/>
                </w:rPr>
                <w:t>Item 1. 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124">
              <w:r>
                <w:rPr>
                  <w:rStyle w:val="InternetLink"/>
                  <w:rFonts w:ascii="Times New Roman;sans-serif" w:hAnsi="Times New Roman;sans-serif"/>
                  <w:b w:val="false"/>
                  <w:color w:val="0000FF"/>
                  <w:sz w:val="20"/>
                  <w:u w:val="single"/>
                </w:rPr>
                <w:t>55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127">
              <w:r>
                <w:rPr>
                  <w:rStyle w:val="InternetLink"/>
                  <w:rFonts w:ascii="Times New Roman;sans-serif" w:hAnsi="Times New Roman;sans-serif"/>
                  <w:b w:val="false"/>
                  <w:color w:val="0000FF"/>
                  <w:sz w:val="20"/>
                  <w:u w:val="single"/>
                </w:rPr>
                <w:t>Item 1A.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127">
              <w:r>
                <w:rPr>
                  <w:rStyle w:val="InternetLink"/>
                  <w:rFonts w:ascii="Times New Roman;sans-serif" w:hAnsi="Times New Roman;sans-serif"/>
                  <w:b w:val="false"/>
                  <w:color w:val="0000FF"/>
                  <w:sz w:val="20"/>
                  <w:u w:val="single"/>
                </w:rPr>
                <w:t>55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130">
              <w:r>
                <w:rPr>
                  <w:rStyle w:val="InternetLink"/>
                  <w:rFonts w:ascii="Times New Roman;sans-serif" w:hAnsi="Times New Roman;sans-serif"/>
                  <w:b w:val="false"/>
                  <w:color w:val="0000FF"/>
                  <w:sz w:val="20"/>
                  <w:u w:val="single"/>
                </w:rPr>
                <w:t>Item 2. 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130">
              <w:r>
                <w:rPr>
                  <w:rStyle w:val="InternetLink"/>
                  <w:rFonts w:ascii="Times New Roman;sans-serif" w:hAnsi="Times New Roman;sans-serif"/>
                  <w:b w:val="false"/>
                  <w:color w:val="0000FF"/>
                  <w:sz w:val="20"/>
                  <w:u w:val="single"/>
                </w:rPr>
                <w:t>55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133">
              <w:r>
                <w:rPr>
                  <w:rStyle w:val="InternetLink"/>
                  <w:rFonts w:ascii="Times New Roman;sans-serif" w:hAnsi="Times New Roman;sans-serif"/>
                  <w:b w:val="false"/>
                  <w:color w:val="0000FF"/>
                  <w:sz w:val="20"/>
                  <w:u w:val="single"/>
                </w:rPr>
                <w:t>Item 3. 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133">
              <w:r>
                <w:rPr>
                  <w:rStyle w:val="InternetLink"/>
                  <w:rFonts w:ascii="Times New Roman;sans-serif" w:hAnsi="Times New Roman;sans-serif"/>
                  <w:b w:val="false"/>
                  <w:color w:val="0000FF"/>
                  <w:sz w:val="20"/>
                  <w:u w:val="single"/>
                </w:rPr>
                <w:t>55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136">
              <w:r>
                <w:rPr>
                  <w:rStyle w:val="InternetLink"/>
                  <w:rFonts w:ascii="Times New Roman;sans-serif" w:hAnsi="Times New Roman;sans-serif"/>
                  <w:b w:val="false"/>
                  <w:color w:val="0000FF"/>
                  <w:sz w:val="20"/>
                  <w:u w:val="single"/>
                </w:rPr>
                <w:t>Item 4. 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136">
              <w:r>
                <w:rPr>
                  <w:rStyle w:val="InternetLink"/>
                  <w:rFonts w:ascii="Times New Roman;sans-serif" w:hAnsi="Times New Roman;sans-serif"/>
                  <w:b w:val="false"/>
                  <w:color w:val="0000FF"/>
                  <w:sz w:val="20"/>
                  <w:u w:val="single"/>
                </w:rPr>
                <w:t>55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139">
              <w:r>
                <w:rPr>
                  <w:rStyle w:val="InternetLink"/>
                  <w:rFonts w:ascii="Times New Roman;sans-serif" w:hAnsi="Times New Roman;sans-serif"/>
                  <w:b w:val="false"/>
                  <w:color w:val="0000FF"/>
                  <w:sz w:val="20"/>
                  <w:u w:val="single"/>
                </w:rPr>
                <w:t>Item 5.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139">
              <w:r>
                <w:rPr>
                  <w:rStyle w:val="InternetLink"/>
                  <w:rFonts w:ascii="Times New Roman;sans-serif" w:hAnsi="Times New Roman;sans-serif"/>
                  <w:b w:val="false"/>
                  <w:color w:val="0000FF"/>
                  <w:sz w:val="20"/>
                  <w:u w:val="single"/>
                </w:rPr>
                <w:t>55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142">
              <w:r>
                <w:rPr>
                  <w:rStyle w:val="InternetLink"/>
                  <w:rFonts w:ascii="Times New Roman;sans-serif" w:hAnsi="Times New Roman;sans-serif"/>
                  <w:b w:val="false"/>
                  <w:color w:val="0000FF"/>
                  <w:sz w:val="20"/>
                  <w:u w:val="single"/>
                </w:rPr>
                <w:t>Item 6.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142">
              <w:r>
                <w:rPr>
                  <w:rStyle w:val="InternetLink"/>
                  <w:rFonts w:ascii="Times New Roman;sans-serif" w:hAnsi="Times New Roman;sans-serif"/>
                  <w:b w:val="false"/>
                  <w:color w:val="0000FF"/>
                  <w:sz w:val="20"/>
                  <w:u w:val="single"/>
                </w:rPr>
                <w:t>56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56dd22cee4853b78b580dce76b31a_148">
              <w:r>
                <w:rPr>
                  <w:rStyle w:val="InternetLink"/>
                  <w:rFonts w:ascii="Times New Roman;sans-serif" w:hAnsi="Times New Roman;sans-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4a56dd22cee4853b78b580dce76b31a_148">
              <w:r>
                <w:rPr>
                  <w:rStyle w:val="InternetLink"/>
                  <w:rFonts w:ascii="Times New Roman;sans-serif" w:hAnsi="Times New Roman;sans-serif"/>
                  <w:b w:val="false"/>
                  <w:color w:val="0000FF"/>
                  <w:sz w:val="20"/>
                  <w:u w:val="single"/>
                </w:rPr>
                <w:t>60</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120"/>
        <w:jc w:val="center"/>
        <w:rPr/>
      </w:pPr>
      <w:r>
        <w:rPr>
          <w:rFonts w:ascii="Times New Roman;sans-serif" w:hAnsi="Times New Roman;sans-serif"/>
          <w:b/>
          <w:color w:val="000000"/>
          <w:sz w:val="20"/>
        </w:rPr>
        <w:t>PART I. FINANCIAL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Item 1.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unit data)</w:t>
      </w:r>
    </w:p>
    <w:tbl>
      <w:tblPr>
        <w:tblW w:w="9991" w:type="dxa"/>
        <w:jc w:val="center"/>
        <w:tblInd w:w="0" w:type="dxa"/>
        <w:tblLayout w:type="fixed"/>
        <w:tblCellMar>
          <w:top w:w="28" w:type="dxa"/>
          <w:left w:w="28" w:type="dxa"/>
          <w:bottom w:w="28" w:type="dxa"/>
          <w:right w:w="28" w:type="dxa"/>
        </w:tblCellMar>
      </w:tblPr>
      <w:tblGrid>
        <w:gridCol w:w="2705"/>
        <w:gridCol w:w="2379"/>
        <w:gridCol w:w="2400"/>
        <w:gridCol w:w="211"/>
        <w:gridCol w:w="721"/>
        <w:gridCol w:w="109"/>
        <w:gridCol w:w="109"/>
        <w:gridCol w:w="109"/>
        <w:gridCol w:w="109"/>
        <w:gridCol w:w="221"/>
        <w:gridCol w:w="757"/>
        <w:gridCol w:w="161"/>
      </w:tblGrid>
      <w:tr>
        <w:trPr/>
        <w:tc>
          <w:tcPr>
            <w:tcW w:w="2705"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receivable and other receivables,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3,760 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4,913 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21,143 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Accumulated 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(5,361)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and equipment, net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15,782 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OTHER ASSETS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Intangible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Linefill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operating lease right-of-use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27,355 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 AND PARTNERS’ CAPITAL</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Trade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Short-term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5,003 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LONG-TERM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Senior notes,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debt,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Long-term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long-term liabilities and deferred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long-term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8,620 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COMMITMENTS AND CONTINGENCIES (NOTE 9)</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PARTNERS’ CAPITAL</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Series A preferred unitholders (71,090,468 and 71,090,468 units outstanding,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Series B preferred unitholders (800,000 and 800,000 units outstanding,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Common unitholders (701,081,299 and 701,008,749 units outstanding,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8,126 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partners’ capital excluding noncontrolling interests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10,276 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10,422 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3,310 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partners’ capital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13,578 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13,732 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liabilities and partners’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27,453 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27,355 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 except per unit data)</w:t>
      </w:r>
    </w:p>
    <w:tbl>
      <w:tblPr>
        <w:tblW w:w="10205" w:type="dxa"/>
        <w:jc w:val="center"/>
        <w:tblInd w:w="0" w:type="dxa"/>
        <w:tblLayout w:type="fixed"/>
        <w:tblCellMar>
          <w:top w:w="28" w:type="dxa"/>
          <w:left w:w="28" w:type="dxa"/>
          <w:bottom w:w="28" w:type="dxa"/>
          <w:right w:w="28" w:type="dxa"/>
        </w:tblCellMar>
      </w:tblPr>
      <w:tblGrid>
        <w:gridCol w:w="1913"/>
        <w:gridCol w:w="1547"/>
        <w:gridCol w:w="155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191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23,093 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INCOME/(EXPENSE)</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capitalized interest of $2, $3, $4, and $5,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TAX</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(expense)/benefit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ATTRIBUTABLE TO PAA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COMMON UNIT (NOTE 3):</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 </w:t>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allocated to common unitholders —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units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unit</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501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60" w:after="283"/>
        <w:ind w:left="0" w:right="0" w:hanging="36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lineRule="auto" w:line="288" w:before="0" w:after="0"/>
        <w:jc w:val="center"/>
        <w:rPr>
          <w:color w:val="000000"/>
        </w:rPr>
      </w:pPr>
      <w:r>
        <w:rPr>
          <w:color w:val="000000"/>
        </w:rPr>
        <w:t> </w:t>
      </w:r>
    </w:p>
    <w:tbl>
      <w:tblPr>
        <w:tblW w:w="9404" w:type="dxa"/>
        <w:jc w:val="center"/>
        <w:tblInd w:w="0" w:type="dxa"/>
        <w:tblLayout w:type="fixed"/>
        <w:tblCellMar>
          <w:top w:w="28" w:type="dxa"/>
          <w:left w:w="28" w:type="dxa"/>
          <w:bottom w:w="28" w:type="dxa"/>
          <w:right w:w="28" w:type="dxa"/>
        </w:tblCellMar>
      </w:tblPr>
      <w:tblGrid>
        <w:gridCol w:w="1894"/>
        <w:gridCol w:w="1662"/>
        <w:gridCol w:w="1678"/>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income/(loss)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PAA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ACCUMULATED OTHER COMPREHENSIVE INCOME/(LOSS)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6549" w:type="dxa"/>
        <w:jc w:val="left"/>
        <w:tblInd w:w="0" w:type="dxa"/>
        <w:tblLayout w:type="fixed"/>
        <w:tblCellMar>
          <w:top w:w="28" w:type="dxa"/>
          <w:left w:w="28" w:type="dxa"/>
          <w:bottom w:w="28" w:type="dxa"/>
          <w:right w:w="28" w:type="dxa"/>
        </w:tblCellMar>
      </w:tblPr>
      <w:tblGrid>
        <w:gridCol w:w="1015"/>
        <w:gridCol w:w="892"/>
        <w:gridCol w:w="897"/>
        <w:gridCol w:w="291"/>
        <w:gridCol w:w="519"/>
        <w:gridCol w:w="151"/>
        <w:gridCol w:w="109"/>
        <w:gridCol w:w="109"/>
        <w:gridCol w:w="109"/>
        <w:gridCol w:w="265"/>
        <w:gridCol w:w="604"/>
        <w:gridCol w:w="137"/>
        <w:gridCol w:w="109"/>
        <w:gridCol w:w="109"/>
        <w:gridCol w:w="109"/>
        <w:gridCol w:w="109"/>
        <w:gridCol w:w="109"/>
        <w:gridCol w:w="211"/>
        <w:gridCol w:w="54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0"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1015" w:type="dxa"/>
            <w:gridSpan w:val="4"/>
            <w:tcBorders/>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activity</w:t>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7384" w:type="dxa"/>
        <w:jc w:val="center"/>
        <w:tblInd w:w="0" w:type="dxa"/>
        <w:tblLayout w:type="fixed"/>
        <w:tblCellMar>
          <w:top w:w="28" w:type="dxa"/>
          <w:left w:w="28" w:type="dxa"/>
          <w:bottom w:w="28" w:type="dxa"/>
          <w:right w:w="28" w:type="dxa"/>
        </w:tblCellMar>
      </w:tblPr>
      <w:tblGrid>
        <w:gridCol w:w="1015"/>
        <w:gridCol w:w="892"/>
        <w:gridCol w:w="897"/>
        <w:gridCol w:w="253"/>
        <w:gridCol w:w="577"/>
        <w:gridCol w:w="131"/>
        <w:gridCol w:w="109"/>
        <w:gridCol w:w="109"/>
        <w:gridCol w:w="109"/>
        <w:gridCol w:w="265"/>
        <w:gridCol w:w="604"/>
        <w:gridCol w:w="137"/>
        <w:gridCol w:w="109"/>
        <w:gridCol w:w="109"/>
        <w:gridCol w:w="109"/>
        <w:gridCol w:w="211"/>
        <w:gridCol w:w="406"/>
        <w:gridCol w:w="109"/>
        <w:gridCol w:w="109"/>
        <w:gridCol w:w="109"/>
        <w:gridCol w:w="109"/>
        <w:gridCol w:w="211"/>
        <w:gridCol w:w="54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hedges</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period activity</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tbl>
      <w:tblPr>
        <w:tblW w:w="8077" w:type="dxa"/>
        <w:jc w:val="center"/>
        <w:tblInd w:w="0" w:type="dxa"/>
        <w:tblLayout w:type="fixed"/>
        <w:tblCellMar>
          <w:top w:w="28" w:type="dxa"/>
          <w:left w:w="28" w:type="dxa"/>
          <w:bottom w:w="28" w:type="dxa"/>
          <w:right w:w="28" w:type="dxa"/>
        </w:tblCellMar>
      </w:tblPr>
      <w:tblGrid>
        <w:gridCol w:w="2218"/>
        <w:gridCol w:w="1949"/>
        <w:gridCol w:w="1953"/>
        <w:gridCol w:w="211"/>
        <w:gridCol w:w="466"/>
        <w:gridCol w:w="109"/>
        <w:gridCol w:w="109"/>
        <w:gridCol w:w="109"/>
        <w:gridCol w:w="109"/>
        <w:gridCol w:w="215"/>
        <w:gridCol w:w="475"/>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OPERATING ACTIVITIES</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Reconciliation of net income to net cash provided by operating activities:</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and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(Gains)/losses on asset sales,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Deferred income tax expense/(benefit)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(Gain)/loss on foreign currency revaluation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Settlement of terminated interest rate hedging instruments (Note 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 in fair value of Preferred Distribution Rate Reset Option (Note 7)</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 earnings in unconsolidated entities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on earnings from unconsolidated entities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assets and liabilities, net of acquisitions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operating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INVESTING ACTIVITIES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paid in connection with acquisitions, net of cash acquired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Investments in unconsolidated entities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Additions to property, equipment and other</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paid for purchases of linefill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sales of assets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received from sales of linefill</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investing activities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investing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CASH FLOWS FROM FINANCING ACTIVITIES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repayments under commercial paper program (Note 5)</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the issuance of senior notes (Note 5)</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Repayments of senior notes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paid to Series A preferred unitholders (Note 6)</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paid to Series B preferred unitholders (Note 6)</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paid to common unitholders (Note 6)</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paid to noncontrolling interests (Note 6)</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Contributions from noncontrolling interests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4" w:type="dxa"/>
            <w:gridSpan w:val="3"/>
            <w:tcBorders/>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financing activities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used in financing activities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(1,101)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Effect of translation adjustment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 in cash and cash equivalents and restricted cash</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and restricted cash, beginning of period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and cash equivalents and restricted cash,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paid for:</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net of amounts capitalized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taxes, net of amounts refunded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PARTNERS’ CAPITAL</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79"/>
        <w:gridCol w:w="481"/>
        <w:gridCol w:w="484"/>
        <w:gridCol w:w="211"/>
        <w:gridCol w:w="616"/>
        <w:gridCol w:w="109"/>
        <w:gridCol w:w="109"/>
        <w:gridCol w:w="109"/>
        <w:gridCol w:w="109"/>
        <w:gridCol w:w="211"/>
        <w:gridCol w:w="466"/>
        <w:gridCol w:w="109"/>
        <w:gridCol w:w="109"/>
        <w:gridCol w:w="109"/>
        <w:gridCol w:w="109"/>
        <w:gridCol w:w="213"/>
        <w:gridCol w:w="622"/>
        <w:gridCol w:w="111"/>
        <w:gridCol w:w="109"/>
        <w:gridCol w:w="109"/>
        <w:gridCol w:w="109"/>
        <w:gridCol w:w="329"/>
        <w:gridCol w:w="1127"/>
        <w:gridCol w:w="172"/>
        <w:gridCol w:w="109"/>
        <w:gridCol w:w="109"/>
        <w:gridCol w:w="109"/>
        <w:gridCol w:w="301"/>
        <w:gridCol w:w="882"/>
        <w:gridCol w:w="157"/>
        <w:gridCol w:w="109"/>
        <w:gridCol w:w="109"/>
        <w:gridCol w:w="109"/>
        <w:gridCol w:w="211"/>
        <w:gridCol w:w="721"/>
        <w:gridCol w:w="158"/>
      </w:tblGrid>
      <w:tr>
        <w:trPr/>
        <w:tc>
          <w:tcPr>
            <w:tcW w:w="8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Partners’</w:t>
              <w:br/>
              <w:t>Capital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6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Partners’</w:t>
              <w:br/>
              <w:t>Capital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1"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13,646 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7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(Note 6)</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noncontrolling interests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7,977 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13,578 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PARTNERS’ CAPITAL</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millions)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806"/>
        <w:gridCol w:w="439"/>
        <w:gridCol w:w="442"/>
        <w:gridCol w:w="211"/>
        <w:gridCol w:w="616"/>
        <w:gridCol w:w="109"/>
        <w:gridCol w:w="109"/>
        <w:gridCol w:w="109"/>
        <w:gridCol w:w="109"/>
        <w:gridCol w:w="211"/>
        <w:gridCol w:w="466"/>
        <w:gridCol w:w="109"/>
        <w:gridCol w:w="109"/>
        <w:gridCol w:w="109"/>
        <w:gridCol w:w="109"/>
        <w:gridCol w:w="213"/>
        <w:gridCol w:w="622"/>
        <w:gridCol w:w="111"/>
        <w:gridCol w:w="109"/>
        <w:gridCol w:w="109"/>
        <w:gridCol w:w="109"/>
        <w:gridCol w:w="353"/>
        <w:gridCol w:w="1209"/>
        <w:gridCol w:w="184"/>
        <w:gridCol w:w="109"/>
        <w:gridCol w:w="109"/>
        <w:gridCol w:w="109"/>
        <w:gridCol w:w="310"/>
        <w:gridCol w:w="907"/>
        <w:gridCol w:w="161"/>
        <w:gridCol w:w="109"/>
        <w:gridCol w:w="109"/>
        <w:gridCol w:w="109"/>
        <w:gridCol w:w="211"/>
        <w:gridCol w:w="721"/>
        <w:gridCol w:w="159"/>
      </w:tblGrid>
      <w:tr>
        <w:trPr/>
        <w:tc>
          <w:tcPr>
            <w:tcW w:w="80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Partners’</w:t>
              <w:br/>
              <w:t>Capital</w:t>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1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13,325 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10,379 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w:t>
              <w:br/>
              <w:t>Capital Excluding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Partners’</w:t>
              <w:br/>
              <w:t>Capital</w:t>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Unitholders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6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8"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8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68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16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10,379 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1—Organization and 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Organization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Pipeline, L.P. (“PAA”) is a Delaware limited partnership formed in 1998. Our operations are conducted directly and indirectly through our primary operating subsidiaries. As used in this Form 10-Q and unless the context indicates otherwise, the terms “Partnership,” “we,” “us,” “our,” “ours” and similar terms refer to PAA and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natural gas liquids (“NGL”) producing basins (including the Permian Basin) and transportation corridors and at major market hubs in the United States and Canada. Our assets and the services we provide are primarily focused on and conducted through two operating segments: Crude Oil and NGL. See Note 10 for further discussion of our operating 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non-economic general partner interest is held by PAA GP LLC (“PAA GP”), a Delaware limited liability company, whose sole member is Plains AAP, L.P. (“AAP”), a Delaware limited partnership. In addition to its ownership of PAA GP, as of June 30, 2024, AAP also owned a limited partner interest in us through its ownership of approximately 232.7 million of our common units (approximately 30% of our total outstanding common units and Series A preferred units combined). Plains All American GP LLC (“GP LLC”), a Delaware limited liability company, is AAP’s general partner. Plains GP Holdings, L.P. (“PAGP”) is the sole and managing member of GP LLC, and, at June 30, 2024, owned an approximate 85% limited partner interest in AAP. PAA GP Holdings LLC (“PAGP GP”) is the general partner of PAGP.</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the sole member of GP LLC, PAGP has responsibility for conducting our business and managing our operations; however, the board of directors of PAGP GP has ultimate responsibility for managing the business and affairs of PAGP, AAP and us. GP LLC employs our domestic officers and personnel; our Canadian officers and personnel are employed by our subsidiary, Plains Midstream Canada ULC.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References to our “general partner,” as the context requires, include any or all of PAGP GP, PAGP, GP LLC, AAP and PAA GP.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Definitions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defined terms are used in this Form 10-Q and shall have the meanings indicated below:</w:t>
      </w:r>
    </w:p>
    <w:p>
      <w:pPr>
        <w:pStyle w:val="TextBody"/>
        <w:bidi w:val="0"/>
        <w:spacing w:before="0" w:after="0"/>
        <w:ind w:left="0" w:right="0" w:firstLine="720"/>
        <w:jc w:val="left"/>
        <w:rPr/>
      </w:pPr>
      <w:r>
        <w:rPr/>
      </w:r>
    </w:p>
    <w:tbl>
      <w:tblPr>
        <w:tblW w:w="6312" w:type="dxa"/>
        <w:jc w:val="left"/>
        <w:tblInd w:w="0" w:type="dxa"/>
        <w:tblLayout w:type="fixed"/>
        <w:tblCellMar>
          <w:top w:w="28" w:type="dxa"/>
          <w:left w:w="28" w:type="dxa"/>
          <w:bottom w:w="28" w:type="dxa"/>
          <w:right w:w="28" w:type="dxa"/>
        </w:tblCellMar>
      </w:tblPr>
      <w:tblGrid>
        <w:gridCol w:w="298"/>
        <w:gridCol w:w="262"/>
        <w:gridCol w:w="266"/>
        <w:gridCol w:w="109"/>
        <w:gridCol w:w="109"/>
        <w:gridCol w:w="109"/>
        <w:gridCol w:w="1509"/>
        <w:gridCol w:w="1509"/>
        <w:gridCol w:w="214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income/(loss)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Codification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Billion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Btu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British thermal unit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Canadian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Decision Maker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interest, taxes, depreciation and amortization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Environmental Protection Agency</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Intercontinental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Swaps and Derivatives Association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LTIP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incentive plan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Mcf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Thousand cubic feet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Million barrels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including ethane, propane and butane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NYMEX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Mercantile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OECD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Organisation for Economic Co-operation and Development</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Securities and Exchange Commission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Overnight Financing Rate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Terawatt hour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 Texas Intermediate</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interim financial statements and related notes thereto should be read in conjunction with our 2023 Annual Report on Form 10-K. The accompanying condensed consolidated financial statements include the accounts of PAA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The financial statements have been prepared in accordance with the instructions for interim reporting as set forth by the SEC. The condensed consolidated balance sheet data as of December 31, 2023 was derived from audited financial statements, but does not include all disclosures required by GAAP. The results of operations for the three and six months ended June 30, 2024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Subsequent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Subsequent events have been evaluated through the financial statements issuance date and have been included in the following footnotes where applicable.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 Disclosure Rules and Other Legislation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Except as discussed in our 2023 Annual Report on Form 10-K, there have been no new accounting pronouncements that have become effective or have been issued during the six months ended June 30, 2024 that are of significance or potential significance to us.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SEC Climate Disclosure Rules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the SEC adopted final rules (“climate disclosure rules”) requiring registrants to disclose, among other things, information about material climate-related risks and their impact on a registrant’s strategy, business model and outlook; information about material direct and indirect greenhouse gas emissions (Scope 1 and Scope 2), which are subject to assurance requirements; and the financial statement effects of severe weather events and other natural conditions. Such disclosure requirements will begin phasing in for annual periods beginning in 2025. In April 2024, the SEC stayed the climate disclosure rules pending resolution of legal challenges. We are currently evaluating the climate disclosure rules to determine the impact on our related disclosures.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International Tax Reform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Recently, several countries, including Canada, have enacted legislation to implement key aspects of the global minimum top-up tax in accordance with the Pillar Two model rules of the OECD tax framework. We continue to evaluate the new legislation, but do not currently expect a material impact on our financial position, results of operations or cash flows.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2—Revenues and Accounts Receivable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disaggregate our revenues by segment and type of activity. See Note 3 to our Consolidated Financial Statements included in Part IV of our 2023 Annual Report on Form 10-K for additional information regarding our types of revenues and policies for revenue recognition.</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Revenues from Contracts with Customers.</w:t>
      </w:r>
      <w:r>
        <w:rPr>
          <w:color w:val="000000"/>
        </w:rPr>
        <w:t xml:space="preserve"> </w:t>
      </w:r>
      <w:r>
        <w:rPr>
          <w:rFonts w:ascii="Times New Roman;sans-serif" w:hAnsi="Times New Roman;sans-serif"/>
          <w:b w:val="false"/>
          <w:color w:val="000000"/>
          <w:sz w:val="20"/>
        </w:rPr>
        <w:t>The following tables present our revenues from contracts with customers disaggregated by segment and type of activity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841"/>
        <w:gridCol w:w="1580"/>
        <w:gridCol w:w="159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41"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Crude Oil segment revenues from contracts with customers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Crude Oil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105" w:type="dxa"/>
        <w:jc w:val="center"/>
        <w:tblInd w:w="0" w:type="dxa"/>
        <w:tblLayout w:type="fixed"/>
        <w:tblCellMar>
          <w:top w:w="28" w:type="dxa"/>
          <w:left w:w="28" w:type="dxa"/>
          <w:bottom w:w="28" w:type="dxa"/>
          <w:right w:w="28" w:type="dxa"/>
        </w:tblCellMar>
      </w:tblPr>
      <w:tblGrid>
        <w:gridCol w:w="1786"/>
        <w:gridCol w:w="1569"/>
        <w:gridCol w:w="1580"/>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786"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NGL segment revenues from contracts with customers</w:t>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Transportation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Total NGL segment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Reconciliation to Total Revenues of Reportable Segments. </w:t>
      </w:r>
      <w:r>
        <w:rPr>
          <w:rFonts w:ascii="Times New Roman;sans-serif" w:hAnsi="Times New Roman;sans-serif"/>
          <w:b w:val="false"/>
          <w:color w:val="000000"/>
          <w:sz w:val="20"/>
        </w:rPr>
        <w:t>The following disclosures only include information regarding revenues associated with consolidated entities; revenues from entities accounted for by the equity method are not included. The following tables present the reconciliation of our revenues from contracts with customers to total revenues of reportable segments and total revenues as disclosed in our Condensed Consolidated Statements of Operations (in millions):</w:t>
      </w:r>
    </w:p>
    <w:p>
      <w:pPr>
        <w:pStyle w:val="TextBody"/>
        <w:bidi w:val="0"/>
        <w:spacing w:before="0" w:after="0"/>
        <w:ind w:left="0" w:right="0" w:firstLine="720"/>
        <w:jc w:val="left"/>
        <w:rPr/>
      </w:pPr>
      <w:r>
        <w:rPr/>
      </w:r>
    </w:p>
    <w:tbl>
      <w:tblPr>
        <w:tblW w:w="7418" w:type="dxa"/>
        <w:jc w:val="center"/>
        <w:tblInd w:w="0" w:type="dxa"/>
        <w:tblLayout w:type="fixed"/>
        <w:tblCellMar>
          <w:top w:w="28" w:type="dxa"/>
          <w:left w:w="28" w:type="dxa"/>
          <w:bottom w:w="28" w:type="dxa"/>
          <w:right w:w="28" w:type="dxa"/>
        </w:tblCellMar>
      </w:tblPr>
      <w:tblGrid>
        <w:gridCol w:w="1220"/>
        <w:gridCol w:w="1072"/>
        <w:gridCol w:w="1082"/>
        <w:gridCol w:w="109"/>
        <w:gridCol w:w="109"/>
        <w:gridCol w:w="109"/>
        <w:gridCol w:w="211"/>
        <w:gridCol w:w="721"/>
        <w:gridCol w:w="109"/>
        <w:gridCol w:w="109"/>
        <w:gridCol w:w="109"/>
        <w:gridCol w:w="109"/>
        <w:gridCol w:w="211"/>
        <w:gridCol w:w="616"/>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Six Months Ended June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Minimum Volume Commitments. </w:t>
      </w:r>
      <w:r>
        <w:rPr>
          <w:rFonts w:ascii="Times New Roman;sans-serif" w:hAnsi="Times New Roman;sans-serif"/>
          <w:b w:val="false"/>
          <w:color w:val="000000"/>
          <w:sz w:val="20"/>
        </w:rPr>
        <w:t>We have certain agreements that require counterparties to transport or throughput a minimum volume over an 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pStyle w:val="TextBody"/>
        <w:bidi w:val="0"/>
        <w:spacing w:before="0" w:after="0"/>
        <w:ind w:left="0" w:right="0" w:firstLine="720"/>
        <w:jc w:val="left"/>
        <w:rPr/>
      </w:pPr>
      <w:r>
        <w:rPr/>
      </w:r>
    </w:p>
    <w:tbl>
      <w:tblPr>
        <w:tblW w:w="7429" w:type="dxa"/>
        <w:jc w:val="center"/>
        <w:tblInd w:w="0" w:type="dxa"/>
        <w:tblLayout w:type="fixed"/>
        <w:tblCellMar>
          <w:top w:w="28" w:type="dxa"/>
          <w:left w:w="28" w:type="dxa"/>
          <w:bottom w:w="28" w:type="dxa"/>
          <w:right w:w="28" w:type="dxa"/>
        </w:tblCellMar>
      </w:tblPr>
      <w:tblGrid>
        <w:gridCol w:w="728"/>
        <w:gridCol w:w="639"/>
        <w:gridCol w:w="642"/>
        <w:gridCol w:w="109"/>
        <w:gridCol w:w="109"/>
        <w:gridCol w:w="109"/>
        <w:gridCol w:w="859"/>
        <w:gridCol w:w="859"/>
        <w:gridCol w:w="861"/>
        <w:gridCol w:w="109"/>
        <w:gridCol w:w="109"/>
        <w:gridCol w:w="109"/>
        <w:gridCol w:w="223"/>
        <w:gridCol w:w="382"/>
        <w:gridCol w:w="115"/>
        <w:gridCol w:w="109"/>
        <w:gridCol w:w="109"/>
        <w:gridCol w:w="109"/>
        <w:gridCol w:w="331"/>
        <w:gridCol w:w="567"/>
        <w:gridCol w:w="242"/>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Counterparty Deficiencies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Billed and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60" w:after="283"/>
        <w:ind w:left="0" w:right="0" w:firstLine="720"/>
        <w:jc w:val="left"/>
        <w:rPr/>
      </w:pPr>
      <w:r>
        <w:rPr>
          <w:rFonts w:ascii="Times New Roman;sans-serif" w:hAnsi="Times New Roman;sans-serif"/>
          <w:b w:val="false"/>
          <w:i/>
          <w:color w:val="000000"/>
          <w:sz w:val="20"/>
        </w:rPr>
        <w:t>Contract Balances</w:t>
      </w:r>
      <w:r>
        <w:rPr>
          <w:rFonts w:ascii="Times New Roman;sans-serif" w:hAnsi="Times New Roman;sans-serif"/>
          <w:b w:val="false"/>
          <w:color w:val="000000"/>
          <w:sz w:val="20"/>
        </w:rPr>
        <w:t>. Our contract balances consist of amounts received associated with services or sales for which we have not yet completed the related performance obligation. The following table presents the changes in the liability balance associated with contracts with customers (in millions):</w:t>
      </w:r>
    </w:p>
    <w:p>
      <w:pPr>
        <w:pStyle w:val="TextBody"/>
        <w:bidi w:val="0"/>
        <w:spacing w:before="0" w:after="0"/>
        <w:ind w:left="0" w:right="0" w:firstLine="720"/>
        <w:jc w:val="left"/>
        <w:rPr/>
      </w:pPr>
      <w:r>
        <w:rPr/>
      </w:r>
    </w:p>
    <w:tbl>
      <w:tblPr>
        <w:tblW w:w="4586" w:type="dxa"/>
        <w:jc w:val="center"/>
        <w:tblInd w:w="0" w:type="dxa"/>
        <w:tblLayout w:type="fixed"/>
        <w:tblCellMar>
          <w:top w:w="28" w:type="dxa"/>
          <w:left w:w="28" w:type="dxa"/>
          <w:bottom w:w="28" w:type="dxa"/>
          <w:right w:w="28" w:type="dxa"/>
        </w:tblCellMar>
      </w:tblPr>
      <w:tblGrid>
        <w:gridCol w:w="977"/>
        <w:gridCol w:w="859"/>
        <w:gridCol w:w="864"/>
        <w:gridCol w:w="109"/>
        <w:gridCol w:w="109"/>
        <w:gridCol w:w="109"/>
        <w:gridCol w:w="395"/>
        <w:gridCol w:w="875"/>
        <w:gridCol w:w="289"/>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Contract Liabilities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Amounts recognized as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2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9"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Remaining Performance Obligations</w:t>
      </w:r>
      <w:r>
        <w:rPr>
          <w:rFonts w:ascii="Times New Roman;sans-serif" w:hAnsi="Times New Roman;sans-serif"/>
          <w:b w:val="false"/>
          <w:color w:val="000000"/>
          <w:sz w:val="20"/>
        </w:rPr>
        <w:t>. The information below includes the amount of consideration allocated to partially and wholly unsatisfied 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June 30, 2024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152"/>
        <w:gridCol w:w="1005"/>
        <w:gridCol w:w="1008"/>
        <w:gridCol w:w="293"/>
        <w:gridCol w:w="649"/>
        <w:gridCol w:w="153"/>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95"/>
        <w:gridCol w:w="653"/>
        <w:gridCol w:w="218"/>
      </w:tblGrid>
      <w:tr>
        <w:trPr/>
        <w:tc>
          <w:tcPr>
            <w:tcW w:w="1152"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Remainder of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2029 and Thereafter</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Pipeline revenues supported by minimum volume commitments and capacity agreements </w:t>
            </w:r>
            <w:r>
              <w:rPr>
                <w:rFonts w:ascii="Times New Roman;sans-serif" w:hAnsi="Times New Roman;sans-serif"/>
                <w:b w:val="false"/>
                <w:color w:val="000000"/>
                <w:sz w:val="13"/>
              </w:rPr>
              <w:t>(1)</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Terminalling, storage and other agreement revenues</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Calculated as volumes committed under contracts multiplied by the current applicable tariff rate.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presentation above does not include (i) expected revenues from legacy shippers not underpinned by minimum volume commitments, including pipelines where there are no or limited alternative pipeline transportation options,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Minimum volume commitments on certain of our joint venture pipeline systems; </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Acreage dedications;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Buy/sell arrangements with future committed volumes;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Short-term contracts and those with variable consideration, due to the election of practical expedients;</w:t>
      </w:r>
    </w:p>
    <w:p>
      <w:pPr>
        <w:pStyle w:val="TextBody"/>
        <w:bidi w:val="0"/>
        <w:spacing w:lineRule="auto" w:line="288" w:before="0" w:after="120"/>
        <w:ind w:left="0" w:right="0" w:hanging="180"/>
        <w:jc w:val="left"/>
        <w:rPr/>
      </w:pPr>
      <w:r>
        <w:rPr>
          <w:color w:val="000000"/>
        </w:rPr>
        <w:t>•</w:t>
      </w:r>
      <w:r>
        <w:rPr>
          <w:rFonts w:ascii="Times New Roman;sans-serif" w:hAnsi="Times New Roman;sans-serif"/>
          <w:b w:val="false"/>
          <w:color w:val="000000"/>
          <w:sz w:val="20"/>
        </w:rPr>
        <w:t xml:space="preserve">Contracts within the scope of ASC Topic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and</w:t>
      </w:r>
    </w:p>
    <w:p>
      <w:pPr>
        <w:pStyle w:val="TextBody"/>
        <w:bidi w:val="0"/>
        <w:spacing w:lineRule="auto" w:line="288" w:before="0" w:after="0"/>
        <w:ind w:left="0" w:right="0" w:hanging="180"/>
        <w:jc w:val="left"/>
        <w:rPr/>
      </w:pPr>
      <w:r>
        <w:rPr>
          <w:color w:val="000000"/>
        </w:rPr>
        <w:t>•</w:t>
      </w:r>
      <w:r>
        <w:rPr>
          <w:rFonts w:ascii="Times New Roman;sans-serif" w:hAnsi="Times New Roman;sans-serif"/>
          <w:b w:val="false"/>
          <w:color w:val="000000"/>
          <w:sz w:val="20"/>
        </w:rPr>
        <w:t xml:space="preserve">Contracts within the scope of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Trade Accounts Receivable and Other Receivables, Net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and December 31, 2023,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trade accounts receivable from revenues from contracts with customers to total Trade accounts receivable and other receivables, net as presented on our Condensed Consolidated Balance Sheets (in millions):</w:t>
      </w:r>
    </w:p>
    <w:tbl>
      <w:tblPr>
        <w:tblW w:w="8882" w:type="dxa"/>
        <w:jc w:val="center"/>
        <w:tblInd w:w="0" w:type="dxa"/>
        <w:tblLayout w:type="fixed"/>
        <w:tblCellMar>
          <w:top w:w="28" w:type="dxa"/>
          <w:left w:w="28" w:type="dxa"/>
          <w:bottom w:w="28" w:type="dxa"/>
          <w:right w:w="28" w:type="dxa"/>
        </w:tblCellMar>
      </w:tblPr>
      <w:tblGrid>
        <w:gridCol w:w="2348"/>
        <w:gridCol w:w="2057"/>
        <w:gridCol w:w="2074"/>
        <w:gridCol w:w="211"/>
        <w:gridCol w:w="616"/>
        <w:gridCol w:w="109"/>
        <w:gridCol w:w="109"/>
        <w:gridCol w:w="109"/>
        <w:gridCol w:w="109"/>
        <w:gridCol w:w="245"/>
        <w:gridCol w:w="716"/>
        <w:gridCol w:w="179"/>
      </w:tblGrid>
      <w:tr>
        <w:trPr/>
        <w:tc>
          <w:tcPr>
            <w:tcW w:w="2348"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arising from revenues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trade accounts receivables and other receivables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Impact due to contractual rights of offset with counterparties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 and other receivables,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3,760 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The balance is comprised primarily of accounts receivable associated with buy/sell arrangements that are not within the scope of ASC 606.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3—Net Income Per Common Unit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calculate basic and diluted net income per common unit by dividing net income attributable to PAA (after deducting amounts allocated to the preferred unitholders and participating securities) by the basic and diluted weighted average number of common units outstanding during the period.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diluted weighted average number of common units is computed based on the weighted average number of common units plus the effect of potentially dilutive securities outstanding during the period, which include (i) our Series A preferred units and (ii) our equity-indexed compensation plan awards. See Note 11 and Note 17 to our Consolidated Financial Statements included in Part IV of our 2023 Annual Report on Form 10-K for a discussion of our Series A preferred units and equity-indexed compensation plan awards. When applying the if-converted method prescribed by FASB guidance, the possible conversion of approximately 71 million Series A preferred units, on a weighted-average basis, were excluded from the calculation of diluted net income per common unit for each of the three and six months ended June 30, 2024 and 2023 as the effect was antidilutive. Our equity-indexed compensation plan awards that contemplate the issuance of common units are considered potentially dilutive unless (i) they become vested only upon the satisfaction of a performance condition and (ii) that performance condition has yet to be satisfied. Equity-indexed compensation plan awards that are deemed to be dilutive during the period are reduced by a hypothetical common unit repurchase based on the remaining unamortized fair value, as prescribed by the treasury stock method in guidance issued by the FASB.</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income per common unit (in millions, except per unit data):</w:t>
      </w:r>
    </w:p>
    <w:p>
      <w:pPr>
        <w:pStyle w:val="TextBody"/>
        <w:bidi w:val="0"/>
        <w:spacing w:before="0" w:after="0"/>
        <w:jc w:val="left"/>
        <w:rPr/>
      </w:pPr>
      <w:r>
        <w:rPr/>
      </w:r>
    </w:p>
    <w:tbl>
      <w:tblPr>
        <w:tblW w:w="9922" w:type="dxa"/>
        <w:jc w:val="center"/>
        <w:tblInd w:w="0" w:type="dxa"/>
        <w:tblLayout w:type="fixed"/>
        <w:tblCellMar>
          <w:top w:w="28" w:type="dxa"/>
          <w:left w:w="28" w:type="dxa"/>
          <w:bottom w:w="28" w:type="dxa"/>
          <w:right w:w="28" w:type="dxa"/>
        </w:tblCellMar>
      </w:tblPr>
      <w:tblGrid>
        <w:gridCol w:w="1895"/>
        <w:gridCol w:w="1667"/>
        <w:gridCol w:w="1673"/>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491"/>
      </w:tblGrid>
      <w:tr>
        <w:trPr/>
        <w:tc>
          <w:tcPr>
            <w:tcW w:w="1895"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 and Diluted Net Income per Common Unit</w:t>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Series A preferred unitholders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Series B preferred unitholders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allocated to participating securities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Net income allocated to common unitholders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units outstanding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4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unit</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4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calculate net income allocated to common unitholders based on the distributions pertaining to the current period’s net income. After adjusting for the appropriate period’s distributions, the remaining undistributed earnings or excess distributions over earnings (i.e., undistributed loss), if any, are allocated to the common unitholders and participating securities in accordance with the contractual terms of our partnership agreement in effect for the period and as further prescribed under the two-class method.</w:t>
      </w:r>
    </w:p>
    <w:p>
      <w:pPr>
        <w:pStyle w:val="TextBody"/>
        <w:bidi w:val="0"/>
        <w:spacing w:before="6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4—Inventory, Linefill and Long-term Inventory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Inventory, linefill and long-term inventory consisted of the following (barrels in thousands and carrying value in millions):</w:t>
      </w:r>
    </w:p>
    <w:p>
      <w:pPr>
        <w:pStyle w:val="TextBody"/>
        <w:bidi w:val="0"/>
        <w:spacing w:before="0" w:after="0"/>
        <w:ind w:left="0" w:right="0" w:firstLine="720"/>
        <w:jc w:val="left"/>
        <w:rPr/>
      </w:pPr>
      <w:r>
        <w:rPr/>
      </w:r>
    </w:p>
    <w:tbl>
      <w:tblPr>
        <w:tblW w:w="10807" w:type="dxa"/>
        <w:jc w:val="center"/>
        <w:tblInd w:w="0" w:type="dxa"/>
        <w:tblLayout w:type="fixed"/>
        <w:tblCellMar>
          <w:top w:w="28" w:type="dxa"/>
          <w:left w:w="28" w:type="dxa"/>
          <w:bottom w:w="28" w:type="dxa"/>
          <w:right w:w="28" w:type="dxa"/>
        </w:tblCellMar>
      </w:tblPr>
      <w:tblGrid>
        <w:gridCol w:w="423"/>
        <w:gridCol w:w="306"/>
        <w:gridCol w:w="307"/>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Unit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Unit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w:t>
            </w:r>
          </w:p>
          <w:p>
            <w:pPr>
              <w:pStyle w:val="TableContents"/>
              <w:bidi w:val="0"/>
              <w:spacing w:lineRule="auto" w:line="240" w:before="0" w:after="0"/>
              <w:jc w:val="center"/>
              <w:rPr/>
            </w:pPr>
            <w:r>
              <w:rPr>
                <w:rFonts w:ascii="Times New Roman;sans-serif" w:hAnsi="Times New Roman;sans-serif"/>
                <w:b/>
                <w:color w:val="000000"/>
                <w:sz w:val="16"/>
              </w:rPr>
              <w:t>Unit </w:t>
            </w:r>
            <w:r>
              <w:rPr>
                <w:rFonts w:ascii="Times New Roman;sans-serif" w:hAnsi="Times New Roman;sans-serif"/>
                <w:b/>
                <w:color w:val="000000"/>
                <w:sz w:val="10"/>
              </w:rPr>
              <w:t>(1)</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Inventory</w:t>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Linefill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Linefill subtotal</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Long-term inventory</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NGL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Price per unit of measure is comprised of a weighted average associated with various grades, qualities and locations. Accordingly, these prices may not coincide with any published benchmarks for such products.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Debt consisted of the following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827"/>
        <w:gridCol w:w="2488"/>
        <w:gridCol w:w="2492"/>
        <w:gridCol w:w="211"/>
        <w:gridCol w:w="616"/>
        <w:gridCol w:w="109"/>
        <w:gridCol w:w="109"/>
        <w:gridCol w:w="109"/>
        <w:gridCol w:w="109"/>
        <w:gridCol w:w="243"/>
        <w:gridCol w:w="712"/>
        <w:gridCol w:w="180"/>
      </w:tblGrid>
      <w:tr>
        <w:trPr/>
        <w:tc>
          <w:tcPr>
            <w:tcW w:w="2827"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SHORT-TERM DEBT</w:t>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40" w:before="0" w:after="60"/>
              <w:ind w:left="0" w:right="0" w:hanging="180"/>
              <w:jc w:val="left"/>
              <w:rPr/>
            </w:pPr>
            <w:r>
              <w:rPr>
                <w:rFonts w:ascii="Times New Roman;sans-serif" w:hAnsi="Times New Roman;sans-serif"/>
                <w:b w:val="false"/>
                <w:color w:val="000000"/>
                <w:sz w:val="20"/>
              </w:rPr>
              <w:t xml:space="preserve">Commercial paper notes, bearing a weighted-average interest rate of 5.8%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8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3.60% senior notes due November 2024 </w:t>
            </w:r>
            <w:r>
              <w:rPr>
                <w:rFonts w:ascii="Times New Roman;sans-serif" w:hAnsi="Times New Roman;sans-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8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debt</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LONG-TERM DEBT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Senior notes, net of unamortized discounts and debt issuance costs of $44 and $41, respectively </w:t>
            </w:r>
            <w:r>
              <w:rPr>
                <w:rFonts w:ascii="Times New Roman;sans-serif" w:hAnsi="Times New Roman;sans-serif"/>
                <w:b w:val="false"/>
                <w:color w:val="000000"/>
                <w:sz w:val="13"/>
              </w:rPr>
              <w:t>(2)</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80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7,305 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pPr>
            <w:r>
              <w:rPr>
                <w:rFonts w:ascii="Times New Roman;sans-serif" w:hAnsi="Times New Roman;sans-serif"/>
                <w:b w:val="false"/>
                <w:color w:val="000000"/>
                <w:sz w:val="20"/>
              </w:rPr>
              <w:t xml:space="preserve">Total debt </w:t>
            </w:r>
            <w:r>
              <w:rPr>
                <w:rFonts w:ascii="Times New Roman;sans-serif" w:hAnsi="Times New Roman;sans-serif"/>
                <w:b w:val="false"/>
                <w:color w:val="000000"/>
                <w:sz w:val="13"/>
              </w:rPr>
              <w:t>(3)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classified these commercial paper notes as short-term as of December 31, 2023, as these notes were primarily designated as working capital borrowings, were required to be repaid within one year and were primarily for hedged NGL and crude oil inventory and NYMEX and ICE margin deposits.</w:t>
      </w:r>
    </w:p>
    <w:p>
      <w:pPr>
        <w:pStyle w:val="TextBody"/>
        <w:bidi w:val="0"/>
        <w:spacing w:lineRule="auto" w:line="288" w:before="12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As of December 31, 2023, we classified our $750 million, 3.60% senior notes due November 2024 as long-term based on our ability and intent to refinance the notes on a long-term basis at that time.</w:t>
      </w:r>
    </w:p>
    <w:p>
      <w:pPr>
        <w:pStyle w:val="TextBody"/>
        <w:bidi w:val="0"/>
        <w:spacing w:lineRule="auto" w:line="288" w:before="12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 xml:space="preserve">Our fixed-rate senior notes had a face value of approximately $7.9 billion and $7.3 billion as of June 30, 2024 and December 31, 2023, respectively. We estimated the aggregate fair value of these notes as of June 30, 2024 and December 31, 2023 to be approximately $7.4 billion and $6.9 billion, respectively. Our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our commercial paper program approximates fair value as interest rates reflect current market rates. The fair value estimates for our senior notes and commercial paper program are based upon observable market data and are classified in Level 2 of the fair value hierarchy.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Senior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2024, we completed the offering of $650 million, 5.70% senior notes due September 2034 at a public offering price of 99.953%. Interest payments are due on March 15 and September 15 of each year, commencing on March 15, 2025.</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Borrowings and Repayments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Total borrowings under our commercial paper program for the six months ended June 30, 2024 and 2023 were approximately $20.6 billion and $1.5 billion, respectively. Total repayments under our commercial paper program were approximately $21.0 billion and $1.5 billion for the six months ended June 30, 2024 and 2023, respectively. The variance in total gross borrowings and repayments is impacted by various business and financial factors including, but not limited to, the timing, average term and method of general partnership borrowing activities.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June 30, 2024 and December 31, 2023, we had outstanding letters of credit of $143 million and $205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6—Partners’ Capital and Distributions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Units Outstanding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activity for our preferred and common units: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655"/>
        <w:gridCol w:w="1390"/>
        <w:gridCol w:w="1397"/>
        <w:gridCol w:w="619"/>
        <w:gridCol w:w="571"/>
        <w:gridCol w:w="558"/>
        <w:gridCol w:w="109"/>
        <w:gridCol w:w="109"/>
        <w:gridCol w:w="109"/>
        <w:gridCol w:w="554"/>
        <w:gridCol w:w="552"/>
        <w:gridCol w:w="554"/>
        <w:gridCol w:w="109"/>
        <w:gridCol w:w="109"/>
        <w:gridCol w:w="109"/>
        <w:gridCol w:w="593"/>
        <w:gridCol w:w="593"/>
        <w:gridCol w:w="515"/>
      </w:tblGrid>
      <w:tr>
        <w:trPr/>
        <w:tc>
          <w:tcPr>
            <w:tcW w:w="165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r>
      <w:tr>
        <w:trPr/>
        <w:tc>
          <w:tcPr>
            <w:tcW w:w="4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701,008,749 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units under equity-indexed compensation plans</w:t>
            </w:r>
          </w:p>
        </w:tc>
        <w:tc>
          <w:tcPr>
            <w:tcW w:w="11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62,282 </w:t>
            </w:r>
          </w:p>
        </w:tc>
        <w:tc>
          <w:tcPr>
            <w:tcW w:w="5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2024</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701,071,031 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units under equity-indexed compensation plans</w:t>
            </w:r>
          </w:p>
        </w:tc>
        <w:tc>
          <w:tcPr>
            <w:tcW w:w="11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10,268 </w:t>
            </w:r>
          </w:p>
        </w:tc>
        <w:tc>
          <w:tcPr>
            <w:tcW w:w="5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June 30, 2024</w:t>
            </w:r>
          </w:p>
        </w:tc>
        <w:tc>
          <w:tcPr>
            <w:tcW w:w="11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701,081,299 </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655"/>
        <w:gridCol w:w="1390"/>
        <w:gridCol w:w="1397"/>
        <w:gridCol w:w="619"/>
        <w:gridCol w:w="571"/>
        <w:gridCol w:w="558"/>
        <w:gridCol w:w="109"/>
        <w:gridCol w:w="109"/>
        <w:gridCol w:w="109"/>
        <w:gridCol w:w="554"/>
        <w:gridCol w:w="552"/>
        <w:gridCol w:w="554"/>
        <w:gridCol w:w="109"/>
        <w:gridCol w:w="109"/>
        <w:gridCol w:w="109"/>
        <w:gridCol w:w="593"/>
        <w:gridCol w:w="593"/>
        <w:gridCol w:w="515"/>
      </w:tblGrid>
      <w:tr>
        <w:trPr/>
        <w:tc>
          <w:tcPr>
            <w:tcW w:w="1655"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4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Limited Partners</w:t>
            </w:r>
          </w:p>
        </w:tc>
      </w:tr>
      <w:tr>
        <w:trPr/>
        <w:tc>
          <w:tcPr>
            <w:tcW w:w="44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2022</w:t>
            </w:r>
          </w:p>
        </w:tc>
        <w:tc>
          <w:tcPr>
            <w:tcW w:w="11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698,354,498 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Issuances of common units under equity-indexed compensation plans</w:t>
            </w:r>
          </w:p>
        </w:tc>
        <w:tc>
          <w:tcPr>
            <w:tcW w:w="119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35,508 </w:t>
            </w:r>
          </w:p>
        </w:tc>
        <w:tc>
          <w:tcPr>
            <w:tcW w:w="5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2023 and June 30, 2023</w:t>
            </w:r>
          </w:p>
        </w:tc>
        <w:tc>
          <w:tcPr>
            <w:tcW w:w="11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71,090,468 </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698,390,006 </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r>
        <w:trPr/>
        <w:tc>
          <w:tcPr>
            <w:tcW w:w="4442"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A Preferred Unit Distributions</w:t>
      </w:r>
      <w:r>
        <w:rPr>
          <w:rFonts w:ascii="Times New Roman;sans-serif" w:hAnsi="Times New Roman;sans-serif"/>
          <w:b w:val="false"/>
          <w:color w:val="000000"/>
          <w:sz w:val="20"/>
        </w:rPr>
        <w:t>. Distributions on the Series A preferred units accumulate and are payable quarterly within 45 days following the end of each quarter. See Note 11 to our Consolidated Financial Statements included in Part IV of our 2023 Annual Report on Form 10-K for additional information regarding Series A preferred unit distributions. The following table details distributions to our Series A preferred unitholders paid during or pertaining to the first six months of 2024 (in millions, except per unit data):</w:t>
      </w:r>
    </w:p>
    <w:p>
      <w:pPr>
        <w:pStyle w:val="TextBody"/>
        <w:bidi w:val="0"/>
        <w:spacing w:before="0" w:after="0"/>
        <w:ind w:left="0" w:right="0" w:firstLine="720"/>
        <w:jc w:val="left"/>
        <w:rPr/>
      </w:pPr>
      <w:r>
        <w:rPr/>
      </w:r>
    </w:p>
    <w:tbl>
      <w:tblPr>
        <w:tblW w:w="6107"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427"/>
        <w:gridCol w:w="731"/>
        <w:gridCol w:w="222"/>
        <w:gridCol w:w="111"/>
        <w:gridCol w:w="111"/>
        <w:gridCol w:w="111"/>
        <w:gridCol w:w="111"/>
        <w:gridCol w:w="111"/>
        <w:gridCol w:w="111"/>
        <w:gridCol w:w="357"/>
        <w:gridCol w:w="1045"/>
        <w:gridCol w:w="262"/>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Unitholders</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Distribution</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August 14, 2024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0.615 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0.615 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Payable to unitholders of record at the close of business on July 31, 2024 for the period from April 1, 2024 through June 30, 2024. At June 30, 2024, such amount was accrued as distributions payable in “Other current liabilities” on our Condensed Consolidated Balance Sheet.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B Preferred Unit Distributions</w:t>
      </w:r>
      <w:r>
        <w:rPr>
          <w:rFonts w:ascii="Times New Roman;sans-serif" w:hAnsi="Times New Roman;sans-serif"/>
          <w:b w:val="false"/>
          <w:color w:val="000000"/>
          <w:sz w:val="20"/>
        </w:rPr>
        <w:t>. Distributions on the Series B preferred units accumulate and are payable quarterly in arrears on the 15th day of February, May, August and November. See Note 11 to our Consolidated Financial Statements included in Part IV of our 2023 Annual Report on Form 10-K for additional information regarding Series B preferred unit distributions. The following table details distributions paid or to be paid to our Series B preferred unitholders (in millions, except per unit data):</w:t>
      </w:r>
    </w:p>
    <w:p>
      <w:pPr>
        <w:pStyle w:val="TextBody"/>
        <w:bidi w:val="0"/>
        <w:spacing w:before="0" w:after="0"/>
        <w:jc w:val="left"/>
        <w:rPr/>
      </w:pPr>
      <w:r>
        <w:rPr/>
      </w:r>
    </w:p>
    <w:tbl>
      <w:tblPr>
        <w:tblW w:w="6146"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441"/>
        <w:gridCol w:w="755"/>
        <w:gridCol w:w="229"/>
        <w:gridCol w:w="110"/>
        <w:gridCol w:w="110"/>
        <w:gridCol w:w="110"/>
        <w:gridCol w:w="110"/>
        <w:gridCol w:w="110"/>
        <w:gridCol w:w="110"/>
        <w:gridCol w:w="357"/>
        <w:gridCol w:w="1045"/>
        <w:gridCol w:w="262"/>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B Preferred Unitholders</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Cash Distribution </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 per Unit</w:t>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August 15, 2024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15,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Payable to unitholders of record at the close of business on August 1, 2024 for the period from May 15, 2024 through August 14, 2024. At June 30, 2024, approximately $10 million of accrued distributions payable to our Series B preferred unitholders was included in “Other current liabilities” on our Condensed Consolidated Balance Sheet.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Common Unit Distributions</w:t>
      </w:r>
      <w:r>
        <w:rPr>
          <w:rFonts w:ascii="Times New Roman;sans-serif" w:hAnsi="Times New Roman;sans-serif"/>
          <w:b w:val="false"/>
          <w:color w:val="000000"/>
          <w:sz w:val="20"/>
        </w:rPr>
        <w:t>. The following table details distributions to our common unitholders paid during or pertaining to the first six months of 2024 (in millions, except per unit data):</w:t>
      </w:r>
    </w:p>
    <w:p>
      <w:pPr>
        <w:pStyle w:val="TextBody"/>
        <w:bidi w:val="0"/>
        <w:spacing w:before="0" w:after="0"/>
        <w:ind w:left="0" w:right="0" w:firstLine="720"/>
        <w:jc w:val="left"/>
        <w:rPr/>
      </w:pPr>
      <w:r>
        <w:rPr/>
      </w:r>
    </w:p>
    <w:tbl>
      <w:tblPr>
        <w:tblW w:w="9357" w:type="dxa"/>
        <w:jc w:val="center"/>
        <w:tblInd w:w="0" w:type="dxa"/>
        <w:tblLayout w:type="fixed"/>
        <w:tblCellMar>
          <w:top w:w="28" w:type="dxa"/>
          <w:left w:w="28" w:type="dxa"/>
          <w:bottom w:w="28" w:type="dxa"/>
          <w:right w:w="28" w:type="dxa"/>
        </w:tblCellMar>
      </w:tblPr>
      <w:tblGrid>
        <w:gridCol w:w="750"/>
        <w:gridCol w:w="659"/>
        <w:gridCol w:w="661"/>
        <w:gridCol w:w="109"/>
        <w:gridCol w:w="109"/>
        <w:gridCol w:w="109"/>
        <w:gridCol w:w="211"/>
        <w:gridCol w:w="466"/>
        <w:gridCol w:w="109"/>
        <w:gridCol w:w="109"/>
        <w:gridCol w:w="109"/>
        <w:gridCol w:w="109"/>
        <w:gridCol w:w="211"/>
        <w:gridCol w:w="361"/>
        <w:gridCol w:w="109"/>
        <w:gridCol w:w="109"/>
        <w:gridCol w:w="109"/>
        <w:gridCol w:w="109"/>
        <w:gridCol w:w="487"/>
        <w:gridCol w:w="1075"/>
        <w:gridCol w:w="253"/>
        <w:gridCol w:w="109"/>
        <w:gridCol w:w="109"/>
        <w:gridCol w:w="109"/>
        <w:gridCol w:w="109"/>
        <w:gridCol w:w="109"/>
        <w:gridCol w:w="109"/>
        <w:gridCol w:w="460"/>
        <w:gridCol w:w="1574"/>
        <w:gridCol w:w="336"/>
      </w:tblGrid>
      <w:tr>
        <w:trPr/>
        <w:tc>
          <w:tcPr>
            <w:tcW w:w="75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Distribution per Common Unit</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Cash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Public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0" w:type="dxa"/>
            <w:gridSpan w:val="3"/>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August 14, 2024</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0.3175 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0.3175 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0.3175 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Payable to unitholders of record at the close of business on July 31, 2024 for the period from April 1, 2024 through June 30, 2024.</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Noncontrolling Interests in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noncontrolling interests in our subsidiaries consisted of (i) a 35% interest in Plains Oryx Permian Basin LLC (the “Permian JV”), (ii) a 30% interest in Cactus II Pipeline LLC (“Cactus II”) and (iii) a 33% interest in Red River Pipeline Company LLC (“Red River”).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Distributions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distributions paid to noncontrolling interests during the periods presented (in millions):</w:t>
      </w:r>
    </w:p>
    <w:p>
      <w:pPr>
        <w:pStyle w:val="TextBody"/>
        <w:bidi w:val="0"/>
        <w:spacing w:before="0" w:after="0"/>
        <w:jc w:val="left"/>
        <w:rPr/>
      </w:pPr>
      <w:r>
        <w:rPr/>
      </w:r>
    </w:p>
    <w:tbl>
      <w:tblPr>
        <w:tblW w:w="5212" w:type="dxa"/>
        <w:jc w:val="left"/>
        <w:tblInd w:w="0" w:type="dxa"/>
        <w:tblLayout w:type="fixed"/>
        <w:tblCellMar>
          <w:top w:w="28" w:type="dxa"/>
          <w:left w:w="28" w:type="dxa"/>
          <w:bottom w:w="28" w:type="dxa"/>
          <w:right w:w="28" w:type="dxa"/>
        </w:tblCellMar>
      </w:tblPr>
      <w:tblGrid>
        <w:gridCol w:w="375"/>
        <w:gridCol w:w="328"/>
        <w:gridCol w:w="331"/>
        <w:gridCol w:w="211"/>
        <w:gridCol w:w="361"/>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09"/>
        <w:gridCol w:w="109"/>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JV</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Cactus II</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River</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7—Derivatives and Risk Management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identify the risks that underlie our core business activities and use risk management strategies to mitigate those risks when we determine that there is value in doing so. We use various derivative instruments to optimize our profits while managing our exposure to commodity price risk and interest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pStyle w:val="TextBody"/>
        <w:bidi w:val="0"/>
        <w:spacing w:before="0" w:after="0"/>
        <w:ind w:left="0" w:right="0" w:firstLine="720"/>
        <w:jc w:val="left"/>
        <w:rPr/>
      </w:pPr>
      <w:r>
        <w:rPr/>
      </w:r>
    </w:p>
    <w:p>
      <w:pPr>
        <w:pStyle w:val="TextBody"/>
        <w:bidi w:val="0"/>
        <w:spacing w:lineRule="auto" w:line="288" w:before="0" w:after="0"/>
        <w:ind w:left="0" w:right="0" w:firstLine="675"/>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and December 31, 2023,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Commodity Price Risk Hedging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normal course of our operations, we purchase and sell commodities. We use derivatives to manage the associated risks and to optimize profits. As of June 30, 2024, net derivative positions related to these activities included: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 net long position of 6.5 million barrels associated with our crude oil purchases, which was unwound ratably during July 2024 to match monthly average pricing.</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net short time spread position of 4.3 million barrels, which hedges a portion of our anticipated crude oil lease gathering purchases through August 2025.</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net crude oil basis spread position of 5.9 million barrels at multiple locations through November 2025. These derivatives allow us to lock in grade and location basis differentials.</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A net short position of 15.4 million barrels through March 2026 related to anticipated net sales of crude oil and NGL inventory.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We purchase natural gas for processing and operational needs. 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w:t>
      </w:r>
      <w:r>
        <w:rPr>
          <w:rFonts w:ascii="Times New Roman;sans-serif" w:hAnsi="Times New Roman;sans-serif"/>
          <w:b w:val="false"/>
          <w:color w:val="000000"/>
          <w:sz w:val="20"/>
          <w:shd w:fill="FFFFFF" w:val="clear"/>
        </w:rPr>
        <w:t>The following table summarizes our open derivative positions utilized to hedge the price risk associated with anticipated purchases and sales related to our natural gas processing and NGL fractionation activities as of June 30, 2024:</w:t>
      </w:r>
    </w:p>
    <w:p>
      <w:pPr>
        <w:pStyle w:val="TextBody"/>
        <w:bidi w:val="0"/>
        <w:spacing w:before="0" w:after="0"/>
        <w:ind w:left="0" w:right="0" w:firstLine="720"/>
        <w:jc w:val="left"/>
        <w:rPr/>
      </w:pPr>
      <w:r>
        <w:rPr/>
      </w:r>
    </w:p>
    <w:tbl>
      <w:tblPr>
        <w:tblW w:w="5931" w:type="dxa"/>
        <w:jc w:val="center"/>
        <w:tblInd w:w="0" w:type="dxa"/>
        <w:tblLayout w:type="fixed"/>
        <w:tblCellMar>
          <w:top w:w="28" w:type="dxa"/>
          <w:left w:w="28" w:type="dxa"/>
          <w:bottom w:w="28" w:type="dxa"/>
          <w:right w:w="28" w:type="dxa"/>
        </w:tblCellMar>
      </w:tblPr>
      <w:tblGrid>
        <w:gridCol w:w="913"/>
        <w:gridCol w:w="800"/>
        <w:gridCol w:w="806"/>
        <w:gridCol w:w="109"/>
        <w:gridCol w:w="109"/>
        <w:gridCol w:w="109"/>
        <w:gridCol w:w="444"/>
        <w:gridCol w:w="444"/>
        <w:gridCol w:w="446"/>
        <w:gridCol w:w="109"/>
        <w:gridCol w:w="109"/>
        <w:gridCol w:w="109"/>
        <w:gridCol w:w="416"/>
        <w:gridCol w:w="416"/>
        <w:gridCol w:w="592"/>
      </w:tblGrid>
      <w:tr>
        <w:trPr/>
        <w:tc>
          <w:tcPr>
            <w:tcW w:w="91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Notional Volume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(Short)/Long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Tenor</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53.5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Propane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 MMbls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Butane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 MMbls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Condensate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 MMbls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March 2025</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Fuel gas requirements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 Bcf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Power supply requirements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 TWh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2030</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Positions to hedge a portion of our power supply and fuel gas requirements at our Canadian natural gas processing and fractionation plants.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pStyle w:val="TextBody"/>
        <w:bidi w:val="0"/>
        <w:spacing w:before="0" w:after="0"/>
        <w:ind w:left="0" w:right="0" w:firstLine="720"/>
        <w:jc w:val="left"/>
        <w:rPr/>
      </w:pPr>
      <w:r>
        <w:rPr/>
      </w:r>
    </w:p>
    <w:tbl>
      <w:tblPr>
        <w:tblW w:w="8640" w:type="dxa"/>
        <w:jc w:val="center"/>
        <w:tblInd w:w="0" w:type="dxa"/>
        <w:tblLayout w:type="fixed"/>
        <w:tblCellMar>
          <w:top w:w="28" w:type="dxa"/>
          <w:left w:w="28" w:type="dxa"/>
          <w:bottom w:w="28" w:type="dxa"/>
          <w:right w:w="28" w:type="dxa"/>
        </w:tblCellMar>
      </w:tblPr>
      <w:tblGrid>
        <w:gridCol w:w="1600"/>
        <w:gridCol w:w="1409"/>
        <w:gridCol w:w="1416"/>
        <w:gridCol w:w="211"/>
        <w:gridCol w:w="436"/>
        <w:gridCol w:w="109"/>
        <w:gridCol w:w="109"/>
        <w:gridCol w:w="109"/>
        <w:gridCol w:w="109"/>
        <w:gridCol w:w="211"/>
        <w:gridCol w:w="466"/>
        <w:gridCol w:w="109"/>
        <w:gridCol w:w="109"/>
        <w:gridCol w:w="109"/>
        <w:gridCol w:w="109"/>
        <w:gridCol w:w="211"/>
        <w:gridCol w:w="541"/>
        <w:gridCol w:w="109"/>
        <w:gridCol w:w="109"/>
        <w:gridCol w:w="109"/>
        <w:gridCol w:w="109"/>
        <w:gridCol w:w="211"/>
        <w:gridCol w:w="466"/>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Net gain/(loss) from commodity derivative activity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receivable/(payable) (in millions):</w:t>
      </w:r>
    </w:p>
    <w:p>
      <w:pPr>
        <w:pStyle w:val="TextBody"/>
        <w:bidi w:val="0"/>
        <w:spacing w:before="0" w:after="0"/>
        <w:jc w:val="left"/>
        <w:rPr/>
      </w:pPr>
      <w:r>
        <w:rPr/>
      </w:r>
    </w:p>
    <w:tbl>
      <w:tblPr>
        <w:tblW w:w="5191" w:type="dxa"/>
        <w:jc w:val="center"/>
        <w:tblInd w:w="0" w:type="dxa"/>
        <w:tblLayout w:type="fixed"/>
        <w:tblCellMar>
          <w:top w:w="28" w:type="dxa"/>
          <w:left w:w="28" w:type="dxa"/>
          <w:bottom w:w="28" w:type="dxa"/>
          <w:right w:w="28" w:type="dxa"/>
        </w:tblCellMar>
      </w:tblPr>
      <w:tblGrid>
        <w:gridCol w:w="1064"/>
        <w:gridCol w:w="935"/>
        <w:gridCol w:w="940"/>
        <w:gridCol w:w="211"/>
        <w:gridCol w:w="466"/>
        <w:gridCol w:w="109"/>
        <w:gridCol w:w="109"/>
        <w:gridCol w:w="109"/>
        <w:gridCol w:w="109"/>
        <w:gridCol w:w="324"/>
        <w:gridCol w:w="577"/>
        <w:gridCol w:w="238"/>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Initial margin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6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Variation margin posted/(returned)</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ans-serif" w:hAnsi="Times New Roman;sans-serif"/>
                <w:b w:val="false"/>
                <w:color w:val="000000"/>
                <w:sz w:val="20"/>
              </w:rPr>
              <w:t>Net broker receivable/(payable)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pStyle w:val="TextBody"/>
        <w:bidi w:val="0"/>
        <w:spacing w:before="0" w:after="0"/>
        <w:jc w:val="left"/>
        <w:rPr/>
      </w:pPr>
      <w:r>
        <w:rPr/>
      </w:r>
    </w:p>
    <w:tbl>
      <w:tblPr>
        <w:tblW w:w="10402" w:type="dxa"/>
        <w:jc w:val="center"/>
        <w:tblInd w:w="0" w:type="dxa"/>
        <w:tblLayout w:type="fixed"/>
        <w:tblCellMar>
          <w:top w:w="28" w:type="dxa"/>
          <w:left w:w="28" w:type="dxa"/>
          <w:bottom w:w="28" w:type="dxa"/>
          <w:right w:w="28" w:type="dxa"/>
        </w:tblCellMar>
      </w:tblPr>
      <w:tblGrid>
        <w:gridCol w:w="370"/>
        <w:gridCol w:w="325"/>
        <w:gridCol w:w="326"/>
        <w:gridCol w:w="109"/>
        <w:gridCol w:w="109"/>
        <w:gridCol w:w="109"/>
        <w:gridCol w:w="211"/>
        <w:gridCol w:w="361"/>
        <w:gridCol w:w="109"/>
        <w:gridCol w:w="109"/>
        <w:gridCol w:w="109"/>
        <w:gridCol w:w="109"/>
        <w:gridCol w:w="211"/>
        <w:gridCol w:w="491"/>
        <w:gridCol w:w="109"/>
        <w:gridCol w:w="109"/>
        <w:gridCol w:w="109"/>
        <w:gridCol w:w="109"/>
        <w:gridCol w:w="225"/>
        <w:gridCol w:w="498"/>
        <w:gridCol w:w="118"/>
        <w:gridCol w:w="109"/>
        <w:gridCol w:w="109"/>
        <w:gridCol w:w="109"/>
        <w:gridCol w:w="245"/>
        <w:gridCol w:w="438"/>
        <w:gridCol w:w="128"/>
        <w:gridCol w:w="109"/>
        <w:gridCol w:w="109"/>
        <w:gridCol w:w="109"/>
        <w:gridCol w:w="109"/>
        <w:gridCol w:w="109"/>
        <w:gridCol w:w="109"/>
        <w:gridCol w:w="211"/>
        <w:gridCol w:w="466"/>
        <w:gridCol w:w="109"/>
        <w:gridCol w:w="109"/>
        <w:gridCol w:w="109"/>
        <w:gridCol w:w="109"/>
        <w:gridCol w:w="211"/>
        <w:gridCol w:w="491"/>
        <w:gridCol w:w="109"/>
        <w:gridCol w:w="109"/>
        <w:gridCol w:w="109"/>
        <w:gridCol w:w="109"/>
        <w:gridCol w:w="254"/>
        <w:gridCol w:w="454"/>
        <w:gridCol w:w="133"/>
        <w:gridCol w:w="109"/>
        <w:gridCol w:w="109"/>
        <w:gridCol w:w="109"/>
        <w:gridCol w:w="243"/>
        <w:gridCol w:w="434"/>
        <w:gridCol w:w="179"/>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Carrying Value Presented on the Balance Sheet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 and deferred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 Risk Hedging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following table summarizes the terms of our outstanding interest rate derivatives as of June 30, 2024 (notional amounts in millions): </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767"/>
        <w:gridCol w:w="675"/>
        <w:gridCol w:w="676"/>
        <w:gridCol w:w="109"/>
        <w:gridCol w:w="109"/>
        <w:gridCol w:w="109"/>
        <w:gridCol w:w="630"/>
        <w:gridCol w:w="630"/>
        <w:gridCol w:w="632"/>
        <w:gridCol w:w="109"/>
        <w:gridCol w:w="109"/>
        <w:gridCol w:w="109"/>
        <w:gridCol w:w="211"/>
        <w:gridCol w:w="466"/>
        <w:gridCol w:w="109"/>
        <w:gridCol w:w="109"/>
        <w:gridCol w:w="109"/>
        <w:gridCol w:w="109"/>
        <w:gridCol w:w="465"/>
        <w:gridCol w:w="465"/>
        <w:gridCol w:w="466"/>
        <w:gridCol w:w="109"/>
        <w:gridCol w:w="109"/>
        <w:gridCol w:w="109"/>
        <w:gridCol w:w="370"/>
        <w:gridCol w:w="370"/>
        <w:gridCol w:w="371"/>
        <w:gridCol w:w="109"/>
        <w:gridCol w:w="109"/>
        <w:gridCol w:w="109"/>
        <w:gridCol w:w="369"/>
        <w:gridCol w:w="369"/>
        <w:gridCol w:w="529"/>
      </w:tblGrid>
      <w:tr>
        <w:trPr/>
        <w:tc>
          <w:tcPr>
            <w:tcW w:w="76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21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Hedged Transaction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Number and Types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Derivatives Employed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Notional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Expected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Termination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Average Rate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Locked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Accounting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Treatment</w:t>
            </w:r>
          </w:p>
        </w:tc>
      </w:tr>
      <w:tr>
        <w:trPr/>
        <w:tc>
          <w:tcPr>
            <w:tcW w:w="21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Anticipated interest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 forward starting swaps</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Cash flow hedge</w:t>
            </w:r>
          </w:p>
        </w:tc>
      </w:tr>
      <w:tr>
        <w:trPr/>
        <w:tc>
          <w:tcPr>
            <w:tcW w:w="2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we terminated $100 million of notional interest hedging instruments for proceeds of $57 million, which was recorded in AOCI. As of June 30, 2024, there was a net loss of $58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2056 as the underlying hedged transactions impact earnings. A portion of these amounts is based on market prices as of June 30, 2024; thus, actual amounts to be reclassified will differ and could vary materially as a result of changes in market conditions.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unrealized gain recognized in AOCI for derivatives (in millions):</w:t>
      </w:r>
    </w:p>
    <w:p>
      <w:pPr>
        <w:pStyle w:val="TextBody"/>
        <w:bidi w:val="0"/>
        <w:spacing w:before="0" w:after="0"/>
        <w:ind w:left="0" w:right="0" w:firstLine="720"/>
        <w:jc w:val="left"/>
        <w:rPr/>
      </w:pPr>
      <w:r>
        <w:rPr/>
      </w:r>
    </w:p>
    <w:tbl>
      <w:tblPr>
        <w:tblW w:w="5913" w:type="dxa"/>
        <w:jc w:val="center"/>
        <w:tblInd w:w="0" w:type="dxa"/>
        <w:tblLayout w:type="fixed"/>
        <w:tblCellMar>
          <w:top w:w="28" w:type="dxa"/>
          <w:left w:w="28" w:type="dxa"/>
          <w:bottom w:w="28" w:type="dxa"/>
          <w:right w:w="28" w:type="dxa"/>
        </w:tblCellMar>
      </w:tblPr>
      <w:tblGrid>
        <w:gridCol w:w="853"/>
        <w:gridCol w:w="749"/>
        <w:gridCol w:w="753"/>
        <w:gridCol w:w="229"/>
        <w:gridCol w:w="277"/>
        <w:gridCol w:w="118"/>
        <w:gridCol w:w="118"/>
        <w:gridCol w:w="118"/>
        <w:gridCol w:w="118"/>
        <w:gridCol w:w="229"/>
        <w:gridCol w:w="277"/>
        <w:gridCol w:w="118"/>
        <w:gridCol w:w="109"/>
        <w:gridCol w:w="109"/>
        <w:gridCol w:w="109"/>
        <w:gridCol w:w="211"/>
        <w:gridCol w:w="361"/>
        <w:gridCol w:w="109"/>
        <w:gridCol w:w="109"/>
        <w:gridCol w:w="109"/>
        <w:gridCol w:w="109"/>
        <w:gridCol w:w="211"/>
        <w:gridCol w:w="25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 net</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the net fair value of our interest rate hedges, which were included in “Other long-term assets, net” on our Condensed Consolidated Balance Sheet, totaled $16 million. At December 31, 2023, the net fair value of these hedges totaled $51 million and $4 million, which were included in “Other current assets” and “Other long-term assets, net”,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Derivative Financial Assets and Liabilities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by level within the fair value hierarchy our financial assets and liabilities that were accounted for at fair value on a recurring basis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018"/>
        <w:gridCol w:w="895"/>
        <w:gridCol w:w="897"/>
        <w:gridCol w:w="109"/>
        <w:gridCol w:w="109"/>
        <w:gridCol w:w="109"/>
        <w:gridCol w:w="217"/>
        <w:gridCol w:w="324"/>
        <w:gridCol w:w="110"/>
        <w:gridCol w:w="110"/>
        <w:gridCol w:w="110"/>
        <w:gridCol w:w="110"/>
        <w:gridCol w:w="214"/>
        <w:gridCol w:w="523"/>
        <w:gridCol w:w="110"/>
        <w:gridCol w:w="110"/>
        <w:gridCol w:w="110"/>
        <w:gridCol w:w="110"/>
        <w:gridCol w:w="110"/>
        <w:gridCol w:w="109"/>
        <w:gridCol w:w="211"/>
        <w:gridCol w:w="515"/>
        <w:gridCol w:w="109"/>
        <w:gridCol w:w="122"/>
        <w:gridCol w:w="122"/>
        <w:gridCol w:w="122"/>
        <w:gridCol w:w="122"/>
        <w:gridCol w:w="122"/>
        <w:gridCol w:w="122"/>
        <w:gridCol w:w="256"/>
        <w:gridCol w:w="290"/>
        <w:gridCol w:w="122"/>
        <w:gridCol w:w="122"/>
        <w:gridCol w:w="122"/>
        <w:gridCol w:w="122"/>
        <w:gridCol w:w="236"/>
        <w:gridCol w:w="404"/>
        <w:gridCol w:w="122"/>
        <w:gridCol w:w="109"/>
        <w:gridCol w:w="109"/>
        <w:gridCol w:w="109"/>
        <w:gridCol w:w="109"/>
        <w:gridCol w:w="109"/>
        <w:gridCol w:w="211"/>
        <w:gridCol w:w="406"/>
        <w:gridCol w:w="166"/>
      </w:tblGrid>
      <w:tr>
        <w:trPr/>
        <w:tc>
          <w:tcPr>
            <w:tcW w:w="101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8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June 30,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as of December 31, 2023</w:t>
            </w:r>
          </w:p>
        </w:tc>
        <w:tc>
          <w:tcPr>
            <w:tcW w:w="1328" w:type="dxa"/>
            <w:gridSpan w:val="8"/>
            <w:tcBorders/>
          </w:tcPr>
          <w:p>
            <w:pPr>
              <w:pStyle w:val="TableContents"/>
              <w:bidi w:val="0"/>
              <w:spacing w:before="0" w:after="283"/>
              <w:jc w:val="left"/>
              <w:rPr>
                <w:sz w:val="4"/>
                <w:szCs w:val="4"/>
              </w:rPr>
            </w:pPr>
            <w:r>
              <w:rPr>
                <w:sz w:val="4"/>
                <w:szCs w:val="4"/>
              </w:rPr>
            </w:r>
          </w:p>
        </w:tc>
      </w:tr>
      <w:tr>
        <w:trPr/>
        <w:tc>
          <w:tcPr>
            <w:tcW w:w="28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Recurring Fair Value Measures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Commodity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28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66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2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derivative asset/(liability)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Derivative assets and liabilities are presented above on a net basis but do not include related cash margin deposits.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Level 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Level 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Level 2 of the fair value hierarchy includes exchange-cleared commodity derivatives and over-the-counter commodity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Rollforward of Level 3 Net Asset/(Liability)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Preferred Distribution Rate Reset Option was accounted for as an embedded derivative that was bifurcated from the related host contract and recorded at fair value. The Preferred Distribution Rate Reset Option was settled in January 2023 when we received notice that the Series A preferred unitholders elected the Preferred Distribution Rate Reset Option, which resulted in a gain of $58 million recognized in “Other income, net” in our Condensed Consolidated Statement of Operations for the six months ended June 30, 2023. See Note 12 to our Consolidated Financial Statements included in Part IV of our 2023 Annual Report on Form 10-K for additional information regarding the Preferred Distribution Rate Reset Option.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changes in fair value of the beginning and ending balances for the Preferred Distribution Rate Reset Option embedded derivative, which was classified as Level 3 in the fair value hierarchy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680"/>
        <w:gridCol w:w="2333"/>
        <w:gridCol w:w="2347"/>
        <w:gridCol w:w="109"/>
        <w:gridCol w:w="109"/>
        <w:gridCol w:w="109"/>
        <w:gridCol w:w="109"/>
        <w:gridCol w:w="1192"/>
        <w:gridCol w:w="109"/>
        <w:gridCol w:w="109"/>
        <w:gridCol w:w="109"/>
        <w:gridCol w:w="211"/>
        <w:gridCol w:w="523"/>
        <w:gridCol w:w="156"/>
      </w:tblGrid>
      <w:tr>
        <w:trPr/>
        <w:tc>
          <w:tcPr>
            <w:tcW w:w="2680"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 2023</w:t>
            </w:r>
          </w:p>
        </w:tc>
        <w:tc>
          <w:tcPr>
            <w:tcW w:w="1217" w:type="dxa"/>
            <w:gridSpan w:val="6"/>
            <w:tcBorders/>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gains/(losses) for the period included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gains/(losses) included in earnings relating to Level 3 derivatives still held at the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8—Related Party Transactions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16 to our Consolidated Financial Statements included in Part IV of our 2023 Annual Report on Form 10-K for a complete discussion of related parties, including the determination of our related parties and nature of involvement with such related parties.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Promissory Notes with our General Partner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2023, PAGP issued an unsecured promissory note to us with a face value of CAD$500 million (“related party note receivable”). Concurrently, we assigned PAGP our interest in an existing unsecured promissory note for the same face value amount due from a consolidated subsidiary (“related party note payable”). Both notes are due April 2027 and bear interest at a rate of 8.25% per annum, payable semi-annually.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interest receivable/payable was $10 million as of June 30, 2024 and December 31, 2023. Interest income/expense on the related party notes totaled $7 million and $15 million for the three and six months ended June 30, 2024, respectively, and $7 million and $10 million for the three and six months ended June 30, 2023, respectively.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our outstanding related party note receivable and related party note payable balances were as follows (in millions):</w:t>
      </w:r>
    </w:p>
    <w:p>
      <w:pPr>
        <w:pStyle w:val="TextBody"/>
        <w:bidi w:val="0"/>
        <w:spacing w:before="0" w:after="0"/>
        <w:jc w:val="left"/>
        <w:rPr/>
      </w:pPr>
      <w:r>
        <w:rPr/>
      </w:r>
    </w:p>
    <w:tbl>
      <w:tblPr>
        <w:tblW w:w="4967" w:type="dxa"/>
        <w:jc w:val="left"/>
        <w:tblInd w:w="0" w:type="dxa"/>
        <w:tblLayout w:type="fixed"/>
        <w:tblCellMar>
          <w:top w:w="28" w:type="dxa"/>
          <w:left w:w="28" w:type="dxa"/>
          <w:bottom w:w="28" w:type="dxa"/>
          <w:right w:w="28" w:type="dxa"/>
        </w:tblCellMar>
      </w:tblPr>
      <w:tblGrid>
        <w:gridCol w:w="983"/>
        <w:gridCol w:w="864"/>
        <w:gridCol w:w="867"/>
        <w:gridCol w:w="211"/>
        <w:gridCol w:w="466"/>
        <w:gridCol w:w="109"/>
        <w:gridCol w:w="109"/>
        <w:gridCol w:w="109"/>
        <w:gridCol w:w="109"/>
        <w:gridCol w:w="289"/>
        <w:gridCol w:w="639"/>
        <w:gridCol w:w="212"/>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Related party note receivable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Related party note payable </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We have elected to present our related party notes with the same counterparty on a net basis on our Condensed Consolidated Balance Sheet because there is a legal right to offset and we intend to offset with the counterparty.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July 2024, PAGP issued additional unsecured promissory notes to us with a face value of CAD$865 million. Concurrently, a consolidated subsidiary issued unsecured promissory notes to PAGP for the same face value amount. These notes are due September 2034 and bear interest at a rate of 6.50% per annum, payable semi-annually.</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Transactions with Other Related Parties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2024 and 2023, we recognized sales and transportation revenues, purchased petroleum products and utilized transportation and storage services from related parties. These transactions were conducted at posted tariff rates or prices that we believe approximate market.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impact to our Condensed Consolidated Statements of Operations from these transactions is included below (in millions):</w:t>
      </w:r>
    </w:p>
    <w:p>
      <w:pPr>
        <w:pStyle w:val="TextBody"/>
        <w:bidi w:val="0"/>
        <w:spacing w:before="0" w:after="0"/>
        <w:jc w:val="left"/>
        <w:rPr/>
      </w:pPr>
      <w:r>
        <w:rPr/>
      </w:r>
    </w:p>
    <w:tbl>
      <w:tblPr>
        <w:tblW w:w="7979" w:type="dxa"/>
        <w:jc w:val="center"/>
        <w:tblInd w:w="0" w:type="dxa"/>
        <w:tblLayout w:type="fixed"/>
        <w:tblCellMar>
          <w:top w:w="28" w:type="dxa"/>
          <w:left w:w="28" w:type="dxa"/>
          <w:bottom w:w="28" w:type="dxa"/>
          <w:right w:w="28" w:type="dxa"/>
        </w:tblCellMar>
      </w:tblPr>
      <w:tblGrid>
        <w:gridCol w:w="1419"/>
        <w:gridCol w:w="1243"/>
        <w:gridCol w:w="1252"/>
        <w:gridCol w:w="211"/>
        <w:gridCol w:w="361"/>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related parties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 from related parties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receivable and payable amounts with these related parties as reflected on our Condensed Consolidated Balance Sheets were as follows (in millions):</w:t>
      </w:r>
    </w:p>
    <w:p>
      <w:pPr>
        <w:pStyle w:val="TextBody"/>
        <w:bidi w:val="0"/>
        <w:spacing w:before="0" w:after="0"/>
        <w:jc w:val="left"/>
        <w:rPr/>
      </w:pPr>
      <w:r>
        <w:rPr/>
      </w:r>
    </w:p>
    <w:tbl>
      <w:tblPr>
        <w:tblW w:w="8352" w:type="dxa"/>
        <w:jc w:val="center"/>
        <w:tblInd w:w="0" w:type="dxa"/>
        <w:tblLayout w:type="fixed"/>
        <w:tblCellMar>
          <w:top w:w="28" w:type="dxa"/>
          <w:left w:w="28" w:type="dxa"/>
          <w:bottom w:w="28" w:type="dxa"/>
          <w:right w:w="28" w:type="dxa"/>
        </w:tblCellMar>
      </w:tblPr>
      <w:tblGrid>
        <w:gridCol w:w="2230"/>
        <w:gridCol w:w="1962"/>
        <w:gridCol w:w="1973"/>
        <w:gridCol w:w="223"/>
        <w:gridCol w:w="382"/>
        <w:gridCol w:w="115"/>
        <w:gridCol w:w="109"/>
        <w:gridCol w:w="109"/>
        <w:gridCol w:w="109"/>
        <w:gridCol w:w="331"/>
        <w:gridCol w:w="567"/>
        <w:gridCol w:w="242"/>
      </w:tblGrid>
      <w:tr>
        <w:trPr/>
        <w:tc>
          <w:tcPr>
            <w:tcW w:w="223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Trade accounts receivable and other receivables, net from related parties </w:t>
            </w:r>
            <w:r>
              <w:rPr>
                <w:rFonts w:ascii="Times New Roman;sans-serif" w:hAnsi="Times New Roman;sans-serif"/>
                <w:b w:val="false"/>
                <w:color w:val="000000"/>
                <w:sz w:val="13"/>
              </w:rPr>
              <w:t>(1)</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Trade accounts payable to related parties </w:t>
            </w:r>
            <w:r>
              <w:rPr>
                <w:rFonts w:ascii="Times New Roman;sans-serif" w:hAnsi="Times New Roman;sans-serif"/>
                <w:b w:val="false"/>
                <w:color w:val="000000"/>
                <w:sz w:val="13"/>
              </w:rPr>
              <w:t>(1) (2)</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Includes amounts related to transportation and storage services and amounts owed to us or advanced to us related to investment capital projects of equity method investees where we serve as construction manager. </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Note 9—Commitments and Contingencies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Loss Contingencies — 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Legal Proceedings — 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Environmental — 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record environmental liabilities when environmental assessments and/or remedial efforts are probable and the amounts can be reasonably estimated. Generally, our recording of these accruals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At June 30, 2024, our estimated undiscounted reserve for environmental liabilities (excluding liabilities related to the Line 901 incident, as discussed further below) totaled $56 million, of which $12 million was classified as short-term and $44 million was classified as long-term. At December 31, 2023, our estimated undiscounted reserve for environmental liabilities (excluding liabilities related to the Line 901 incident) totaled $56 million, of which $10 million was classified as short-term and $46 million was classified as long-term. Such short-term liabilities are reflected in “Other current liabilities” and long-term liabilities are reflected in “Other long-term liabilities and deferred credits” on our Condensed Consolidated Balance Sheets. At both June 30, 2024 and December 31, 2023, we had recorded receivables (excluding receivables related to the Line 901 incident) totaling approximately $4 million for amounts probable of recovery under insurance and from third parties under indemnification agreements, approximately $1 million of which for each period is reflected in “Other long-term assets, net” and the remainder is reflected in “Trade accounts receivable and other receivables, net” on our Condensed Consolidated Balance Sheets.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the reserve is adequate, actual costs incurred (which may ultimately include costs for contingencies that are currently not reasonably estimable or costs for contingencies where the likelihood of loss is currently believed to be only reasonably possible or remote) may be in excess of the reserve and may potentially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Specific Legal, Environmental or Regulatory Matters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Line 901 Incident</w:t>
      </w:r>
      <w:r>
        <w:rPr>
          <w:rFonts w:ascii="Times New Roman;sans-serif" w:hAnsi="Times New Roman;sans-serif"/>
          <w:b w:val="false"/>
          <w:color w:val="000000"/>
          <w:sz w:val="20"/>
        </w:rPr>
        <w:t>. In May 2015, we experienced a crude oil release from our Las Flores to Gaviota Pipeline (Line 901) in Santa Barbara County, California. A portion of the released crude oil reached the Pacific Ocean at Refugio State Beach through a drainage culvert. Following the release, we shut down the pipeline and initiated our emergency response plan. A Unified Command, which included the United States Coast Guard, the EPA, the State of California Department of Fish and Wildlife (“CDFW”), the California Office of Spill Prevention and Response and the Santa Barbara Office of Emergency Management, was established for the response effort. Clean-up and remediation operations with respect to impacted shoreline and other areas has been determined by the Unified Command to be complete, and the Unified Command has been dissolved. Our estimate of the amount of oil spilled, based on relevant facts, data and information, and as set forth in the Consent Decree described below, is approximately 2,934 barrels; of this amount, we estimate that 598 barrels reached the Pacific Ocean.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Line 901 incident, several governmental agencies and regulators initiated investigations into the Line 901 incident, various claims have been made against us and a number of lawsuits have been filed against us, the majority of which have been resolved. Set forth below is a brief summary of actions and matters that are currently pending or recently resolved.</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the “responsible party” for the Line 901 incident we are liable for various costs and for certain natural resource damages under the Oil Pollution Act. In this regard, following the Line 901 incident, we entered into a cooperative Natural Resource Damage Assessment (“NRDA”) process with the federal and state agencies designated or authorized by law to act as trustees for the natural resources of the United States and the State of California (collectively, the “Trustees”). Additionally, various government agencies sought to collect civil fines and penalties under applicable state and federal regulations. On March 13, 2020, the United States and the People of the State of California filed a civil complaint against Plains All American Pipeline, L.P. and Plains Pipeline L.P. along with a pre-negotiated settlement agreement in the form of a Consent Decree (the “Consent Decree”) that was signed by the United States Department of Justice, Environmental and Natural Resources Division, the United States Department of Transportation, Pipeline and Hazardous Materials Safety Administration, the EPA, CDFW, the California Department of Parks and Recreation, the California State Lands Commission, the California Department of Forestry and Fire Protection’s Office of the State Fire Marshal, Central Coast Regional Water Quality Control Board, and Regents of the University of California. The Consent Decree was approved and entered by the Federal District Court for the Central District of California on October 14, 2020. Pursuant to the terms of the Consent Decree, Plains paid $24 million in civil penalties and $22.325 million as compensation for injuries to, destruction of, loss of, or loss of use of natural resources resulting from the Line 901 incident. The Consent Decree, which resolved all regulatory claims related to the incident, also contains requirements for implementing certain agreed-upon injunctive relief, as well as requirements for potentially restarting Line 901 and the Sisquoc to Pentland portion of Line 903. On October 13, 2022, Plains sold Line 901 and the Sisquoc to Pentland portion of Line 903 to Pacific Pipeline Company, an indirect wholly owned subsidiary of Exxon Mobil Corporation. As required by the terms of the Consent Decree, such purchaser assumed responsibility for compliance with the Consent Decree as it relates to the future ownership and operation of Line 901 and the Sisquoc to Pentland portion of Line 903.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Following an investigation and grand jury proceedings, in May of 2016, PAA was charged by a California state grand jury, pursuant to an indictment filed in California Superior Court, Santa Barbara County (the “May 2016 Indictment”), with alleged violations of California law in connection with the Line 901 incident. Fifteen charges from the May 2016 Indictment were the subject of a jury trial in California Superior Court in Santa Barbara County, and the jury returned a verdict on September 7, 2018, pursuant to which we were (i) found guilty on one felony discharge count and eight misdemeanor counts (which included one reporting count, one strict liability discharge count and six strict liability animal takings counts) and (ii) found not guilty on one strict liability animal takings count. The remaining counts were subsequently dismissed by the Court. On April 25, 2019, PAA was sentenced to pay fines and penalties in the aggregate amount of just under $3.35 million for the convictions covered by the September 2018 jury verdict (the “2019 Sentence”). The fines and penalties imposed in connection with the 2019 Sentence have been paid. In September 2021, the Superior Court concluded a series of hearings on the issue of whether there were any “direct victims” of the spill that are entitled to restitution under applicable criminal law. Through a series of final orders issued at the trial court level and without affecting any rights of the claimants under civil law, the Court dismissed the vast majority of the claims and ruled that the claimants were not entitled to restitution under applicable criminal laws. The Court did award an aggregate amount of less than $150,000 to a handful of claimants and we settled with approximately 40 claimants before the hearings for aggregate consideration that is not material. The prosecution and certain separately represented claimants appealed the Court’s rulings. The Appellate Court’s order resulted in approximately $275,000 of claims being remanded to the trial court for further adjudication and the affirmation of the trial court’s dismissal of all other claims.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also received several individual lawsuits and claims from companies, governmental agencies and individuals alleging damages arising out of the Line 901 incident. These lawsuits and claims generally seek restitution, compensatory and punitive damages, and/or injunctive relief. The majority of these lawsuits have been settled or dismissed by the court. In addition to the other lawsuits disclosed herein, the following lawsuits remain: (i) a lawsuit in California Superior Court in Santa Barbara County for lost revenue or profit asserted by a former oil producer that declared bankruptcy and shut in its offshore production platform following the Line 901 incident, for which trial began in August 2024; (ii) a lawsuit filed by the California State Land Commission in California Superior Court in Santa Barbara County seeking lost royalties following the shut-down of Line 901, as well as costs related to the decommissioning of such platform, which is currently scheduled for trial in October 2024, and (iii) lawsuits filed in California Superior Court in Santa Barbara County by various companies and individuals who provided labor, goods, or services associated with oil production activities they claim were disrupted following the Line 901 incident, which lawsuits have not yet been set for trial. We are vigorously defending these remaining lawsuits and believe we have strong defenses.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shortly following the Line 901 incident, we established a claims line and encouraged any parties that were damaged by the release to contact us to discuss their damage claims. We received a number of claims through the claims line and we have processed those claims and made payments as appropriate.</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a class action lawsuit was filed against us in United States District Court for the Central District of California in which the class plaintiffs seek a declaratory judgment that Plains’ right-of-way agreements would not allow Plains to lay a new pipeline to replace Line 901 and/or the non-operating segment of Line 903 without paying additional compensation. The purchaser of Line 901 and the Sisquoc to Pentland portion of Line 903 has assumed liability for these claims with respect to its interest in such acquired pipelines and Plains has been dismissed from this portion of the lawsuit. All other claims that were proceeding against Plains in this lawsuit have been settled or dismissed by the court.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 separate class action lawsuit that was pending in United States District Court for the Central District of California, the plaintiffs claimed two different classes of claimants were damaged by the release: (i) commercial fishermen who landed fish in certain specified fishing blocks in the waters off the coast of Southern California or persons or businesses who resold commercial seafood caught in those areas; and (ii) owners and lessees of residential beachfront properties, or properties with a private easement to a beach, where plaintiffs claim oil from the spill washed up. In 2022, in order to fully and finally resolve all claims and litigation for both classes, we reached an agreement to settle this case in exchange for a payment of $230 million (the “Class Action Settlement”). The Class Action Settlement was formally approved by the trial court on September 20, 2022, and we made the $230 million settlement payment on October 27, 2022 and the lawsuit was subsequently dismissed.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Plains formally submitted claims for reimbursement of the Class Action Settlement to our insurance carriers on November 7, 2022. To date, we have received payment of approximately $3.6 million from one insurer, which represents the final payment obligation of such insurer and brings the total amount collected from all insurers under such program to $275 million of the $500 million policy limits as of June 30, 2024. Insurers responsible for $185 million of the remaining $225 million of coverage have formally communicated a denial of coverage for the Class Action Settlement, generally alleging that some or all damages encompassed by the Class Action Settlement are not covered by their policies and that all or some portion of the $275 million for which Plains has already received insurance reimbursement does not properly exhaust the underlying policies that paid those sums. The insurer responsible for the final $40 million of coverage under such insurance program has not yet accepted nor denied coverage. We have initiated final and binding arbitration proceedings against all of the insurers responsible for the remaining $225 million of coverage with respect to which we have not received reimbursement. We believe that our claim for reimbursement from our insurers of the Class Action Settlement payment is strong and that our ultimate recovery of such amounts is probable. Our belief is based on: (i) our analysis of the terms of the underlying insurance policies as applied to the facts and circumstances that comprise our claim for reimbursement, (ii) our experience with the cost submissions and timely collection of claims for the $275 million collected to date for this incident under the same insurance program as the denied claims, including from some of the same insurers who are now denying claims, (iii) our extensive legal review and assessment of the insurer’s claimed basis for denial of coverage, which review and assessment includes the advice of external legal counsel experienced in these type of matters and solidly supports our belief that our insurers are required to provide coverage based on the terms of the policies and the nature of our claims, and (iv) the financial strength of the insurance carriers as determined by an independent credit ratings agency. Various factors could impact the timing and amount of recovery of our insurance receivable, including future developments that adversely impact our assessment of the strength of our coverage claims, the outcome of any dispute resolution proceedings with respect to our coverage claims and the extent to which insurers may become insolvent in the future. An unfavorable resolution could have a material impact on our results of operations.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foregoing, including the Class Action Settlement, we have made adjustments to our total estimated Line 901 costs and the portion of such costs that we believe are probable of recovery from insurance carriers, net of deductibles. Effective as of June 30, 2024, we estimate that the aggregate total costs we have incurred or will incur with respect to the Line 901 incident will be approximately $750 million, which includes actual and projected emergency response and clean-up costs, natural resource damage assessments, fines and penalties payable pursuant to the Consent Decree, certain third-party claims settlements (including the Class Action Settlement), and estimated costs associated with our remaining Line 901 lawsuits and claims as described above,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excluding future claims and lawsuits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 Accordingly, our assumptions and estimates may turn out to be inaccurate and our total costs could turn out to be materially higher; therefore, we can provide no assurance that we will not have to accrue significant additional costs in the future with respect to the Line 901 incident.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did not recognize any costs, net of amounts probable of recovery from insurance carriers, during the six months ended June 30, 2024 and 2023. As of June 30, 2024, we had a remaining undiscounted gross liability of approximately $81 million related to the Line 901 incident, which aggregate amount is reflected in “Current liabilities” on our Condensed Consolidated Balance Sheet. As discussed above, we maintain insurance coverage, which is subject to certain exclusions and deductibles, in the event of such liabilities. As of June 30, 2024, our incurred costs for the Line 901 incident have exceeded our insurance coverage limit of $500 million related to our 2015 insurance program applicable to the Line 901 incident by $250 million. Through June 30, 2024, we had collected, subject to customary reservations, approximately $280 million out of the $505 million of release costs that we believe are probable of recovery from insurance carriers (including the 2015 insurance program and our directors and officers (D&amp;O) insurance policies), net of deductibles. Therefore, as of June 30, 2024, we have recognized a receivable of approximately $225 million for the portion of the release costs that we believe is probable of recovery from insurance, net of deductibles and amounts already collected. We anticipate that the process to enforce our coverage claims with respect to the Class Action Settlement will take time and, accordingly, have classified the related receivable amounts as short-term and long-term based on the resolution status of the process as of the balance sheet date. As of June 30, 2024, we have classified $175 million of the receivable as a short-term asset in “Trade accounts receivable and other receivables, net” with the remaining $50 million recognized as a long-term asset in “Other long-term assets, net” on our Condensed Consolidated Balance Sheet. As of December 31, 2023, we classified $225 million as a long-term asset in “Other long-term assets, net” on our Condensed Consolidated Balance Sheet.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completed the required clean-up and remediation work as determined by the Unified Command and the Unified Command has been dissolved; however, we expect to make payments for additional legal, professional and regulatory costs during future periods.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lawsuits will have a material adverse effect on our consolidated financial condition, results of operations or cash flows.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Other Litigation Matters. </w:t>
      </w:r>
      <w:r>
        <w:rPr>
          <w:rFonts w:ascii="Times New Roman;sans-serif" w:hAnsi="Times New Roman;sans-serif"/>
          <w:b w:val="false"/>
          <w:color w:val="000000"/>
          <w:sz w:val="20"/>
        </w:rPr>
        <w:t>On July 19, 2022, Hartree Natural Gas Storage, LLC (“Hartree”) filed a lawsuit under seal in the Superior Court for the State of Delaware asserting claims against PAA Natural Gas Storage, L.P. (“PNGS”) and PAA arising out of a Membership Interest Purchase Agreement relating to the 2021 sale of the Pine Prairie Energy Center natural gas storage facility to Hartree. A bifurcated bench and jury trial was held in May of 2024, with the jury deciding claims asserted against PAA (“PAA claims”) and the court to decide the claims asserted against PNGS (“PNGS claims”). The jury found PAA liable but awarded $0 damages on the PAA claims. We are still awaiting a verdict from the court on the PNGS claims and an entry of judgement on the PAA claims. We expect that the outcome of the lawsuit will not have a material adverse effect on our financial condition, results of operations or cash flows.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10—Segment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manage our operations through two operating segments, which are also our reportable segments: Crude Oil and NGL. See Note 19 to our Consolidated Financial Statements included in Part IV of our 2023 Annual Report on Form 10-K for a summary of the types of products and services from which each segment derives its revenues. Our CODM (our Chief Executive Officer) evaluates segment performance based on measures including Segment Adjusted EBITDA (as defined below) and maintenance capital.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measure of Segment Adjusted EBITDA forms the basis of our internal financial reporting and is the primary performance measure used by our CODM in assessing performance and allocating resources among our operating segments. We define Segment Adjusted EBITDA as revenues and equity earnings in unconsolidated entities less (a) purchases and related costs, (b) field operating costs and (c) segment general and administrative expenses, plus (d) our proportionate share of the depreciation and amortization expense (including write-downs related to cancelled projects and impairments) of unconsolidated entities, further adjusted (e)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(f) to exclude the portion of all preceding items that is attributable to noncontrolling interests (“Segment amounts attributable to noncontrolling interests”).</w:t>
      </w:r>
    </w:p>
    <w:p>
      <w:pPr>
        <w:pStyle w:val="TextBody"/>
        <w:bidi w:val="0"/>
        <w:spacing w:lineRule="auto" w:line="276"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reflect certain financial data for each segment (in millions):</w:t>
      </w:r>
    </w:p>
    <w:p>
      <w:pPr>
        <w:pStyle w:val="TextBody"/>
        <w:bidi w:val="0"/>
        <w:spacing w:before="0" w:after="0"/>
        <w:ind w:left="0" w:right="0" w:firstLine="720"/>
        <w:jc w:val="left"/>
        <w:rPr/>
      </w:pPr>
      <w:r>
        <w:rPr/>
      </w:r>
    </w:p>
    <w:tbl>
      <w:tblPr>
        <w:tblW w:w="9493" w:type="dxa"/>
        <w:jc w:val="center"/>
        <w:tblInd w:w="0" w:type="dxa"/>
        <w:tblLayout w:type="fixed"/>
        <w:tblCellMar>
          <w:top w:w="28" w:type="dxa"/>
          <w:left w:w="28" w:type="dxa"/>
          <w:bottom w:w="28" w:type="dxa"/>
          <w:right w:w="28" w:type="dxa"/>
        </w:tblCellMar>
      </w:tblPr>
      <w:tblGrid>
        <w:gridCol w:w="1293"/>
        <w:gridCol w:w="1136"/>
        <w:gridCol w:w="1141"/>
        <w:gridCol w:w="211"/>
        <w:gridCol w:w="721"/>
        <w:gridCol w:w="109"/>
        <w:gridCol w:w="109"/>
        <w:gridCol w:w="109"/>
        <w:gridCol w:w="109"/>
        <w:gridCol w:w="211"/>
        <w:gridCol w:w="616"/>
        <w:gridCol w:w="109"/>
        <w:gridCol w:w="109"/>
        <w:gridCol w:w="109"/>
        <w:gridCol w:w="109"/>
        <w:gridCol w:w="465"/>
        <w:gridCol w:w="1063"/>
        <w:gridCol w:w="242"/>
        <w:gridCol w:w="109"/>
        <w:gridCol w:w="109"/>
        <w:gridCol w:w="109"/>
        <w:gridCol w:w="211"/>
        <w:gridCol w:w="721"/>
        <w:gridCol w:w="109"/>
        <w:gridCol w:w="154"/>
      </w:tblGrid>
      <w:tr>
        <w:trPr/>
        <w:tc>
          <w:tcPr>
            <w:tcW w:w="129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Intersegment Revenues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June 30, 2024</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 2024</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Six Months Ended June 30, 2023</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Revenues </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Segment Adjusted EBITDA Reconciliation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reconciles Segment Adjusted EBITDA to Net income attributable to PAA (in millions):</w:t>
      </w:r>
    </w:p>
    <w:p>
      <w:pPr>
        <w:pStyle w:val="TextBody"/>
        <w:bidi w:val="0"/>
        <w:spacing w:before="0" w:after="0"/>
        <w:ind w:left="0" w:right="0" w:firstLine="720"/>
        <w:jc w:val="left"/>
        <w:rPr/>
      </w:pPr>
      <w:r>
        <w:rPr/>
      </w:r>
    </w:p>
    <w:tbl>
      <w:tblPr>
        <w:tblW w:w="9614" w:type="dxa"/>
        <w:jc w:val="center"/>
        <w:tblInd w:w="0" w:type="dxa"/>
        <w:tblLayout w:type="fixed"/>
        <w:tblCellMar>
          <w:top w:w="28" w:type="dxa"/>
          <w:left w:w="28" w:type="dxa"/>
          <w:bottom w:w="28" w:type="dxa"/>
          <w:right w:w="28" w:type="dxa"/>
        </w:tblCellMar>
      </w:tblPr>
      <w:tblGrid>
        <w:gridCol w:w="1863"/>
        <w:gridCol w:w="1634"/>
        <w:gridCol w:w="1647"/>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616"/>
        <w:gridCol w:w="154"/>
      </w:tblGrid>
      <w:tr>
        <w:trPr/>
        <w:tc>
          <w:tcPr>
            <w:tcW w:w="1863"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(1)</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(2)</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Derivative activities and inventory valuation adjustments </w:t>
            </w:r>
            <w:r>
              <w:rPr>
                <w:rFonts w:ascii="Times New Roman;sans-serif" w:hAnsi="Times New Roman;sans-serif"/>
                <w:b w:val="false"/>
                <w:color w:val="000000"/>
                <w:sz w:val="13"/>
              </w:rPr>
              <w:t>(3)</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Long-term inventory costing adjustments </w:t>
            </w:r>
            <w:r>
              <w:rPr>
                <w:rFonts w:ascii="Times New Roman;sans-serif" w:hAnsi="Times New Roman;sans-serif"/>
                <w:b w:val="false"/>
                <w:color w:val="000000"/>
                <w:sz w:val="13"/>
              </w:rPr>
              <w:t>(4)</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Deficiencies under minimum volume commitments, net </w:t>
            </w:r>
            <w:r>
              <w:rPr>
                <w:rFonts w:ascii="Times New Roman;sans-serif" w:hAnsi="Times New Roman;sans-serif"/>
                <w:b w:val="false"/>
                <w:color w:val="000000"/>
                <w:sz w:val="13"/>
              </w:rPr>
              <w:t>(5)</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Equity-indexed compensation expense </w:t>
            </w:r>
            <w:r>
              <w:rPr>
                <w:rFonts w:ascii="Times New Roman;sans-serif" w:hAnsi="Times New Roman;sans-serif"/>
                <w:b w:val="false"/>
                <w:color w:val="000000"/>
                <w:sz w:val="13"/>
              </w:rPr>
              <w:t>(6)</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Foreign currency revaluation </w:t>
            </w:r>
            <w:r>
              <w:rPr>
                <w:rFonts w:ascii="Times New Roman;sans-serif" w:hAnsi="Times New Roman;sans-serif"/>
                <w:b w:val="false"/>
                <w:color w:val="000000"/>
                <w:sz w:val="13"/>
              </w:rPr>
              <w:t>(7)</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ans-serif" w:hAnsi="Times New Roman;sans-serif"/>
                <w:b w:val="false"/>
                <w:color w:val="000000"/>
                <w:sz w:val="20"/>
              </w:rPr>
              <w:t xml:space="preserve">Segment amounts attributable to noncontrolling interests </w:t>
            </w:r>
            <w:r>
              <w:rPr>
                <w:rFonts w:ascii="Times New Roman;sans-serif" w:hAnsi="Times New Roman;sans-serif"/>
                <w:b w:val="false"/>
                <w:color w:val="000000"/>
                <w:sz w:val="13"/>
              </w:rPr>
              <w:t>(8)</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adjustments utilized by our CODM in the evaluation of segment results.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Includes our proportionate share of the depreciation and amortization expense (including write-downs related to cancelled projects and impairments) of unconsolidated entities.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PLAINS ALL AMERICAN PIPELINE, L.P.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 xml:space="preserve">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be settled in cash is not excluded in determining Segment Adjusted EBITDA. See Note 17 to our Consolidated Financial Statements included in Part IV of our 2023 Annual Report on Form 10-K for a discussion regarding our equity-indexed compensation plans.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(8)</w:t>
      </w:r>
      <w:r>
        <w:rPr>
          <w:rFonts w:ascii="Times New Roman;sans-serif" w:hAnsi="Times New Roman;sans-serif"/>
          <w:b w:val="false"/>
          <w:color w:val="000000"/>
          <w:sz w:val="20"/>
        </w:rPr>
        <w:t>Reflects amounts attributable to noncontrolling interests in the Permian JV, Cactus II and Red River.</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Introduction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2023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includes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Executive Summary</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Results of Operations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Liquidity and Capital Resources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Recent Accounting Pronouncements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Forward-Looking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Executive Summary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Company 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we own an extensive network of pipeline transportation, terminalling, storage and gathering assets in key crude oil and NGL producing basins (including the Permian Basin) and transportation corridors and at major market hubs in the United States and Canada. Our assets and the services we provide are primarily focused on crude oil and NGL.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Overview of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six months of 2024, we recognized net income attributable to PAA of $515 million compared to $715 million during the first six months of 2023. Net income for the 2023 period includes favorable impacts from gains on asset sales and the mark-to-market adjustment of the Preferred Distribution Rate Reset Option, contributing to the relative decrease in net income in 2024. Our Crude Oil segment results were more favorable for the first six months of 2024 compared to 2023 and our NGL segment results were relatively flat year-over-year.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the “Results of Operations” section below for further discussion.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Consolidated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an overview of our consolidated financial results calculated in accordance with GAAP (in millions, except per unit data): </w:t>
      </w:r>
    </w:p>
    <w:p>
      <w:pPr>
        <w:pStyle w:val="TextBody"/>
        <w:bidi w:val="0"/>
        <w:spacing w:before="0" w:after="0"/>
        <w:ind w:left="0" w:right="0" w:firstLine="720"/>
        <w:jc w:val="left"/>
        <w:rPr/>
      </w:pPr>
      <w:r>
        <w:rPr/>
      </w:r>
    </w:p>
    <w:tbl>
      <w:tblPr>
        <w:tblW w:w="11387" w:type="dxa"/>
        <w:jc w:val="center"/>
        <w:tblInd w:w="0" w:type="dxa"/>
        <w:tblLayout w:type="fixed"/>
        <w:tblCellMar>
          <w:top w:w="28" w:type="dxa"/>
          <w:left w:w="28" w:type="dxa"/>
          <w:bottom w:w="28" w:type="dxa"/>
          <w:right w:w="28" w:type="dxa"/>
        </w:tblCellMar>
      </w:tblPr>
      <w:tblGrid>
        <w:gridCol w:w="844"/>
        <w:gridCol w:w="268"/>
        <w:gridCol w:w="26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7"/>
        <w:gridCol w:w="189"/>
        <w:gridCol w:w="271"/>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526"/>
        <w:gridCol w:w="109"/>
        <w:gridCol w:w="109"/>
        <w:gridCol w:w="109"/>
        <w:gridCol w:w="109"/>
        <w:gridCol w:w="239"/>
        <w:gridCol w:w="242"/>
        <w:gridCol w:w="316"/>
      </w:tblGrid>
      <w:tr>
        <w:trPr/>
        <w:tc>
          <w:tcPr>
            <w:tcW w:w="8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net </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Other income, net </w:t>
            </w:r>
            <w:r>
              <w:rPr>
                <w:rFonts w:ascii="Times New Roman;sans-serif" w:hAnsi="Times New Roman;sans-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common unit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common units outstanding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lineRule="auto" w:line="268" w:before="0" w:after="0"/>
        <w:ind w:left="0" w:right="0" w:hanging="720"/>
        <w:jc w:val="left"/>
        <w:rPr/>
      </w:pPr>
      <w:r>
        <w:rPr>
          <w:rFonts w:ascii="Times New Roman;sans-serif" w:hAnsi="Times New Roman;sans-serif"/>
          <w:b w:val="false"/>
          <w:color w:val="000000"/>
          <w:sz w:val="13"/>
        </w:rPr>
        <w:t>(1)</w:t>
      </w:r>
      <w:r>
        <w:rPr>
          <w:color w:val="000000"/>
        </w:rPr>
        <w:t>“</w:t>
      </w:r>
      <w:r>
        <w:rPr>
          <w:rFonts w:ascii="Times New Roman;sans-serif" w:hAnsi="Times New Roman;sans-serif"/>
          <w:b w:val="false"/>
          <w:color w:val="000000"/>
          <w:sz w:val="20"/>
        </w:rPr>
        <w:t>Interest expense, net” and “Other income, net” each include $15 million for the three and six months ended June 30, 2024 related to interest on promissory notes between and amongst PAA and related entities.</w:t>
      </w:r>
    </w:p>
    <w:p>
      <w:pPr>
        <w:pStyle w:val="TextBody"/>
        <w:bidi w:val="0"/>
        <w:spacing w:before="60" w:after="283"/>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Revenues and Purchases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Fluctuations in our consolidated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majority of our sales and purchases are indexed to the prompt month price of the NYMEX Light, Sweet crude oil futures contract (“NYMEX Price”). The following table presents the range of the NYMEX Price over the last two years (in dollars per barrel):</w:t>
      </w:r>
    </w:p>
    <w:p>
      <w:pPr>
        <w:pStyle w:val="TextBody"/>
        <w:bidi w:val="0"/>
        <w:spacing w:before="0" w:after="0"/>
        <w:ind w:left="0" w:right="0" w:firstLine="720"/>
        <w:jc w:val="left"/>
        <w:rPr/>
      </w:pPr>
      <w:r>
        <w:rPr/>
      </w:r>
    </w:p>
    <w:tbl>
      <w:tblPr>
        <w:tblW w:w="5796" w:type="dxa"/>
        <w:jc w:val="center"/>
        <w:tblInd w:w="0" w:type="dxa"/>
        <w:tblLayout w:type="fixed"/>
        <w:tblCellMar>
          <w:top w:w="28" w:type="dxa"/>
          <w:left w:w="28" w:type="dxa"/>
          <w:bottom w:w="28" w:type="dxa"/>
          <w:right w:w="28" w:type="dxa"/>
        </w:tblCellMar>
      </w:tblPr>
      <w:tblGrid>
        <w:gridCol w:w="1092"/>
        <w:gridCol w:w="959"/>
        <w:gridCol w:w="963"/>
        <w:gridCol w:w="211"/>
        <w:gridCol w:w="361"/>
        <w:gridCol w:w="109"/>
        <w:gridCol w:w="109"/>
        <w:gridCol w:w="109"/>
        <w:gridCol w:w="109"/>
        <w:gridCol w:w="211"/>
        <w:gridCol w:w="361"/>
        <w:gridCol w:w="109"/>
        <w:gridCol w:w="109"/>
        <w:gridCol w:w="109"/>
        <w:gridCol w:w="109"/>
        <w:gridCol w:w="222"/>
        <w:gridCol w:w="380"/>
        <w:gridCol w:w="164"/>
      </w:tblGrid>
      <w:tr>
        <w:trPr/>
        <w:tc>
          <w:tcPr>
            <w:tcW w:w="10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NYMEX Price</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Six Months Ended June 30,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revenues and purchases increased for the three and six months ended June 30, 2024 compared to the same periods in 2023 primarily due to higher commodity prices in the 2024 periods.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services increased for the three and six months ended June 30, 2024 compared to the same periods in 2023 primarily due to higher pipeline volumes and tariff escalations, as well as the impact of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further discussion of our net revenues (revenues less purchases and related costs) in the “—Analysis of Operating Segments” section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Field Operating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discussion of field operating costs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general and administrative expenses for the three and six months ended June 30, 2024 compared to the same periods in 2023 was primarily due to (i) higher information systems costs due to ongoing systems conversion and integration work and (ii) higher employee-related costs, including an increase in equity-indexed compensation expense (a portion of which is excluded in the calculation of Adjusted EBITDA and Segment Adjusted EBITDA).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Gains/(Losses) on Asset Sales,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gain on asset sales for the six months ended June 30, 2023 was primarily comprised of a gain of approximately $140 million related to the sale of our Keyera Fort Saskatchewan facility in the first quarter of 2023. See Note 7 to our Consolidated Financial Statements included in Part IV of our 2023 Annual Report on Form 10-K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Equity Earnings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discussion of Equity earnings in unconsolidated entities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Interest Expense, Net and Other Income,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June 30, 2024, Interest expense, net” and “Other income, net” each include interest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expense and interest income associated with promissory notes payable and receivable between and amongst PAA and related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entities, which is the primary driver of the increase in interest expense compared to the same periods in 2023 and is a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component of the variance in other income year-over-year. These amounts are excluded from our non-GAAP performance measures Adjusted EBITDA and Implied DCF. As such, the interest expense and interest income associated with these notes is presented on a net basis in the reconciliation of these metrics to Net Income. See the “—Non-GAAP Financial Measures” section below.</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impacting Interest expense, net (in millions):</w:t>
      </w:r>
    </w:p>
    <w:p>
      <w:pPr>
        <w:pStyle w:val="TextBody"/>
        <w:bidi w:val="0"/>
        <w:spacing w:before="0" w:after="0"/>
        <w:ind w:left="0" w:right="0" w:firstLine="720"/>
        <w:jc w:val="left"/>
        <w:rPr/>
      </w:pPr>
      <w:r>
        <w:rPr/>
      </w:r>
    </w:p>
    <w:tbl>
      <w:tblPr>
        <w:tblW w:w="8772" w:type="dxa"/>
        <w:jc w:val="left"/>
        <w:tblInd w:w="0" w:type="dxa"/>
        <w:tblLayout w:type="fixed"/>
        <w:tblCellMar>
          <w:top w:w="28" w:type="dxa"/>
          <w:left w:w="28" w:type="dxa"/>
          <w:bottom w:w="28" w:type="dxa"/>
          <w:right w:w="28" w:type="dxa"/>
        </w:tblCellMar>
      </w:tblPr>
      <w:tblGrid>
        <w:gridCol w:w="1586"/>
        <w:gridCol w:w="1395"/>
        <w:gridCol w:w="1399"/>
        <w:gridCol w:w="109"/>
        <w:gridCol w:w="109"/>
        <w:gridCol w:w="109"/>
        <w:gridCol w:w="211"/>
        <w:gridCol w:w="466"/>
        <w:gridCol w:w="109"/>
        <w:gridCol w:w="109"/>
        <w:gridCol w:w="109"/>
        <w:gridCol w:w="109"/>
        <w:gridCol w:w="211"/>
        <w:gridCol w:w="361"/>
        <w:gridCol w:w="109"/>
        <w:gridCol w:w="109"/>
        <w:gridCol w:w="109"/>
        <w:gridCol w:w="109"/>
        <w:gridCol w:w="211"/>
        <w:gridCol w:w="466"/>
        <w:gridCol w:w="109"/>
        <w:gridCol w:w="109"/>
        <w:gridCol w:w="109"/>
        <w:gridCol w:w="109"/>
        <w:gridCol w:w="211"/>
        <w:gridCol w:w="466"/>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third-party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expense on related party promissory notes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interest expense associated with promissory notes between and amongst PAA and related entities, as described above.</w:t>
      </w:r>
    </w:p>
    <w:p>
      <w:pPr>
        <w:pStyle w:val="TextBody"/>
        <w:bidi w:val="0"/>
        <w:spacing w:before="60" w:after="283"/>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impacting Other income, net (in millions):</w:t>
      </w:r>
    </w:p>
    <w:p>
      <w:pPr>
        <w:pStyle w:val="TextBody"/>
        <w:bidi w:val="0"/>
        <w:spacing w:before="0" w:after="0"/>
        <w:ind w:left="0" w:right="0" w:firstLine="720"/>
        <w:jc w:val="left"/>
        <w:rPr/>
      </w:pPr>
      <w:r>
        <w:rPr/>
      </w:r>
    </w:p>
    <w:tbl>
      <w:tblPr>
        <w:tblW w:w="10205" w:type="dxa"/>
        <w:jc w:val="center"/>
        <w:tblInd w:w="0" w:type="dxa"/>
        <w:tblLayout w:type="fixed"/>
        <w:tblCellMar>
          <w:top w:w="28" w:type="dxa"/>
          <w:left w:w="28" w:type="dxa"/>
          <w:bottom w:w="28" w:type="dxa"/>
          <w:right w:w="28" w:type="dxa"/>
        </w:tblCellMar>
      </w:tblPr>
      <w:tblGrid>
        <w:gridCol w:w="2223"/>
        <w:gridCol w:w="1904"/>
        <w:gridCol w:w="1909"/>
        <w:gridCol w:w="109"/>
        <w:gridCol w:w="109"/>
        <w:gridCol w:w="109"/>
        <w:gridCol w:w="211"/>
        <w:gridCol w:w="361"/>
        <w:gridCol w:w="109"/>
        <w:gridCol w:w="109"/>
        <w:gridCol w:w="109"/>
        <w:gridCol w:w="109"/>
        <w:gridCol w:w="211"/>
        <w:gridCol w:w="406"/>
        <w:gridCol w:w="109"/>
        <w:gridCol w:w="109"/>
        <w:gridCol w:w="109"/>
        <w:gridCol w:w="109"/>
        <w:gridCol w:w="211"/>
        <w:gridCol w:w="361"/>
        <w:gridCol w:w="109"/>
        <w:gridCol w:w="109"/>
        <w:gridCol w:w="109"/>
        <w:gridCol w:w="109"/>
        <w:gridCol w:w="211"/>
        <w:gridCol w:w="406"/>
        <w:gridCol w:w="156"/>
      </w:tblGrid>
      <w:tr>
        <w:trPr/>
        <w:tc>
          <w:tcPr>
            <w:tcW w:w="2223"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6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Interest income on related party promissory notes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from other sources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Net gain/(loss) on foreign currency revaluation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Gain on mark-to-market adjustment of Preferred Distribution Rate Reset Option embedded derivative </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6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r>
      <w:tr>
        <w:trPr/>
        <w:tc>
          <w:tcPr>
            <w:tcW w:w="6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interest income associated with promissory notes between and amongst PAA and related entities, as described above.</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The activity during the periods presented was primarily related to the impact from the change in the USD to CAD exchange rate on the portion of our intercompany net investment that is not long-term in nature.</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See Note 7 to our Condensed Consolidated Financial Statements for additional information.</w:t>
      </w:r>
    </w:p>
    <w:p>
      <w:pPr>
        <w:pStyle w:val="TextBody"/>
        <w:bidi w:val="0"/>
        <w:spacing w:before="60" w:after="283"/>
        <w:ind w:left="0" w:right="0" w:hanging="36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Income Tax (Expense)/Benefit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net favorable income tax variance for the six months ended June 30, 2024 compared to the same period in 2023 was primarily due to the tax impact of (i) the Keyera Fort Saskatchewan divestiture in the first quarter of 2023 and (ii) lower year-over-year income within our Canadian operations as impacted by fluctuations of derivative mark-to-market valuations, partially offset by (iii) higher income tax expense in the second quarter of 2024 associated with Canadian withholding tax on dividends from our Canadian entities to other Plains entities.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Noncontrolling Interests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amounts attributable to noncontrolling interests for the three and six months ended June 30, 2024 compared to the same periods in 2023 was primarily due to higher income recognized by the Permian JV resulting from higher volumes and contributions from acquisitions.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supplement our financial information presented in accordance with GAAP, management uses additional measures known as “non-GAAP financial measures” in its evaluation of past performance and prospects for the future and to assess the amount of cash that is available for distributions, debt repayments, common equity repurchases and other general partnership purposes. The primary additional measures used by management are Adjusted EBITDA, Adjusted EBITDA attributable to PAA, Implied distributable cash flow (“DCF”), Adjusted Free Cash Flow and Adjusted Free Cash Flow after Distributions.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definition and calculation of certain non-GAAP financial measures may not be comparable to similarly-titled measures of other companies. Adjusted EBITDA, Adjusted EBITDA attributable to PAA and Implied DCF are reconciled to Net Income, and Adjusted Free Cash Flow and Adjusted Free Cash Flow after Distributions are reconciled to Net Cash Provided by Operating Activities, the most directly comparable measures as reported in accordance with GAAP, and should be viewed in addition to, and not in lieu of, our Condensed Consolidated Financial Statements and accompanying notes. See “—Liquidity and Capital Resources—Non-GAAP Financial Liquidity Measures” for additional information regarding Adjusted Free Cash Flow and Adjusted Free Cash Flow after Distributions.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Non-GAAP Financial Performance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is defined as earnings before interest expense, income tax (expense)/benefit, depreciation and amortization (including our proportionate share of depreciation and amortization, including write-downs related to cancelled projects and impairments, of unconsolidated entities), gains and losses on asset sales, gains or losses on investments in unconsolidated entities and interest income on promissory notes between and amongst PAA and related entities, adjusted for certain selected items impacting comparability. Adjusted EBITDA attributable to PAA excludes the portion of Adjusted EBITDA that is attributable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that the presentation of Adjusted EBITDA, Adjusted EBITDA attributable to PAA and Implied DCF provides useful information to investors regarding our performance and results of operations because these measures, when used to supplement related GAAP financial measures, (i) provide additional information about our core operating performance and ability to fund distributions to our unitholders through cash generated by our operations,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core operating results and/or (v) other items that we believe should be excluded in understanding our core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reconciliation of the non-GAAP financial performance measures Adjusted EBITDA, Adjusted EBITDA attributable to PAA and Implied DCF to Net Income (in millions):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10688" w:type="dxa"/>
        <w:jc w:val="center"/>
        <w:tblInd w:w="0" w:type="dxa"/>
        <w:tblLayout w:type="fixed"/>
        <w:tblCellMar>
          <w:top w:w="28" w:type="dxa"/>
          <w:left w:w="28" w:type="dxa"/>
          <w:bottom w:w="28" w:type="dxa"/>
          <w:right w:w="28" w:type="dxa"/>
        </w:tblCellMar>
      </w:tblPr>
      <w:tblGrid>
        <w:gridCol w:w="720"/>
        <w:gridCol w:w="229"/>
        <w:gridCol w:w="231"/>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54"/>
        <w:gridCol w:w="227"/>
        <w:gridCol w:w="271"/>
        <w:gridCol w:w="109"/>
        <w:gridCol w:w="109"/>
        <w:gridCol w:w="109"/>
        <w:gridCol w:w="109"/>
        <w:gridCol w:w="109"/>
        <w:gridCol w:w="109"/>
        <w:gridCol w:w="211"/>
        <w:gridCol w:w="616"/>
        <w:gridCol w:w="109"/>
        <w:gridCol w:w="109"/>
        <w:gridCol w:w="109"/>
        <w:gridCol w:w="109"/>
        <w:gridCol w:w="211"/>
        <w:gridCol w:w="616"/>
        <w:gridCol w:w="109"/>
        <w:gridCol w:w="109"/>
        <w:gridCol w:w="109"/>
        <w:gridCol w:w="109"/>
        <w:gridCol w:w="211"/>
        <w:gridCol w:w="481"/>
        <w:gridCol w:w="109"/>
        <w:gridCol w:w="109"/>
        <w:gridCol w:w="109"/>
        <w:gridCol w:w="109"/>
        <w:gridCol w:w="233"/>
        <w:gridCol w:w="233"/>
        <w:gridCol w:w="316"/>
      </w:tblGrid>
      <w:tr>
        <w:trPr/>
        <w:tc>
          <w:tcPr>
            <w:tcW w:w="72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Interest expense, net of certain items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(Gains)/losses on asset sales,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Depreciation and amortization of unconsolidated entities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Selected Items Impacting Comparability: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Derivative activities and inventory valuation adjustments</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Long-term inventory costing adjustments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Equity-indexed compensation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Selected Items Impacting Comparability - Segment Adjusted EBITDA</w:t>
            </w:r>
            <w:r>
              <w:rPr>
                <w:color w:val="000000"/>
              </w:rPr>
              <w:t xml:space="preserve">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CCEEFF" w:val="clear"/>
            <w:tcMar>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Mark-to-market adjustment of Preferred Distribution Rate Reset Option embedded derivative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Foreign currency revaluation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Selected Items Impacting Comparability - Adjusted EBITDA </w:t>
            </w:r>
            <w:r>
              <w:rPr>
                <w:rFonts w:ascii="Times New Roman;sans-serif" w:hAnsi="Times New Roman;sans-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Adjusted EBITDA attributable to noncontrolling interests </w:t>
            </w:r>
            <w:r>
              <w:rPr>
                <w:rFonts w:ascii="Times New Roman;sans-serif" w:hAnsi="Times New Roman;sans-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PAA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(6)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Interest expense, net of certain non-cash and other items </w:t>
            </w:r>
            <w:r>
              <w:rPr>
                <w:rFonts w:ascii="Times New Roman;sans-serif" w:hAnsi="Times New Roman;sans-serif"/>
                <w:b w:val="false"/>
                <w:color w:val="000000"/>
                <w:sz w:val="13"/>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Maintenance capital </w:t>
            </w:r>
            <w:r>
              <w:rPr>
                <w:rFonts w:ascii="Times New Roman;sans-serif" w:hAnsi="Times New Roman;sans-serif"/>
                <w:b w:val="false"/>
                <w:color w:val="000000"/>
                <w:sz w:val="13"/>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Investment capital of noncontrolling interests </w:t>
            </w:r>
            <w:r>
              <w:rPr>
                <w:rFonts w:ascii="Times New Roman;sans-serif" w:hAnsi="Times New Roman;sans-serif"/>
                <w:b w:val="false"/>
                <w:color w:val="000000"/>
                <w:sz w:val="13"/>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Distributions from unconsolidated entities in excess of/(less than) adjusted equity earnings</w:t>
            </w:r>
            <w:r>
              <w:rPr>
                <w:color w:val="000000"/>
              </w:rPr>
              <w:t xml:space="preserve"> </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Distributions to noncontrolling interests </w:t>
            </w:r>
            <w:r>
              <w:rPr>
                <w:rFonts w:ascii="Times New Roman;sans-serif" w:hAnsi="Times New Roman;sans-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Implied DCF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Preferred unit distributions </w:t>
            </w:r>
            <w:r>
              <w:rPr>
                <w:rFonts w:ascii="Times New Roman;sans-serif" w:hAnsi="Times New Roman;sans-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Implied DCF Available to Common Unitholders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ans-serif" w:hAnsi="Times New Roman;sans-serif"/>
                <w:b w:val="false"/>
                <w:color w:val="000000"/>
                <w:sz w:val="20"/>
              </w:rPr>
              <w:t xml:space="preserve">Common unit cash distributions </w:t>
            </w:r>
            <w:r>
              <w:rPr>
                <w:rFonts w:ascii="Times New Roman;sans-serif" w:hAnsi="Times New Roman;sans-serif"/>
                <w:b w:val="false"/>
                <w:color w:val="000000"/>
                <w:sz w:val="13"/>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Implied DCF Excess </w:t>
            </w:r>
            <w:r>
              <w:rPr>
                <w:rFonts w:ascii="Times New Roman;sans-serif" w:hAnsi="Times New Roman;sans-serif"/>
                <w:b w:val="false"/>
                <w:color w:val="000000"/>
                <w:sz w:val="13"/>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“Interest expense, net” as reported on our Condensed Consolidated Statements of Operations, net of interest income associated with promissory notes between and amongst PAA and related entities.</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We exclude our proportionate share of the depreciation and amortization expense (including write-downs related to cancelled projects and impairments) of unconsolidated entities when reviewing Adjusted EBITDA, similar to our consolidated assets.</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For a more detailed discussion of these selected items impacting comparability, see the footnotes to the Segment Adjusted EBITDA Reconciliation table in Note 10 to our Condensed Consolidated Financial Statements.</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The Preferred Distribution Rate Reset Option of our Series A preferred units was accounted for as an embedded derivative and recorded at fair value in our Condensed Consolidated Financial Statements. The associated gains and losses are not integral to our results and were thus classified as a selected item impacting comparability. See Note 7 to our Condensed Consolidated Financial Statements for additional information regarding the Preferred Distribution Rate Reset Option.</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(6)</w:t>
      </w:r>
      <w:r>
        <w:rPr>
          <w:color w:val="000000"/>
        </w:rPr>
        <w:t>“</w:t>
      </w:r>
      <w:r>
        <w:rPr>
          <w:rFonts w:ascii="Times New Roman;sans-serif" w:hAnsi="Times New Roman;sans-serif"/>
          <w:b w:val="false"/>
          <w:color w:val="000000"/>
          <w:sz w:val="20"/>
        </w:rPr>
        <w:t>Other income, net” on our Condensed Consolidated Statements of Operations, excluding interest income on promissory notes between and amongst PAA and related entities, adjusted for selected items impacting comparability (“Adjusted other income, net”) is included in Adjusted EBITDA and excluded from Segment Adjusted EBITDA.</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(7)</w:t>
      </w:r>
      <w:r>
        <w:rPr>
          <w:rFonts w:ascii="Times New Roman;sans-serif" w:hAnsi="Times New Roman;sans-serif"/>
          <w:b w:val="false"/>
          <w:color w:val="000000"/>
          <w:sz w:val="20"/>
        </w:rPr>
        <w:t>Reflects amounts attributable to noncontrolling interests in the Permian JV, Cactus II and Red River.</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(8)</w:t>
      </w:r>
      <w:r>
        <w:rPr>
          <w:rFonts w:ascii="Times New Roman;sans-serif" w:hAnsi="Times New Roman;sans-serif"/>
          <w:b w:val="false"/>
          <w:color w:val="000000"/>
          <w:sz w:val="20"/>
        </w:rPr>
        <w:t>See the table above for a reconciliation from Net Income to Adjusted EBITDA.</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(9)</w:t>
      </w:r>
      <w:r>
        <w:rPr>
          <w:rFonts w:ascii="Times New Roman;sans-serif" w:hAnsi="Times New Roman;sans-serif"/>
          <w:b w:val="false"/>
          <w:color w:val="000000"/>
          <w:sz w:val="20"/>
        </w:rPr>
        <w:t>Excludes certain non-cash items impacting interest expense such as amortization of debt issuance costs and terminated interest rate swaps, as well as interest income on promissory notes between and amongst PAA and related entities.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(10)</w:t>
      </w:r>
      <w:r>
        <w:rPr>
          <w:rFonts w:ascii="Times New Roman;sans-serif" w:hAnsi="Times New Roman;sans-serif"/>
          <w:b w:val="false"/>
          <w:color w:val="000000"/>
          <w:sz w:val="20"/>
        </w:rPr>
        <w:t>Maintenance capital expenditures are defined as capital expenditures for the replacement and/or refurbishment of partially or fully depreciated assets in order to maintain the operating and/or earnings capacity of our existing assets.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(11)</w:t>
      </w:r>
      <w:r>
        <w:rPr>
          <w:rFonts w:ascii="Times New Roman;sans-serif" w:hAnsi="Times New Roman;sans-serif"/>
          <w:b w:val="false"/>
          <w:color w:val="000000"/>
          <w:sz w:val="20"/>
        </w:rPr>
        <w:t>Investment capital expenditures attributable to noncontrolling interests that reduce Implied DCF available to PAA common unitholders.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(12)</w:t>
      </w:r>
      <w:r>
        <w:rPr>
          <w:rFonts w:ascii="Times New Roman;sans-serif" w:hAnsi="Times New Roman;sans-serif"/>
          <w:b w:val="false"/>
          <w:color w:val="000000"/>
          <w:sz w:val="20"/>
        </w:rPr>
        <w:t>Comprised of cash distributions received from unconsolidated entities less equity earnings in unconsolidated entities (adjusted for our proportionate share of depreciation and amortization, including write-downs related to cancelled projects, and selected items impacting comparability of unconsolidated entities).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(13)</w:t>
      </w:r>
      <w:r>
        <w:rPr>
          <w:rFonts w:ascii="Times New Roman;sans-serif" w:hAnsi="Times New Roman;sans-serif"/>
          <w:b w:val="false"/>
          <w:color w:val="000000"/>
          <w:sz w:val="20"/>
        </w:rPr>
        <w:t>Cash distributions paid during the period presented.</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(14)</w:t>
      </w:r>
      <w:r>
        <w:rPr>
          <w:rFonts w:ascii="Times New Roman;sans-serif" w:hAnsi="Times New Roman;sans-serif"/>
          <w:b w:val="false"/>
          <w:color w:val="000000"/>
          <w:sz w:val="20"/>
        </w:rPr>
        <w:t xml:space="preserve">Excess DCF is retained to establish reserves for debt repayment, future distributions, common equity repurchases, capital expenditures and other partnership purposes. </w:t>
      </w:r>
    </w:p>
    <w:p>
      <w:pPr>
        <w:pStyle w:val="TextBody"/>
        <w:bidi w:val="0"/>
        <w:spacing w:before="60" w:after="283"/>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Analysis of Operating Segments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manage our operations through two operating segments: Crude Oil and NGL. Our CODM (our Chief Executive Officer) evaluates segment performance based on a variety of measures including Segment Adjusted EBITDA, segment volumes and maintenance capital investment. See Note 10 to our Condensed Consolidated Financial Statements for our definition of Segment Adjusted EBITDA and a reconciliation of Segment Adjusted EBITDA to Net income attributable to PAA. See Note 19 to our Consolidated Financial Statements included in Part IV of our 2023 Annual Report on Form 10-K for our definition of maintenance capital.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Crude Oil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Crude Oil segment operations generally consist of gathering and transporting crude oil using pipelines,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costs.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operating results from our Crude Oil segment:</w:t>
      </w:r>
    </w:p>
    <w:p>
      <w:pPr>
        <w:pStyle w:val="TextBody"/>
        <w:bidi w:val="0"/>
        <w:spacing w:before="0" w:after="0"/>
        <w:jc w:val="left"/>
        <w:rPr/>
      </w:pPr>
      <w:r>
        <w:rPr/>
      </w:r>
    </w:p>
    <w:tbl>
      <w:tblPr>
        <w:tblW w:w="11879" w:type="dxa"/>
        <w:jc w:val="left"/>
        <w:tblInd w:w="0" w:type="dxa"/>
        <w:tblLayout w:type="fixed"/>
        <w:tblCellMar>
          <w:top w:w="28" w:type="dxa"/>
          <w:left w:w="28" w:type="dxa"/>
          <w:bottom w:w="28" w:type="dxa"/>
          <w:right w:w="28" w:type="dxa"/>
        </w:tblCellMar>
      </w:tblPr>
      <w:tblGrid>
        <w:gridCol w:w="565"/>
        <w:gridCol w:w="497"/>
        <w:gridCol w:w="49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7"/>
        <w:gridCol w:w="189"/>
        <w:gridCol w:w="271"/>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7"/>
        <w:gridCol w:w="189"/>
        <w:gridCol w:w="316"/>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Operating Results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Segment general and administrative expenses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earnings in unconsolidated entities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unconsolidated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 and inventory valuation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Equity-indexed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amounts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711"/>
        <w:gridCol w:w="331"/>
        <w:gridCol w:w="334"/>
        <w:gridCol w:w="109"/>
        <w:gridCol w:w="109"/>
        <w:gridCol w:w="109"/>
        <w:gridCol w:w="308"/>
        <w:gridCol w:w="308"/>
        <w:gridCol w:w="117"/>
        <w:gridCol w:w="116"/>
        <w:gridCol w:w="116"/>
        <w:gridCol w:w="116"/>
        <w:gridCol w:w="308"/>
        <w:gridCol w:w="308"/>
        <w:gridCol w:w="117"/>
        <w:gridCol w:w="109"/>
        <w:gridCol w:w="109"/>
        <w:gridCol w:w="109"/>
        <w:gridCol w:w="240"/>
        <w:gridCol w:w="240"/>
        <w:gridCol w:w="241"/>
        <w:gridCol w:w="109"/>
        <w:gridCol w:w="109"/>
        <w:gridCol w:w="109"/>
        <w:gridCol w:w="202"/>
        <w:gridCol w:w="204"/>
        <w:gridCol w:w="271"/>
        <w:gridCol w:w="109"/>
        <w:gridCol w:w="109"/>
        <w:gridCol w:w="109"/>
        <w:gridCol w:w="109"/>
        <w:gridCol w:w="109"/>
        <w:gridCol w:w="109"/>
        <w:gridCol w:w="308"/>
        <w:gridCol w:w="308"/>
        <w:gridCol w:w="154"/>
        <w:gridCol w:w="113"/>
        <w:gridCol w:w="113"/>
        <w:gridCol w:w="113"/>
        <w:gridCol w:w="308"/>
        <w:gridCol w:w="308"/>
        <w:gridCol w:w="154"/>
        <w:gridCol w:w="109"/>
        <w:gridCol w:w="109"/>
        <w:gridCol w:w="109"/>
        <w:gridCol w:w="240"/>
        <w:gridCol w:w="240"/>
        <w:gridCol w:w="241"/>
        <w:gridCol w:w="109"/>
        <w:gridCol w:w="109"/>
        <w:gridCol w:w="109"/>
        <w:gridCol w:w="202"/>
        <w:gridCol w:w="204"/>
        <w:gridCol w:w="322"/>
      </w:tblGrid>
      <w:tr>
        <w:trPr/>
        <w:tc>
          <w:tcPr>
            <w:tcW w:w="7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Average Volumes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Crude oil pipeline tariff (by region)</w:t>
            </w:r>
            <w:r>
              <w:rPr>
                <w:color w:val="000000"/>
              </w:rPr>
              <w:t xml:space="preserve">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Permian Basin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Rocky Mountain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w:t>
            </w:r>
            <w:r>
              <w:rPr>
                <w:color w:val="000000"/>
              </w:rPr>
              <w:t xml:space="preserve"> </w:t>
            </w:r>
            <w:r>
              <w:rPr>
                <w:rFonts w:ascii="Times New Roman;sans-serif" w:hAnsi="Times New Roman;sans-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crude oil pipeline tariff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Commercial crude oil storage capacity </w:t>
            </w:r>
            <w:r>
              <w:rPr>
                <w:rFonts w:ascii="Times New Roman;sans-serif" w:hAnsi="Times New Roman;sans-serif"/>
                <w:b w:val="false"/>
                <w:color w:val="000000"/>
                <w:sz w:val="13"/>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Crude oil lease gathering purchases </w:t>
            </w:r>
            <w:r>
              <w:rPr>
                <w:rFonts w:ascii="Times New Roman;sans-serif" w:hAnsi="Times New Roman;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    </w:t>
      </w:r>
      <w:r>
        <w:rPr>
          <w:rFonts w:ascii="Times New Roman;sans-serif" w:hAnsi="Times New Roman;sans-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adjustments included in the performance measure utilized by our CODM in the evaluation of segment results. See Note 10 to our Condensed Consolidated Financial Statements for additional discussion of such adjustments.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Average daily volumes in thousands of barrels per day calculated as the total volumes (attributable to our interest for assets owned by unconsolidated entities or through undivided joint interests) for the period divided by the number of days in the period. Volumes associated with acquisitions represent total volumes for the number of days we actually owned the assets divided by the number of days in the period.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(5)</w:t>
      </w:r>
      <w:r>
        <w:rPr>
          <w:rFonts w:ascii="Times New Roman;sans-serif" w:hAnsi="Times New Roman;sans-serif"/>
          <w:b w:val="false"/>
          <w:color w:val="000000"/>
          <w:sz w:val="20"/>
        </w:rPr>
        <w:t>Includes volumes (attributable to our interest) from assets owned by unconsolidated entities.</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(6)</w:t>
      </w:r>
      <w:r>
        <w:rPr>
          <w:rFonts w:ascii="Times New Roman;sans-serif" w:hAnsi="Times New Roman;sans-serif"/>
          <w:b w:val="false"/>
          <w:color w:val="000000"/>
          <w:sz w:val="20"/>
        </w:rPr>
        <w:t>Average monthly capacity in millions of barrels per day calculated as total volumes for the period divided by the number of months in the period.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Crude Oil Segment Adjusted EBITDA increased for the three and six months ended June 30, 2024 compared to the same periods in 2023 primarily due to higher tariff volumes on our pipelines, tariff escalations and contributions from acquisitions, partially offset by fewer market-based opportunities.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more detailed discussion of the significant factors impacting Segment Adjusted EBITDA for the three and six months ended June 30, 2024 compared to the same periods in 2023.</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Net Revenues and Equity Earnings. </w:t>
      </w:r>
      <w:r>
        <w:rPr>
          <w:rFonts w:ascii="Times New Roman;sans-serif" w:hAnsi="Times New Roman;sans-serif"/>
          <w:b w:val="false"/>
          <w:color w:val="000000"/>
          <w:sz w:val="20"/>
        </w:rPr>
        <w:t>Our results were favorably impacted by (i) volume growth across our pipeline systems driven by increased production as well as increased movements from the Rocky Mountain region to Cushing, Oklahoma, (ii) tariff escalations and (iii) contributions from 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results for the three and six months ended June 30, 2024 compared to 2023 reflect fewer crude oil market-based opportunities.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For the three and six months ended June 30, 2024 compared to the same periods in 2023, we recognized higher expenses associated with (i) employee-related costs primarily resulting from higher average headcount and salaries, (ii) property taxes due to the impact of favorable adjustments in 2023 and (iii) incremental operating costs associated with acquisitions. The unfavorable variance for the three and six months ended June 30, 2024 compared to 2023 was partially offset by (iv) lower utilities-related costs as a result of lower prices, partially offset by higher volumes, (v) a decrease in the amount of drag reducing agents used and (vi) decreased costs resulting from lower third-party trucked volumes.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maintenance capital spending for the three and six months ended June 30, 2024 compared to the same periods in 2023 was primarily due to timing of routine integrity maintenance.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NGL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segment operations involve natural gas processing and NGL fractionation, storage, transportation and terminalling. Our NGL revenues are primarily derived from a combination of (i) providing gathering, fractionation, storage, and/or terminalling services to third-party customers for a fee, and (ii) our merchant activities of extracting NGL mix from the gas stream processed at our Empress straddle plant facility as well as acquiring NGL mix, which is then transported, stored and fractionated into finished products and sold to customers. The commodity exposure associated with our merchant activities is governed by our risk management policies.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Generally, our segment results are impacted by (i) increases or decreases in our NGL sales volumes, (ii) volatility in commodity price differentials, primarily the differential between the price of natural gas and the extracted NGL (“frac spread”), as well as location differentials and time spreads, (iii) the quality and volume of natural gas transported on third-party assets through our Empress straddle plant and (iv) our share of the NGL’s received from a third party straddle plant.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NGL operations are sensitive to weather-related demand, particularly during the approximate five-month peak heating season of November through March, and temperature differences from period-to-period may have a significant effect on NGL demand and thus our financial performance as well as the impact of comparative performance between financial reporting periods that bisect the five-month peak heating season.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operating results from our NGL segment:</w:t>
      </w:r>
    </w:p>
    <w:p>
      <w:pPr>
        <w:pStyle w:val="TextBody"/>
        <w:bidi w:val="0"/>
        <w:spacing w:before="0" w:after="0"/>
        <w:ind w:left="0" w:right="0" w:firstLine="720"/>
        <w:jc w:val="left"/>
        <w:rPr/>
      </w:pPr>
      <w:r>
        <w:rPr/>
      </w:r>
    </w:p>
    <w:tbl>
      <w:tblPr>
        <w:tblW w:w="10664" w:type="dxa"/>
        <w:jc w:val="center"/>
        <w:tblInd w:w="0" w:type="dxa"/>
        <w:tblLayout w:type="fixed"/>
        <w:tblCellMar>
          <w:top w:w="28" w:type="dxa"/>
          <w:left w:w="28" w:type="dxa"/>
          <w:bottom w:w="28" w:type="dxa"/>
          <w:right w:w="28" w:type="dxa"/>
        </w:tblCellMar>
      </w:tblPr>
      <w:tblGrid>
        <w:gridCol w:w="565"/>
        <w:gridCol w:w="497"/>
        <w:gridCol w:w="499"/>
        <w:gridCol w:w="109"/>
        <w:gridCol w:w="109"/>
        <w:gridCol w:w="109"/>
        <w:gridCol w:w="211"/>
        <w:gridCol w:w="466"/>
        <w:gridCol w:w="109"/>
        <w:gridCol w:w="109"/>
        <w:gridCol w:w="109"/>
        <w:gridCol w:w="109"/>
        <w:gridCol w:w="211"/>
        <w:gridCol w:w="466"/>
        <w:gridCol w:w="109"/>
        <w:gridCol w:w="109"/>
        <w:gridCol w:w="109"/>
        <w:gridCol w:w="109"/>
        <w:gridCol w:w="211"/>
        <w:gridCol w:w="376"/>
        <w:gridCol w:w="109"/>
        <w:gridCol w:w="109"/>
        <w:gridCol w:w="109"/>
        <w:gridCol w:w="109"/>
        <w:gridCol w:w="188"/>
        <w:gridCol w:w="188"/>
        <w:gridCol w:w="271"/>
        <w:gridCol w:w="109"/>
        <w:gridCol w:w="109"/>
        <w:gridCol w:w="109"/>
        <w:gridCol w:w="109"/>
        <w:gridCol w:w="109"/>
        <w:gridCol w:w="109"/>
        <w:gridCol w:w="211"/>
        <w:gridCol w:w="466"/>
        <w:gridCol w:w="109"/>
        <w:gridCol w:w="109"/>
        <w:gridCol w:w="109"/>
        <w:gridCol w:w="109"/>
        <w:gridCol w:w="211"/>
        <w:gridCol w:w="616"/>
        <w:gridCol w:w="109"/>
        <w:gridCol w:w="109"/>
        <w:gridCol w:w="109"/>
        <w:gridCol w:w="109"/>
        <w:gridCol w:w="211"/>
        <w:gridCol w:w="481"/>
        <w:gridCol w:w="109"/>
        <w:gridCol w:w="109"/>
        <w:gridCol w:w="109"/>
        <w:gridCol w:w="109"/>
        <w:gridCol w:w="218"/>
        <w:gridCol w:w="188"/>
        <w:gridCol w:w="316"/>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6"/>
              </w:rPr>
              <w:t>Operating Results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and related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Field operating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Segment general and administrative expenses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Adjustments</w:t>
            </w:r>
            <w:r>
              <w:rPr>
                <w:color w:val="000000"/>
              </w:rPr>
              <w:t xml:space="preserve"> </w:t>
            </w:r>
            <w:r>
              <w:rPr>
                <w:rFonts w:ascii="Times New Roman;sans-serif" w:hAnsi="Times New Roman;sans-serif"/>
                <w:b w:val="false"/>
                <w:color w:val="000000"/>
                <w:sz w:val="13"/>
              </w:rPr>
              <w:t>(3)</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inventory costing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revaluation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2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r>
        <w:trPr/>
        <w:tc>
          <w:tcPr>
            <w:tcW w:w="15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94"/>
        <w:gridCol w:w="546"/>
        <w:gridCol w:w="548"/>
        <w:gridCol w:w="109"/>
        <w:gridCol w:w="109"/>
        <w:gridCol w:w="109"/>
        <w:gridCol w:w="233"/>
        <w:gridCol w:w="233"/>
        <w:gridCol w:w="141"/>
        <w:gridCol w:w="141"/>
        <w:gridCol w:w="141"/>
        <w:gridCol w:w="141"/>
        <w:gridCol w:w="232"/>
        <w:gridCol w:w="234"/>
        <w:gridCol w:w="141"/>
        <w:gridCol w:w="109"/>
        <w:gridCol w:w="109"/>
        <w:gridCol w:w="109"/>
        <w:gridCol w:w="240"/>
        <w:gridCol w:w="240"/>
        <w:gridCol w:w="241"/>
        <w:gridCol w:w="109"/>
        <w:gridCol w:w="109"/>
        <w:gridCol w:w="109"/>
        <w:gridCol w:w="180"/>
        <w:gridCol w:w="181"/>
        <w:gridCol w:w="271"/>
        <w:gridCol w:w="109"/>
        <w:gridCol w:w="109"/>
        <w:gridCol w:w="109"/>
        <w:gridCol w:w="109"/>
        <w:gridCol w:w="109"/>
        <w:gridCol w:w="109"/>
        <w:gridCol w:w="233"/>
        <w:gridCol w:w="233"/>
        <w:gridCol w:w="154"/>
        <w:gridCol w:w="131"/>
        <w:gridCol w:w="131"/>
        <w:gridCol w:w="131"/>
        <w:gridCol w:w="233"/>
        <w:gridCol w:w="233"/>
        <w:gridCol w:w="154"/>
        <w:gridCol w:w="109"/>
        <w:gridCol w:w="109"/>
        <w:gridCol w:w="109"/>
        <w:gridCol w:w="240"/>
        <w:gridCol w:w="240"/>
        <w:gridCol w:w="241"/>
        <w:gridCol w:w="109"/>
        <w:gridCol w:w="109"/>
        <w:gridCol w:w="109"/>
        <w:gridCol w:w="180"/>
        <w:gridCol w:w="181"/>
        <w:gridCol w:w="323"/>
      </w:tblGrid>
      <w:tr>
        <w:trPr/>
        <w:tc>
          <w:tcPr>
            <w:tcW w:w="79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Variance</w:t>
            </w:r>
          </w:p>
        </w:tc>
      </w:tr>
      <w:tr>
        <w:trPr/>
        <w:tc>
          <w:tcPr>
            <w:tcW w:w="18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 xml:space="preserve">Average Volumes </w:t>
            </w:r>
          </w:p>
          <w:p>
            <w:pPr>
              <w:pStyle w:val="TableContents"/>
              <w:bidi w:val="0"/>
              <w:spacing w:lineRule="auto" w:line="240" w:before="0" w:after="0"/>
              <w:jc w:val="left"/>
              <w:rPr/>
            </w:pPr>
            <w:r>
              <w:rPr>
                <w:rFonts w:ascii="Times New Roman;sans-serif" w:hAnsi="Times New Roman;sans-serif"/>
                <w:b/>
                <w:color w:val="000000"/>
                <w:sz w:val="16"/>
              </w:rPr>
              <w:t>(in thousands of barrels per day</w:t>
            </w:r>
            <w:r>
              <w:rPr>
                <w:rFonts w:ascii="Times New Roman;sans-serif" w:hAnsi="Times New Roman;sans-serif"/>
                <w:b/>
                <w:color w:val="000000"/>
                <w:sz w:val="20"/>
              </w:rPr>
              <w:t xml:space="preserve">) </w:t>
            </w:r>
            <w:r>
              <w:rPr>
                <w:rFonts w:ascii="Times New Roman;sans-serif" w:hAnsi="Times New Roman;sans-serif"/>
                <w:b/>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8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fractionation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 pipeline tariff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Propane and butane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w:t>
      </w:r>
      <w:r>
        <w:rPr>
          <w:color w:val="000000"/>
        </w:rPr>
        <w:t>    </w:t>
      </w:r>
      <w:r>
        <w:rPr>
          <w:rFonts w:ascii="Times New Roman;sans-serif" w:hAnsi="Times New Roman;sans-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Revenues and costs and expenses include intersegment amounts.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Represents adjustments included in the performance measure utilized by our CODM in the evaluation of segment results. See Note 10 to our Condensed Consolidated Financial Statements for additional discussion of such adjustments.</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Average daily volumes are calculated as total volumes (attributable to our interest for assets owned through undivided joint interests) for the period divided by the number of days in the period.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Segment Adjusted EBITDA</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NGL Segment Adjusted EBITDA increased for the three months ended June 30, 2024 compared to 2023 as a result of higher propane and butane sales volumes, primarily due to turnarounds impacting sales volumes in the second quarter of 2023, and incremental margins from iso-to-normal butane spread benefits in the second quarter of 2024.</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NGL Segment Adjusted EBITDA was relatively flat for the six months ended June 30, 2024 compared to 2023 as higher propane and butane sales volumes, as well as higher realized frac spreads, in the first quarter of 2023 more than offset the benefits noted above in the second quarter of 2024 relative to the second quarter of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variances in the components of Segment Adjusted EBITDA are discussed in more detail below.</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Net Revenues.</w:t>
      </w:r>
      <w:r>
        <w:rPr>
          <w:color w:val="000000"/>
        </w:rPr>
        <w:t xml:space="preserve"> </w:t>
      </w:r>
      <w:r>
        <w:rPr>
          <w:rFonts w:ascii="Times New Roman;sans-serif" w:hAnsi="Times New Roman;sans-serif"/>
          <w:b w:val="false"/>
          <w:color w:val="000000"/>
          <w:sz w:val="20"/>
        </w:rPr>
        <w:t xml:space="preserve">Net revenues include the impact of derivative activities and long-term inventory costing adjustments, which are excluded from Segment Adjusted EBITDA and thus are reflected as an “Adjustment” in the table above. Excluding such impacts, net revenues increased for the second quarter of 2024 compared to 2023 and were relatively flat for the six months ended June 30, 2024 compared to 2023. </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net revenues for the second quarter of 2024 compared to 2023 was primarily due to (i) turnarounds in the second quarter of 2023 impacting straddle production which reduced our propane and butane sales volumes in 2023 and (ii) incremental margins from iso-to-normal butane spread benefits in the second quarter of 2024.</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2024 compared to 2023, net revenues were relatively flat as higher propane and butane sales volumes, as well as higher realized frac spreads, in the first quarter of 2023 more than offset the benefits noted above in the second quarter of 2024 relative to the second quarter of 2023.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both the three- and six-month periods ended June 30, 2024 compared to the same periods in 2023, we had lower field operating costs recoveries at our Empress straddle plants realized through our commercial agreements.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ans-serif" w:hAnsi="Times New Roman;sans-serif"/>
          <w:b w:val="false"/>
          <w:i/>
          <w:color w:val="000000"/>
          <w:sz w:val="20"/>
        </w:rPr>
        <w:t>Field Operating Costs.</w:t>
      </w:r>
      <w:r>
        <w:rPr>
          <w:color w:val="000000"/>
        </w:rPr>
        <w:t xml:space="preserve"> </w:t>
      </w:r>
      <w:r>
        <w:rPr>
          <w:rFonts w:ascii="Times New Roman;sans-serif" w:hAnsi="Times New Roman;sans-serif"/>
          <w:b w:val="false"/>
          <w:color w:val="000000"/>
          <w:sz w:val="20"/>
        </w:rPr>
        <w:t xml:space="preserve">The decrease in field operating costs for the six months ended June 30, 2024 compared to the same period in 2023 was primarily due to decreased utilities-related costs largely as a result of lower prices, partially offset by higher maintenance and integrity costs. </w:t>
      </w:r>
      <w:r>
        <w:rPr>
          <w:rFonts w:ascii="Times New Roman;sans-serif" w:hAnsi="Times New Roman;sans-serif"/>
          <w:b w:val="false"/>
          <w:color w:val="000000"/>
          <w:sz w:val="20"/>
          <w:shd w:fill="FFFFFF" w:val="clear"/>
        </w:rPr>
        <w:t>The decrease in utilities-related costs was partially offset by the lower benefit to net revenues of operating cost recoveries realized through commercial agreements.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Maintenance Capital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maintenance capital spending for the three and six months ended June 30, 2024 compared to the same periods in 2023 was primarily due to timing of equipment repairs and replacement projects for certain of our pipeline systems and fractionation facilities.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sources of liquidity are (i) cash flow from operating activities and (ii) borrowings under our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our long-term debt and (v) distributions to our unitholders and noncontrolling interests. In addition, we may use cash for repurchases of common equity. We generally expect to fund our short-term cash requirements through cash flow generated from operating activities and/or borrowings under our credit facilities or commercial paper program. In addition, we generally expect to fund our long-term needs, such as those resulting from investment capital activities, acquisitions or refinancing our long-term debt, through a variety of sources, which may include any or a combination of the sources listed above.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although we had a working capital deficit of $19 million, we had approximately $3.2 billion of liquidity available to meet our ongoing operating, investing and financing needs, subject to continued covenant compliance, as noted below (in millions): </w:t>
      </w:r>
    </w:p>
    <w:p>
      <w:pPr>
        <w:pStyle w:val="TextBody"/>
        <w:bidi w:val="0"/>
        <w:spacing w:before="0" w:after="0"/>
        <w:jc w:val="left"/>
        <w:rPr/>
      </w:pPr>
      <w:r>
        <w:rPr/>
      </w:r>
    </w:p>
    <w:tbl>
      <w:tblPr>
        <w:tblW w:w="6583" w:type="dxa"/>
        <w:jc w:val="center"/>
        <w:tblInd w:w="0" w:type="dxa"/>
        <w:tblLayout w:type="fixed"/>
        <w:tblCellMar>
          <w:top w:w="28" w:type="dxa"/>
          <w:left w:w="28" w:type="dxa"/>
          <w:bottom w:w="28" w:type="dxa"/>
          <w:right w:w="28" w:type="dxa"/>
        </w:tblCellMar>
      </w:tblPr>
      <w:tblGrid>
        <w:gridCol w:w="1959"/>
        <w:gridCol w:w="1725"/>
        <w:gridCol w:w="1730"/>
        <w:gridCol w:w="251"/>
        <w:gridCol w:w="735"/>
        <w:gridCol w:w="183"/>
      </w:tblGrid>
      <w:tr>
        <w:trPr/>
        <w:tc>
          <w:tcPr>
            <w:tcW w:w="1959"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w:t>
              <w:br/>
              <w:t>June 30, 2024</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Availability under senior unsecured revolving credit facility </w:t>
            </w:r>
            <w:r>
              <w:rPr>
                <w:rFonts w:ascii="Times New Roman;sans-serif" w:hAnsi="Times New Roman;sans-serif"/>
                <w:b w:val="false"/>
                <w:color w:val="000000"/>
                <w:sz w:val="13"/>
              </w:rPr>
              <w:t>(1) (2)</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Availability under senior secured hedged inventory facility </w:t>
            </w:r>
            <w:r>
              <w:rPr>
                <w:rFonts w:ascii="Times New Roman;sans-serif" w:hAnsi="Times New Roman;sans-serif"/>
                <w:b w:val="false"/>
                <w:color w:val="000000"/>
                <w:sz w:val="13"/>
              </w:rPr>
              <w:t>(1) (2)</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outstanding under commercial paper program</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and cash equivalents </w:t>
            </w:r>
            <w:r>
              <w:rPr>
                <w:rFonts w:ascii="Times New Roman;sans-serif" w:hAnsi="Times New Roman;sans-serif"/>
                <w:b w:val="false"/>
                <w:color w:val="000000"/>
                <w:sz w:val="13"/>
              </w:rPr>
              <w:t>(3)</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availability prior to giving effect to borrowings outstanding under our commercial paper program, which reduce available capacity under our credit facilities.</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Available capacity under our senior unsecured revolving credit facility and senior secured hedged inventory facility was reduced by outstanding letters of credit issued under these facilities of less than $1 million and $39 million, respectively.</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Excludes restricted cash of $3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Usage of our credit facilities, and, in turn, our commercial paper program, is subject to ongoing compliance with covenants. The credit agreements for our revolving credit facilities (which impact our ability to access our commercial paper program because they provide the financial backstop that supports our short-term credit ratings) and the indentures governing our senior notes contain cross-default provisions. A default under our credit agreements or indentures would permit the lenders to accelerate the maturity of the outstanding debt. As long as we are in compliance with the provisions in our credit agreements, our ability to make distributions of available cash is not restricted. We were in compliance with the covenants contained in our credit agreements and indentures as of June 30,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have, and will continue to have, the ability to access our commercial paper program and credit facilities, which we use to meet our short-term cash needs. We believe that our financial position remains strong and we have sufficient liquid assets, cash flow from operating activities and borrowing capacity under our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our credit rating. See Item 1A. “Risk Factors” included in our 2023 Annual Report on Form 10-K for further discussion regarding risks that may impact our 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Non-GAAP Financial Liquidity Measures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uses the non-GAAP financial liquidity measures Adjusted Free Cash Flow and Adjusted Free Cash Flow after Distributions to assess the amount of cash that is available for distributions, debt repayments, common equity repurchases and other general partnership purposes. Adjusted Free Cash Flow is defined as Net cash provided by operating activities, less Net cash provided by/(used in) investing activities, which primarily includes acquisition, investment and maintenance capital expenditures, investments in unconsolidated entities and the impact from the purchase and sale of linefill, net of proceeds from the sales of assets and further impacted by distributions to and contributions from noncontrolling interests. Adjusted Free Cash Flow is further reduced by cash distributions paid to our preferred and common unitholders to arrive at Adjusted Free Cash Flow after Distributions. Also see “Results of Operations–Non-GAAP Financial Measures” above for more information about our non-GAAP measures.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reconciliation of the non-GAAP financial liquidity measures Adjusted Free Cash Flow and Adjusted Free Cash Flow after Distributions from Net Cash Provided by Operating Activities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653"/>
        <w:gridCol w:w="2312"/>
        <w:gridCol w:w="2319"/>
        <w:gridCol w:w="109"/>
        <w:gridCol w:w="109"/>
        <w:gridCol w:w="131"/>
        <w:gridCol w:w="131"/>
        <w:gridCol w:w="254"/>
        <w:gridCol w:w="744"/>
        <w:gridCol w:w="131"/>
        <w:gridCol w:w="109"/>
        <w:gridCol w:w="109"/>
        <w:gridCol w:w="109"/>
        <w:gridCol w:w="211"/>
        <w:gridCol w:w="616"/>
        <w:gridCol w:w="158"/>
      </w:tblGrid>
      <w:tr>
        <w:trPr/>
        <w:tc>
          <w:tcPr>
            <w:tcW w:w="2653"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1312" w:type="dxa"/>
            <w:gridSpan w:val="6"/>
            <w:tcBorders/>
          </w:tcPr>
          <w:p>
            <w:pPr>
              <w:pStyle w:val="TableContents"/>
              <w:bidi w:val="0"/>
              <w:spacing w:before="0" w:after="283"/>
              <w:jc w:val="left"/>
              <w:rPr>
                <w:sz w:val="4"/>
                <w:szCs w:val="4"/>
              </w:rPr>
            </w:pPr>
            <w:r>
              <w:rPr>
                <w:sz w:val="4"/>
                <w:szCs w:val="4"/>
              </w:rPr>
            </w:r>
          </w:p>
        </w:tc>
      </w:tr>
      <w:tr>
        <w:trPr/>
        <w:tc>
          <w:tcPr>
            <w:tcW w:w="7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cash provided by operating activities to adjusted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contributions from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distributions paid to noncontrolling interests </w:t>
            </w:r>
            <w:r>
              <w:rPr>
                <w:rFonts w:ascii="Times New Roman;sans-serif" w:hAnsi="Times New Roman;sans-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Adjusted 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Cash distributions </w:t>
            </w:r>
            <w:r>
              <w:rPr>
                <w:rFonts w:ascii="Times New Roman;sans-serif" w:hAnsi="Times New Roman;sans-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Adjusted Free Cash Flow after Distributions </w:t>
            </w:r>
            <w:r>
              <w:rPr>
                <w:rFonts w:ascii="Times New Roman;sans-serif" w:hAnsi="Times New Roman;sans-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 xml:space="preserve">Cash distributions paid during the period presented. </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 xml:space="preserve">Cash distributions paid to our preferred and common unitholders during the period presented. </w:t>
      </w:r>
    </w:p>
    <w:p>
      <w:pPr>
        <w:pStyle w:val="TextBody"/>
        <w:bidi w:val="0"/>
        <w:spacing w:lineRule="auto" w:line="288" w:before="60" w:after="283"/>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Excess Adjusted Free Cash Flow after Distributions is retained to establish reserves for future distributions, capital expenditures, debt reduction and other partnership purposes. Adjusted Free Cash Flow after Distributions shortages may be funded from previously established reserves, cash on hand or from borrowings under our credit facilities or commercial paper program.</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 from Operating Activities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2023 Annual Report on Form 10-K.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first six months of 2024 and 2023 was $1.072 billion and $1.631 billion, respectively, and primarily resulted from earnings from our operations. Both periods were also impacted by changes in working capital items. The 2024 period was impacted unfavorably, primarily by margin requirements related to our hedging activities. The 2023 period was impacted favorably, largely associated with reducing inventory levels during the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 xml:space="preserve">Capital Expenditures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operating needs, we also use cash for our investment capital projects, maintenance capital activities and acquisition activities. We fund these expenditures with cash generated by operating activities, financing activities and/or proceeds from asset sales. The following table summarizes our investment, maintenance and acquisition capital expenditures (in millions):</w:t>
      </w:r>
    </w:p>
    <w:p>
      <w:pPr>
        <w:pStyle w:val="TextBody"/>
        <w:bidi w:val="0"/>
        <w:spacing w:before="0" w:after="0"/>
        <w:ind w:left="0" w:right="0" w:firstLine="720"/>
        <w:jc w:val="left"/>
        <w:rPr/>
      </w:pPr>
      <w:r>
        <w:rPr/>
      </w:r>
    </w:p>
    <w:tbl>
      <w:tblPr>
        <w:tblW w:w="4163" w:type="dxa"/>
        <w:jc w:val="center"/>
        <w:tblInd w:w="0" w:type="dxa"/>
        <w:tblLayout w:type="fixed"/>
        <w:tblCellMar>
          <w:top w:w="28" w:type="dxa"/>
          <w:left w:w="28" w:type="dxa"/>
          <w:bottom w:w="28" w:type="dxa"/>
          <w:right w:w="28" w:type="dxa"/>
        </w:tblCellMar>
      </w:tblPr>
      <w:tblGrid>
        <w:gridCol w:w="804"/>
        <w:gridCol w:w="706"/>
        <w:gridCol w:w="709"/>
        <w:gridCol w:w="211"/>
        <w:gridCol w:w="466"/>
        <w:gridCol w:w="109"/>
        <w:gridCol w:w="109"/>
        <w:gridCol w:w="109"/>
        <w:gridCol w:w="109"/>
        <w:gridCol w:w="211"/>
        <w:gridCol w:w="466"/>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 capital </w:t>
            </w:r>
            <w:r>
              <w:rPr>
                <w:rFonts w:ascii="Times New Roman;sans-serif" w:hAnsi="Times New Roman;sans-serif"/>
                <w:b w:val="false"/>
                <w:color w:val="000000"/>
                <w:sz w:val="13"/>
              </w:rPr>
              <w:t>(1) (2) (3)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Maintenance capital </w:t>
            </w:r>
            <w:r>
              <w:rPr>
                <w:rFonts w:ascii="Times New Roman;sans-serif" w:hAnsi="Times New Roman;sans-serif"/>
                <w:b w:val="false"/>
                <w:color w:val="000000"/>
                <w:sz w:val="13"/>
              </w:rPr>
              <w:t>(1) (3)</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Acquisition capital </w:t>
            </w:r>
            <w:r>
              <w:rPr>
                <w:rFonts w:ascii="Times New Roman;sans-serif" w:hAnsi="Times New Roman;sans-serif"/>
                <w:b w:val="false"/>
                <w:color w:val="000000"/>
                <w:sz w:val="13"/>
              </w:rPr>
              <w:t>(2) (4)</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(2)</w:t>
      </w:r>
      <w:r>
        <w:rPr>
          <w:rFonts w:ascii="Times New Roman;sans-serif" w:hAnsi="Times New Roman;sans-serif"/>
          <w:b w:val="false"/>
          <w:color w:val="000000"/>
          <w:sz w:val="20"/>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pStyle w:val="TextBody"/>
        <w:bidi w:val="0"/>
        <w:spacing w:lineRule="auto" w:line="288" w:before="0" w:after="120"/>
        <w:ind w:left="0" w:right="0" w:hanging="720"/>
        <w:jc w:val="left"/>
        <w:rPr/>
      </w:pPr>
      <w:r>
        <w:rPr>
          <w:rFonts w:ascii="Times New Roman;sans-serif" w:hAnsi="Times New Roman;sans-serif"/>
          <w:b w:val="false"/>
          <w:color w:val="000000"/>
          <w:sz w:val="13"/>
        </w:rPr>
        <w:t>(3)</w:t>
      </w:r>
      <w:r>
        <w:rPr>
          <w:rFonts w:ascii="Times New Roman;sans-serif" w:hAnsi="Times New Roman;sans-serif"/>
          <w:b w:val="false"/>
          <w:color w:val="000000"/>
          <w:sz w:val="20"/>
        </w:rPr>
        <w:t>Investment capital and maintenance capital, net to our 65% interest in the Permian JV, was approximately $144 million and $109 million, respectively, for the six months ended June 30, 2024, and approximately $141 million and $103 million, respectively, for the six months ended June 30, 2023.</w:t>
      </w:r>
    </w:p>
    <w:p>
      <w:pPr>
        <w:pStyle w:val="TextBody"/>
        <w:bidi w:val="0"/>
        <w:spacing w:lineRule="auto" w:line="288" w:before="0" w:after="0"/>
        <w:ind w:left="0" w:right="0" w:hanging="720"/>
        <w:jc w:val="left"/>
        <w:rPr/>
      </w:pPr>
      <w:r>
        <w:rPr>
          <w:rFonts w:ascii="Times New Roman;sans-serif" w:hAnsi="Times New Roman;sans-serif"/>
          <w:b w:val="false"/>
          <w:color w:val="000000"/>
          <w:sz w:val="13"/>
        </w:rPr>
        <w:t>(4)</w:t>
      </w:r>
      <w:r>
        <w:rPr>
          <w:rFonts w:ascii="Times New Roman;sans-serif" w:hAnsi="Times New Roman;sans-serif"/>
          <w:b w:val="false"/>
          <w:color w:val="000000"/>
          <w:sz w:val="20"/>
        </w:rPr>
        <w:t xml:space="preserve">Acquisition capital for the 2024 period primarily includes the acquisition of an additional ownership interest in an equity method investee. </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 xml:space="preserve">2024 Investment and Maintenance Capital. </w:t>
      </w:r>
      <w:r>
        <w:rPr>
          <w:rFonts w:ascii="Times New Roman;sans-serif" w:hAnsi="Times New Roman;sans-serif"/>
          <w:b w:val="false"/>
          <w:color w:val="000000"/>
          <w:sz w:val="20"/>
        </w:rPr>
        <w:t>Total investment capital for the year ending December 31, 2024 is projected to be approximately $465 million ($375 million net to our interest). Approximately half of our projected investment capital expenditures are expected to be invested in the Permian JV assets. Additionally, maintenance capital for 2024 is projected to be approximately $270 million ($250 million net to our interest). We expect to fund our 2024 investment and maintenance capital expenditures primarily with retained cash flow.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Divestitures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sale of assets have generally been used to fund our investment capital projects and reduce debt levels. The following table summarizes the proceeds received during the first six months of 2024 and 2023 from sales of assets (in millions):</w:t>
      </w:r>
    </w:p>
    <w:p>
      <w:pPr>
        <w:pStyle w:val="TextBody"/>
        <w:bidi w:val="0"/>
        <w:spacing w:before="0" w:after="0"/>
        <w:ind w:left="0" w:right="0" w:firstLine="720"/>
        <w:jc w:val="left"/>
        <w:rPr/>
      </w:pPr>
      <w:r>
        <w:rPr/>
      </w:r>
    </w:p>
    <w:tbl>
      <w:tblPr>
        <w:tblW w:w="4536" w:type="dxa"/>
        <w:jc w:val="left"/>
        <w:tblInd w:w="0" w:type="dxa"/>
        <w:tblLayout w:type="fixed"/>
        <w:tblCellMar>
          <w:top w:w="28" w:type="dxa"/>
          <w:left w:w="28" w:type="dxa"/>
          <w:bottom w:w="28" w:type="dxa"/>
          <w:right w:w="28" w:type="dxa"/>
        </w:tblCellMar>
      </w:tblPr>
      <w:tblGrid>
        <w:gridCol w:w="896"/>
        <w:gridCol w:w="787"/>
        <w:gridCol w:w="792"/>
        <w:gridCol w:w="109"/>
        <w:gridCol w:w="109"/>
        <w:gridCol w:w="109"/>
        <w:gridCol w:w="211"/>
        <w:gridCol w:w="256"/>
        <w:gridCol w:w="109"/>
        <w:gridCol w:w="109"/>
        <w:gridCol w:w="109"/>
        <w:gridCol w:w="109"/>
        <w:gridCol w:w="211"/>
        <w:gridCol w:w="466"/>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Proceeds from divestitures</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Represents proceeds, including working capital adjustments, net of transaction costs. The proceeds from divestitures for the six months ended June 30, 2023 were primarily from the sale of our 21% non-operated/undivided joint interest in the Keyera Fort Saskatchewan facility in February 2023. See Note 7 to our Consolidated Financial Statements included in Part IV of our 2023 Annual Report on Form 10-K for additional discussion of this transaction.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color w:val="000000"/>
          <w:sz w:val="20"/>
        </w:rPr>
        <w:t>Ongoing Activities Related to Strategic Transactions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 party or we may negotiate a transaction with one or a limited number of potential sellers (in the case of an acquisition) or buyers (in the case of a divestiture). Such transactions could have a material effect on our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Our Business—Acquisitions and divestitures involve risks that may adversely affect our business” included in our 2023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Borrowings and Repayments Under Credit Agreements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we had net repayments under our commercial paper program of $433 million. The net repayments resulted primarily from cash flow from operating activities and proceeds from the issuance of $650 million, 5.70% senior notes in June 2024, which offset borrowings during the period related to funding needs for capital investments, inventory purchases and other general partnership purposes.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had no net borrowings or repayments under our credit facilities or commercial paper program during the six months ended June 30, 2023.</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Senior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2024, we completed the offering of $650 million, 5.70% senior notes due September 2034 at a public offering price of 99.953%. Interest payments are due on March 15 and September 15 of each year, commencing on March 15, 2025. We intend to use the net proceeds from this offering of $643 million, after deducting the underwriting discount and offering expenses, to partially repay the principal amount of our $750 million, 3.60% senior notes due November 2024 and, pending such repayment, have used a portion of the proceeds to repay outstanding borrowings under our commercial paper program and for general partnership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Common Equity Repurchase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repurchases under the Common Equity Repurchase Program (the “Program”) during the six months ended June 30, 2024 or 2023. The remaining available capacity under the Program as of June 30, 2024 was $198 million.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 xml:space="preserve">Registration Statements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periodically access the capital markets for both equity and debt financing. We have filed with the SEC a universal shelf registration statement that, subject to effectiveness at the time of use, allows us to issue up to a specified amount of debt or equity securities (“Traditional Shelf”), under which we had approximately $1.1 billion of unsold securities available at June 30, 2024. We did not conduct any offerings under our Traditional Shelf during the six months ended June 30, 2024. We also have access to a universal shelf registration statement (“WKSI Shelf”), which provides us with the ability to offer and sell an unlimited amount of debt and equity securities, subject to market conditions and our capital needs. The offering of $650 million, 5.70% senior notes in June 2024 was conducted under our WKSI Shelf.</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Distributions to Our Unitholders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A preferred unitholders.</w:t>
      </w:r>
      <w:r>
        <w:rPr>
          <w:color w:val="000000"/>
        </w:rPr>
        <w:t xml:space="preserve"> </w:t>
      </w:r>
      <w:r>
        <w:rPr>
          <w:rFonts w:ascii="Times New Roman;sans-serif" w:hAnsi="Times New Roman;sans-serif"/>
          <w:b w:val="false"/>
          <w:color w:val="000000"/>
          <w:sz w:val="20"/>
        </w:rPr>
        <w:t>On August 14, 2024, we will pay a quarterly cash distribution of approximately $0.615 per unit to Series A preferred unitholders of record at the close of business on July 31, 2024 for the period from April 1, 2024 through June 30, 2024.</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B preferred unitholders.</w:t>
      </w:r>
      <w:r>
        <w:rPr>
          <w:color w:val="000000"/>
        </w:rPr>
        <w:t xml:space="preserve"> </w:t>
      </w:r>
      <w:r>
        <w:rPr>
          <w:rFonts w:ascii="Times New Roman;sans-serif" w:hAnsi="Times New Roman;sans-serif"/>
          <w:b w:val="false"/>
          <w:color w:val="000000"/>
          <w:sz w:val="20"/>
        </w:rPr>
        <w:t>On August 15, 2024, we will pay a quarterly cash distribution of approximately $24.77 per unit to Series B preferred unitholders of record at the close of business on August 1, 2024 for the period from May 15, 2024 through August 14, 2024.</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Common Unitholders</w:t>
      </w:r>
      <w:r>
        <w:rPr>
          <w:rFonts w:ascii="Times New Roman;sans-serif" w:hAnsi="Times New Roman;sans-serif"/>
          <w:b w:val="false"/>
          <w:color w:val="000000"/>
          <w:sz w:val="20"/>
        </w:rPr>
        <w:t>. On August 14, 2024, we will pay a quarterly cash distribution of $0.3175 per common unit ($1.27 per unit on an annualized basis) to common unitholders of record at the close of business on July 31, 2024 for the period from April 1, 2024 through June 30, 2024, which is unchanged from the distribution per unit paid in May of 2024.</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6 to our Condensed Consolidated Financial Statements for details of distributions paid during or pertaining to the first six months of 2024, including distributions to our preferred unitholders.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color w:val="000000"/>
          <w:sz w:val="20"/>
        </w:rPr>
      </w:pPr>
      <w:r>
        <w:rPr>
          <w:rFonts w:ascii="Times New Roman;sans-serif" w:hAnsi="Times New Roman;sans-serif"/>
          <w:b/>
          <w:color w:val="000000"/>
          <w:sz w:val="20"/>
        </w:rPr>
        <w:t>Distributions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 represent amounts paid on interests in consolidated entities that are not owned by us. As of June 30, 2024, noncontrolling interests in our subsidiaries consisted of (i) a 35% interest in the Permian JV, (ii) a 30% interest in Cactus II and (iii) a 33% interest in Red River. See Note 6 to our Condensed Consolidated Financial Statements for details of distributions paid to noncontrolling interests during the six months ended June 30, 2024.</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a discussion of contingencies that may impact us, see Note 9 to our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Commitments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Purchase Obligations.</w:t>
      </w:r>
      <w:r>
        <w:rPr>
          <w:color w:val="000000"/>
        </w:rPr>
        <w:t xml:space="preserve"> </w:t>
      </w:r>
      <w:r>
        <w:rPr>
          <w:rFonts w:ascii="Times New Roman;sans-serif" w:hAnsi="Times New Roman;sans-serif"/>
          <w:b w:val="false"/>
          <w:color w:val="000000"/>
          <w:sz w:val="20"/>
        </w:rPr>
        <w:t xml:space="preserve">In the ordinary course of doing business, we purchase crude oil and NGL from third parties under contracts, the majority of which 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includes our best estimate of the amount and timing of these payments as of June 30, 2024 (in millions): </w:t>
      </w:r>
    </w:p>
    <w:p>
      <w:pPr>
        <w:pStyle w:val="TextBody"/>
        <w:bidi w:val="0"/>
        <w:spacing w:before="0" w:after="0"/>
        <w:jc w:val="left"/>
        <w:rPr/>
      </w:pPr>
      <w:r>
        <w:rPr/>
      </w:r>
    </w:p>
    <w:tbl>
      <w:tblPr>
        <w:tblW w:w="10600" w:type="dxa"/>
        <w:jc w:val="center"/>
        <w:tblInd w:w="0" w:type="dxa"/>
        <w:tblLayout w:type="fixed"/>
        <w:tblCellMar>
          <w:top w:w="28" w:type="dxa"/>
          <w:left w:w="28" w:type="dxa"/>
          <w:bottom w:w="28" w:type="dxa"/>
          <w:right w:w="28" w:type="dxa"/>
        </w:tblCellMar>
      </w:tblPr>
      <w:tblGrid>
        <w:gridCol w:w="435"/>
        <w:gridCol w:w="382"/>
        <w:gridCol w:w="3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Remainder of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2029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Crude oil, NGL and other purchases </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ans-serif" w:hAnsi="Times New Roman;sans-serif"/>
          <w:b w:val="false"/>
          <w:color w:val="000000"/>
          <w:sz w:val="13"/>
        </w:rPr>
        <w:t>(1)</w:t>
      </w:r>
      <w:r>
        <w:rPr>
          <w:rFonts w:ascii="Times New Roman;sans-serif" w:hAnsi="Times New Roman;sans-serif"/>
          <w:b w:val="false"/>
          <w:color w:val="000000"/>
          <w:sz w:val="20"/>
        </w:rPr>
        <w:t>Amounts are primarily based on estimated volumes and market prices based on average activity during June 2024.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Letters of Credit.</w:t>
      </w:r>
      <w:r>
        <w:rPr>
          <w:color w:val="000000"/>
        </w:rPr>
        <w:t xml:space="preserve"> </w:t>
      </w:r>
      <w:r>
        <w:rPr>
          <w:rFonts w:ascii="Times New Roman;sans-serif" w:hAnsi="Times New Roman;sans-serif"/>
          <w:b w:val="false"/>
          <w:color w:val="000000"/>
          <w:sz w:val="20"/>
        </w:rPr>
        <w:t>In connection with our merchant activities, we provide certain suppliers with irrevocable standby letters of credit to secure our obligation for the purchase and transportation of crude oil, NGL and natural gas.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June 30, 2024 and December 31, 2023, we had outstanding letters of credit of approximately $143 million and $205 million,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1 to our Condensed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general economic, market or business conditions in the United States and elsewhere (including the potential for a recession or significant slowdown in economic activity levels, the risk of persistently high inflation and continued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declines in global crude oil demand and/or crude oil prices or other factors that correspondingly lead to a significant reduction of North American crude oil and natural gas liquids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fluctuations in refinery capacity and other factors affecting demand for various grades of crude oil and NGL and resulting changes in pricing conditions or transportation throughput requirements;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unanticipated changes in crude oil and NGL market structure, grade differentials and volatility (or lack thereof);</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negative societal sentiment regarding the hydrocarbon energy industry and the continued development and consumption of hydrocarbons, which could influence consumer preferences and governmental or regulatory actions that adversely impact our business;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environmental liabilities, litigation or other events that are not covered by an indemnity, insurance or existing reserves;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occurrence of a natural disaster, catastrophe, terrorist attack (including eco-terrorist attacks) or other event that materially impacts our operations, including cyber or other attacks on our electronic and computer systems;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weather interference with business operations or project construction, including the impact of extreme weather events or conditions;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impact of current and future laws, rulings, legislation, governmental regulations, executive orders, trade policies, accounting standards and statements, and related interpretations that (i) prohibit, restrict or regulate the development of oil and gas resources and the related infrastructure on lands dedicated to or served by our pipelines or (ii) negatively impact our ability to develop, operate or repair midstream assets;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loss of key personnel and inability to attract and retain new talent;</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disruptions to futures markets for crude oil, NGL and other petroleum products, which may impair our ability to execute our commercial or hedging strategies;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effectiveness of our risk management activities;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shortages or cost increases of supplies, materials or labor;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maintenance of our credit rating and ability to receive open credit from our suppliers and trade counterparties;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successful operation of joint ventures and joint operating arrangements we enter into from time to time, whether relating to assets operated by us or by third parties, and the successful integration and future performance of acquired assets or businesses;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availability of, and our ability to consummate, acquisitions, divestitures, joint ventures or other strategic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incurrence of costs and expenses related to unexpected or unplanned capital expenditures, third-party claims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failure to implement or capitalize, or delays in implementing or capitalizing, on investment capital projects, whether due to permitting delays, permitting withdrawals or other factors;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amplification of other risks caused by volatile financial markets, capital constraints, liquidity concerns and inflation;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use or availability of third-party assets upon which our operations depend and over which we have little or no control;</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currency exchange rate of the Canadian dollar to the United States dollar;</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inability to recognize current revenue attributable to deficiency payments received from customers who fail to ship or move more than minimum contracted volumes until the related credits expire or are used;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significant under-utilization of our assets and facilities;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increased costs, or lack of availability, of insurance;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fluctuations in the debt and equity markets, including the price of our units at the time of vesting under our long-term incentive plans;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risks related to the development and operation of our assets;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pace of development of natural gas infrastructure and its impact on expected crude oil production growth in the Permian Basin;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factors and uncertainties inherent in the transportation, storage, terminalling and marketing of crude oil, as well as in the processing, transportation, fractionation, storage and marketing of NGL.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factors described herein, as well as factors that are unknown or unpredictable, could also have a material adverse effect on future results. Please read “Risk Factors” discussed in Item 1A of our 2023 Annual Report on Form 10-K. Except as required by applicable securities laws, we do not intend to update these forward-looking statements and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various market risks, including commodity price risk and interest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Commodity Price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hedge price risk associated with the following commodities: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rFonts w:ascii="Times New Roman;sans-serif" w:hAnsi="Times New Roman;sans-serif"/>
          <w:b w:val="false"/>
          <w:i/>
          <w:color w:val="000000"/>
          <w:sz w:val="20"/>
          <w:u w:val="single"/>
        </w:rPr>
        <w:t>Crude oil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crude oil derivatives to hedge commodity price risk inherent in our pipeline, terminalling and merchant activities. Our objectives for these derivatives include hedging anticipated purchases and sales, stored inventory and basis differentials. We manage these exposures with various instruments including futures, forwards, swaps and options.</w:t>
      </w:r>
    </w:p>
    <w:p>
      <w:pPr>
        <w:pStyle w:val="TextBody"/>
        <w:bidi w:val="0"/>
        <w:spacing w:before="0" w:after="0"/>
        <w:jc w:val="left"/>
        <w:rPr/>
      </w:pPr>
      <w:r>
        <w:rPr/>
      </w:r>
    </w:p>
    <w:p>
      <w:pPr>
        <w:pStyle w:val="TextBody"/>
        <w:bidi w:val="0"/>
        <w:spacing w:lineRule="auto" w:line="288" w:before="0" w:after="0"/>
        <w:jc w:val="left"/>
        <w:rPr/>
      </w:pPr>
      <w:r>
        <w:rPr>
          <w:color w:val="000000"/>
        </w:rPr>
        <w:t>•</w:t>
      </w:r>
      <w:r>
        <w:rPr>
          <w:rFonts w:ascii="Times New Roman;sans-serif" w:hAnsi="Times New Roman;sans-serif"/>
          <w:b w:val="false"/>
          <w:i/>
          <w:color w:val="000000"/>
          <w:sz w:val="20"/>
          <w:u w:val="single"/>
        </w:rPr>
        <w:t>Natural gas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natural gas derivatives to hedge commodity price risk inherent in our natural gas processing assets (natural gas purchase component of the frac spread). Additionally, we utilize natural gas derivatives to hedge anticipated operational fuel gas requirements related to our natural gas processing and NGL fractionation plants. We manage these exposures with various instruments including futures, swaps and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rFonts w:ascii="Times New Roman;sans-serif" w:hAnsi="Times New Roman;sans-serif"/>
          <w:b w:val="false"/>
          <w:i/>
          <w:color w:val="000000"/>
          <w:sz w:val="20"/>
          <w:u w:val="single"/>
        </w:rPr>
        <w:t>NGL and other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utilize NGL derivatives, primarily propane and butane derivatives, to hedge commodity price risk inherent in our commercial activities, including the sale of the individual specification products extracted in our natural gas processing assets (sale of specification NGL products component of the frac spread), as well as other net sales of NGL inventory, held mainly at our owned NGL storage terminals. Our objectives for these derivatives include hedging anticipated purchases and sales and stored inventory. We manage these exposures with various instruments including futures, forwards, swaps and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See Note 7 to our Condensed Consolidated Financial Statements for further discussion regarding our hedging strategies and objectives.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our commodity derivatives and the change in fair value as of June 30, 2024 that would be expected from a 10% price increase or decrease is shown in the table below (in millions):</w:t>
      </w:r>
    </w:p>
    <w:p>
      <w:pPr>
        <w:pStyle w:val="TextBody"/>
        <w:bidi w:val="0"/>
        <w:spacing w:before="0" w:after="0"/>
        <w:jc w:val="left"/>
        <w:rPr/>
      </w:pPr>
      <w:r>
        <w:rPr/>
      </w:r>
    </w:p>
    <w:tbl>
      <w:tblPr>
        <w:tblW w:w="5256" w:type="dxa"/>
        <w:jc w:val="center"/>
        <w:tblInd w:w="0" w:type="dxa"/>
        <w:tblLayout w:type="fixed"/>
        <w:tblCellMar>
          <w:top w:w="28" w:type="dxa"/>
          <w:left w:w="28" w:type="dxa"/>
          <w:bottom w:w="28" w:type="dxa"/>
          <w:right w:w="28" w:type="dxa"/>
        </w:tblCellMar>
      </w:tblPr>
      <w:tblGrid>
        <w:gridCol w:w="495"/>
        <w:gridCol w:w="433"/>
        <w:gridCol w:w="437"/>
        <w:gridCol w:w="233"/>
        <w:gridCol w:w="541"/>
        <w:gridCol w:w="121"/>
        <w:gridCol w:w="109"/>
        <w:gridCol w:w="109"/>
        <w:gridCol w:w="109"/>
        <w:gridCol w:w="341"/>
        <w:gridCol w:w="608"/>
        <w:gridCol w:w="177"/>
        <w:gridCol w:w="109"/>
        <w:gridCol w:w="109"/>
        <w:gridCol w:w="109"/>
        <w:gridCol w:w="353"/>
        <w:gridCol w:w="604"/>
        <w:gridCol w:w="259"/>
      </w:tblGrid>
      <w:tr>
        <w:trPr/>
        <w:tc>
          <w:tcPr>
            <w:tcW w:w="49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10%</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Effect of 10%</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Price Decrease</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Crude oil</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7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NGL and other</w:t>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Debt</w:t>
      </w:r>
      <w:r>
        <w:rPr>
          <w:rFonts w:ascii="Times New Roman;sans-serif" w:hAnsi="Times New Roman;sans-serif"/>
          <w:b w:val="false"/>
          <w:color w:val="000000"/>
          <w:sz w:val="20"/>
        </w:rPr>
        <w:t>. 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our senior notes are fixed rate notes and thus are not subject to interest rate risk. We did not have any variable rate debt outstanding at June 30, 2024. The average interest rate on variable rate debt that was outstanding during the six months ended June 30, 2024 was 5.8%, based upon rates in effect during such period. The fair value of our interest rate derivatives was a net asset of $16 million as of June 30, 2024. A 10% increase in the forward SOFR curve as of June 30, 2024 would have resulted in an increase of $12 million to the fair value of our interest rate derivatives. A 10% decrease in the forward SOFR curve as of June 30, 2024 would have resulted in a decrease of $12 million to the fair value of our interest rate derivatives. See Note 7 to our Condensed Consolidated Financial Statements for a discussion of our interest rate risk hedging activities.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i/>
          <w:color w:val="000000"/>
          <w:sz w:val="20"/>
        </w:rPr>
        <w:t>Series B Preferred Units</w:t>
      </w:r>
      <w:r>
        <w:rPr>
          <w:rFonts w:ascii="Times New Roman;sans-serif" w:hAnsi="Times New Roman;sans-serif"/>
          <w:b w:val="false"/>
          <w:color w:val="000000"/>
          <w:sz w:val="20"/>
        </w:rPr>
        <w:t>. Distributions on the Series B preferred units accumulate and are payable quarterly in arrears on the 15th day of February, May, August and November. Distributions on the Series B preferred units accumulate based on the applicable three-month SOFR, plus certain adjustments. Based upon the Series B preferred units outstanding at June 30, 2024 and the liquidation preference of $1,000 per unit, a change of 100 basis points in interest rates would increase or decrease the annual distributions on the Series B preferred units by approximately $8 million. See Note 11 to our Consolidated Financial Statements included in Part IV of our 2023 Annual Report on Form 10-K for additional information regarding our Series B preferred unit distributions.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Applicable SEC rules require an evaluation of the effectiveness of our DCP. Management, under the supervision and with the participation of our Chief Executive Officer and Chief Financial Officer, has evaluated the effectiveness of our DCP as of June 30, 2024, the end of the period covered by this report, and, based on such evaluation, our Chief Executive Officer and Chief Financial Officer have concluded that our DCP is effective.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information concerning our DCP, we are required to disclose certain changes in internal control over financial reporting. There have been no changes in our internal control over financial reporting during the second quarter of 2024 that have materially affected, or are reasonably likely to materially affect, our internal control over financial reporting.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1.</w:t>
      </w:r>
      <w:r>
        <w:rPr>
          <w:color w:val="000000"/>
        </w:rPr>
        <w:t xml:space="preserve">   </w:t>
      </w:r>
      <w:r>
        <w:rPr>
          <w:rFonts w:ascii="Times New Roman;sans-serif" w:hAnsi="Times New Roman;sans-serif"/>
          <w:b/>
          <w:color w:val="000000"/>
          <w:sz w:val="20"/>
        </w:rPr>
        <w:t>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included in Note 9 to our Condensed Consolidated Financial Statements, and is incorporated herein by reference thereto.</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a discussion of our risk factors, see Item 1A. of our 2023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 </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2.</w:t>
      </w:r>
      <w:r>
        <w:rPr>
          <w:color w:val="000000"/>
        </w:rPr>
        <w:t xml:space="preserve">   </w:t>
      </w:r>
      <w:r>
        <w:rPr>
          <w:rFonts w:ascii="Times New Roman;sans-serif" w:hAnsi="Times New Roman;sans-serif"/>
          <w:b/>
          <w:color w:val="000000"/>
          <w:sz w:val="20"/>
        </w:rPr>
        <w:t>UNREGISTERED SALES OF EQUITY SECURITIES AND USE OF PROCEEDS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of Unregistered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ind w:left="0" w:right="0" w:hanging="36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3.</w:t>
      </w:r>
      <w:r>
        <w:rPr>
          <w:color w:val="000000"/>
        </w:rPr>
        <w:t xml:space="preserve">   </w:t>
      </w:r>
      <w:r>
        <w:rPr>
          <w:rFonts w:ascii="Times New Roman;sans-serif" w:hAnsi="Times New Roman;sans-serif"/>
          <w:b/>
          <w:color w:val="000000"/>
          <w:sz w:val="20"/>
        </w:rPr>
        <w:t>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4.</w:t>
      </w:r>
      <w:r>
        <w:rPr>
          <w:color w:val="000000"/>
        </w:rPr>
        <w:t xml:space="preserve">   </w:t>
      </w:r>
      <w:r>
        <w:rPr>
          <w:rFonts w:ascii="Times New Roman;sans-serif" w:hAnsi="Times New Roman;sans-serif"/>
          <w:b/>
          <w:color w:val="000000"/>
          <w:sz w:val="20"/>
        </w:rPr>
        <w:t>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5.</w:t>
      </w:r>
      <w:r>
        <w:rPr>
          <w:color w:val="000000"/>
        </w:rPr>
        <w:t xml:space="preserve">   </w:t>
      </w:r>
      <w:r>
        <w:rPr>
          <w:rFonts w:ascii="Times New Roman;sans-serif" w:hAnsi="Times New Roman;sans-serif"/>
          <w:b/>
          <w:color w:val="000000"/>
          <w:sz w:val="20"/>
        </w:rPr>
        <w:t>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2024, none of our directors or officers (as defined in Rule 16a-1(f) of the Securities Exchange Act of 1934) adopted or terminated a Rule 10b5-1 trading arrangement or non-Rule 10b5-1 trading arrangement (as such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left"/>
        <w:rPr/>
      </w:pPr>
      <w:r>
        <w:rPr>
          <w:rFonts w:ascii="Times New Roman;sans-serif" w:hAnsi="Times New Roman;sans-serif"/>
          <w:b/>
          <w:color w:val="000000"/>
          <w:sz w:val="20"/>
        </w:rPr>
        <w:t>Item 6.</w:t>
      </w:r>
      <w:r>
        <w:rPr>
          <w:color w:val="000000"/>
        </w:rPr>
        <w:t xml:space="preserve">   </w:t>
      </w:r>
      <w:r>
        <w:rPr>
          <w:rFonts w:ascii="Times New Roman;sans-serif" w:hAnsi="Times New Roman;sans-serif"/>
          <w:b/>
          <w:color w:val="000000"/>
          <w:sz w:val="20"/>
        </w:rPr>
        <w:t xml:space="preserve">EXHIBITS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93"/>
        <w:gridCol w:w="258"/>
        <w:gridCol w:w="259"/>
        <w:gridCol w:w="115"/>
        <w:gridCol w:w="115"/>
        <w:gridCol w:w="116"/>
        <w:gridCol w:w="2813"/>
        <w:gridCol w:w="2572"/>
        <w:gridCol w:w="3664"/>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13"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Exhibit No.</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ans-serif" w:hAnsi="Times New Roman;sans-serif"/>
                <w:color w:val="0000FF"/>
              </w:rPr>
              <w:instrText xml:space="preserve"> HYPERLINK "https://www.sec.gov/Archives/edgar/data/1070423/000110465917061889/a17-22685_5ex3d1.htm" \l "Exhibit3_1_122228"</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Seventh Amended and Restated Agreement of Limited Partnership of Plains All American Pipeline, L.P., dated as of October 10, 2017 (incorporated by reference to Exhibit 3.1 to our Current Report on Form 8-K filed October 12, 2017).</w:t>
            </w:r>
            <w:r>
              <w:rPr>
                <w:rStyle w:val="InternetLink"/>
                <w:sz w:val="20"/>
                <w:u w:val="single"/>
                <w:b w:val="false"/>
                <w:rFonts w:ascii="Times New Roman;sans-serif" w:hAnsi="Times New Roman;sans-serif"/>
                <w:color w:val="0000FF"/>
              </w:rPr>
              <w:fldChar w:fldCharType="end"/>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Third Amended and Restated Agreement of Limited Partnership of Plains Marketing, L.P. dated as of April 1, 2004 (incorporated by reference to Exhibit 3.2 to our Quarterly Report on Form 10-Q for the quarter ended March 31, 2004).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Amendment No. 1 dated December 31, 2010 to the Third Amended and Restated Agreement of Limited Partnership of Plains Marketing, L.P. (incorporated by reference to Exhibit 3.9 to our Annual Report on Form 10-K for the year ended December 31, 2010).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Amendment No. 2 dated January 1, 2011 to the Third Amended and Restated Agreement of Limited Partnership of Plains Marketing, L.P. (incorporated by reference to Exhibit 3.10 to our Annual Report on Form 10-K for the year ended December 31, 2010).</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Amendment No. 3 dated June 30, 2011 to the Third Amended and Restated Agreement of Limited Partnership of Plains Marketing, L.P. (incorporated by reference to Exhibit 3.7 to our Annual Report on Form 10-K for the year ended December 31, 2013).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Amendment No. 4 dated January 1, 2013 to the Third Amended and Restated Agreement of Limited Partnership of Plains Marketing, L.P (incorporated by reference to Exhibit 3.8 to our Annual Report on Form 10-K for the year ended December 31, 2013).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Amendment No. 5 dated December 1, 2019 to the Third Amended and Restated Agreement of Limited Partnership of Plains Marketing, L.P. (incorporated by reference to Exhibit 3.7 to our Annual Report on Form 10-K for the year ended December, 31, 2019).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Third Amended and Restated Agreement of Limited Partnership of Plains Pipeline, L.P. dated as of April 1, 2004 (incorporated by reference to Exhibit 3.3 to our Quarterly Report on Form 10-Q for the quarter ended March 31, 2004).</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Amendment No. 1 dated January 1, 2013 to the Third Amended and Restated Agreement of Limited Partnership of Plains Pipeline, L.P. (incorporated by reference to Exhibit 3.10 to our Annual Report on Form 10-K for the year ended December 31, 2013).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Seventh Amended and Restated Limited Liability Company Agreement of Plains All American GP LLC dated November 15, 2016 (incorporated by reference to Exhibit 3.3 to our Current Report on Form 8-K filed November 21, 2016).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Eighth Amended and Restated Limited Partnership Agreement of Plains AAP, L.P. dated November 15, 2016 (incorporated by reference to Exhibit 3.4 to our Current Report on Form 8-K filed November 21, 2016).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Amendment No. 1 dated September 26, 2018 to the Eighth Amended and Restated Limited Partnership Agreement of Plains AAP, L.P. (incorporated by reference to Exhibit 3.1 to our Current Report on Form 8-K filed October 2, 2018).</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Amendment No. 2 dated May 23, 2019 to the Eighth Amended and Restated Limited Partnership Agreement of Plains AAP, L.P. (incorporated by reference to Exhibit 3.1 to our Current Report on Form 8-K filed May 30, 2019).</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Amendment No. 3 dated August 17, 2023 to the Eighth Amended and Restated Limited Partnership Agreement of Plains AAP, L.P. (incorporated by reference to Exhibit 3.1 to our Current Report on Form 8-K filed August 21, 2023).</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Certificate of Incorporation of PAA Finance Corp. (f/k/a Pacific Energy Finance Corporation, successor-by-merger to PAA Finance Corp.) (incorporated by reference to Exhibit 3.10 to our Annual Report on Form 10-K for the year ended December 31, 2006).</w:t>
              </w:r>
            </w:hyperlink>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4"/>
        <w:gridCol w:w="153"/>
        <w:gridCol w:w="154"/>
        <w:gridCol w:w="115"/>
        <w:gridCol w:w="115"/>
        <w:gridCol w:w="116"/>
        <w:gridCol w:w="2805"/>
        <w:gridCol w:w="2719"/>
        <w:gridCol w:w="3854"/>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Bylaws of PAA Finance Corp. (f/k/a Pacific Energy Finance Corporation, successor-by-merger to PAA Finance Corp.) (incorporated by reference to Exhibit 3.11 to our Annual Report on Form 10-K for the year ended December 31,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Limited Liability Company Agreement of PAA GP LLC dated December 28, 2007 (incorporated by reference to Exhibit 3.3 to our Current Report on Form 8-K filed January 4, 2008).</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Certificate of Limited Partnership of Plains GP Holdings, L.P. (incorporated by reference to Exhibit 3.1 to PAGP’s Registration Statement on Form S-1 (333-190227) filed July 29, 2013).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Second Amended and Restated Agreement of Limited Partnership of Plains GP Holdings, L.P. dated November 15, 2016 (incorporated by reference to Exhibit 3.2 to PAGP’s Current Report on Form 8-K filed November 21, 2016).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Amendment No. 1 dated April 6, 2020 to the Second Amended and Restated Agreement of Limited Partnership of Plains GP Holdings, L.P. (incorporated by reference to Exhibit 3.1 to PAGP’s Current Report on Form 8-K filed April 9, 2020).</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Certificate of Formation of PAA GP Holdings LLC (incorporated by reference to Exhibit 3.3 to PAGP’s Registration Statement on Form S-1 (333-190227) filed July 29, 2013).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Fourth Amended and Restated Limited Liability Company Agreement of PAA GP Holdings LLC dated effective as of August 19, 2021 (incorporated by reference to Exhibit 3.21 to our Annual Report on Form 10-K for the year ended December 31, 2021).</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Indenture dated September 25, 2002 among Plains All American Pipeline, L.P., PAA Finance Corp. and Wachovia Bank, National Association, as trustee (incorporated by reference to Exhibit 4.1 to our Quarterly Report on Form 10-Q for the quarter ended September 30, 2002).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our Current Report on Form 8-K filed May 12,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our Current Report on Form 8-K filed October 30, 2006).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Twenty-First Supplemental Indenture (5.15% Senior Notes due 2042) dated March 22, 2012 among Plains All American Pipeline, L.P., PAA Finance Corp. and U.S. Bank National Association, as trustee (incorporated by reference to Exhibit 4.3 to our Current Report on Form 8-K filed March 26, 2012).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Twenty-Third Supplemental Indenture (4.30% Senior Notes due 2043) dated December 10, 2012, by and among Plains All American Pipeline, L.P., PAA Finance Corp. and U.S. Bank National Association, as trustee (incorporated by reference to Exhibit 4.3 to our Current Report on Form 8-K filed December 12, 2012).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hyperlink>
            <w:r>
              <w:rPr>
                <w:rFonts w:ascii="Times New Roman;sans-serif" w:hAnsi="Times New Roman;sans-serif"/>
                <w:b w:val="false"/>
                <w:color w:val="000000"/>
                <w:sz w:val="2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Twenty-Sixth Supplemental Indenture (3.60% Senior Notes due 2024) dated September 9, 2014, by and among Plains All American Pipeline, L.P., PAA Finance Corp. and U.S. Bank National Association, as trustee (incorporated by reference to Exhibit 4.1 to our Current Report on Form 8-K filed September 11, 2014).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49"/>
        <w:gridCol w:w="201"/>
        <w:gridCol w:w="206"/>
        <w:gridCol w:w="115"/>
        <w:gridCol w:w="115"/>
        <w:gridCol w:w="116"/>
        <w:gridCol w:w="2708"/>
        <w:gridCol w:w="2687"/>
        <w:gridCol w:w="3808"/>
      </w:tblGrid>
      <w:tr>
        <w:trPr/>
        <w:tc>
          <w:tcPr>
            <w:tcW w:w="24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Twenty-Ninth Supplemental Indenture (4.65% Senior Notes due 2025) dated August 24, 2015, by and among Plains All American Pipeline, L.P., PAA Finance Corp. and U.S. Bank National Association, as trustee (incorporated by reference to Exhibit 4.1 to our Current Report on Form 8-K filed August 26, 2015).</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ans-serif" w:hAnsi="Times New Roman;sans-serif"/>
                  <w:b w:val="false"/>
                  <w:color w:val="0000FF"/>
                  <w:sz w:val="20"/>
                  <w:u w:val="single"/>
                </w:rPr>
                <w:t>Thirtieth Supplemental Indenture (4.50% Senior Notes due 2026) dated November 22, 2016, by and among Plains All American Pipeline, L.P., PAA Finance Corp. and U.S. Bank National Association, as trustee (incorporated by reference to Exhibit 4.1 to our Current Report on Form 8-K filed November 29, 2016)</w:t>
              </w:r>
            </w:hyperlink>
            <w:r>
              <w:rPr>
                <w:rFonts w:ascii="Times New Roman;sans-serif" w:hAnsi="Times New Roman;sans-serif"/>
                <w:b w:val="false"/>
                <w:color w:val="000000"/>
                <w:sz w:val="20"/>
              </w:rPr>
              <w:t>.</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ans-serif" w:hAnsi="Times New Roman;sans-serif"/>
                  <w:b w:val="false"/>
                  <w:color w:val="0000FF"/>
                  <w:sz w:val="20"/>
                  <w:u w:val="single"/>
                </w:rPr>
                <w:t>Thirty-First Supplemental Indenture (3.55% Senior Notes due 2029) dated September 16, 2019, by and among Plains All American Pipeline, L.P., PAA Finance Corp. and U.S. Bank National Association, as trustee (incorporated by reference to Exhibit 4.1 to our Current Report on Form 8-K filed September 17, 2019).</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ans-serif" w:hAnsi="Times New Roman;sans-serif"/>
                  <w:b w:val="false"/>
                  <w:color w:val="0000FF"/>
                  <w:sz w:val="20"/>
                  <w:u w:val="single"/>
                </w:rPr>
                <w:t>Thirty-Second Supplemental Indenture (3.80% Senior Notes due 2030) dated June 11, 2020, by and among Plains All American Pipeline, L.P., PAA Finance Corp. and U.S. Bank National Association, as trustee (incorporated by reference to Exhibit 4.1 to our Current Report on Form 8-K filed June 11, 2020).</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ans-serif" w:hAnsi="Times New Roman;sans-serif"/>
                  <w:b w:val="false"/>
                  <w:color w:val="000080"/>
                  <w:sz w:val="20"/>
                  <w:u w:val="single"/>
                </w:rPr>
                <w:t>Thirty-</w:t>
              </w:r>
            </w:hyperlink>
            <w:hyperlink r:id="rId36">
              <w:r>
                <w:rPr>
                  <w:rStyle w:val="InternetLink"/>
                  <w:rFonts w:ascii="Times New Roman;sans-serif" w:hAnsi="Times New Roman;sans-serif"/>
                  <w:b w:val="false"/>
                  <w:color w:val="000080"/>
                  <w:sz w:val="20"/>
                  <w:u w:val="single"/>
                </w:rPr>
                <w:t xml:space="preserve">Third </w:t>
              </w:r>
            </w:hyperlink>
            <w:hyperlink r:id="rId37">
              <w:r>
                <w:rPr>
                  <w:rStyle w:val="InternetLink"/>
                  <w:rFonts w:ascii="Times New Roman;sans-serif" w:hAnsi="Times New Roman;sans-serif"/>
                  <w:b w:val="false"/>
                  <w:color w:val="000080"/>
                  <w:sz w:val="20"/>
                  <w:u w:val="single"/>
                </w:rPr>
                <w:t>Supplemental Indenture (</w:t>
              </w:r>
            </w:hyperlink>
            <w:hyperlink r:id="rId38">
              <w:r>
                <w:rPr>
                  <w:rStyle w:val="InternetLink"/>
                  <w:rFonts w:ascii="Times New Roman;sans-serif" w:hAnsi="Times New Roman;sans-serif"/>
                  <w:b w:val="false"/>
                  <w:color w:val="000080"/>
                  <w:sz w:val="20"/>
                  <w:u w:val="single"/>
                </w:rPr>
                <w:t>5</w:t>
              </w:r>
            </w:hyperlink>
            <w:hyperlink r:id="rId39">
              <w:r>
                <w:rPr>
                  <w:rStyle w:val="InternetLink"/>
                  <w:rFonts w:ascii="Times New Roman;sans-serif" w:hAnsi="Times New Roman;sans-serif"/>
                  <w:b w:val="false"/>
                  <w:color w:val="000080"/>
                  <w:sz w:val="20"/>
                  <w:u w:val="single"/>
                </w:rPr>
                <w:t>.</w:t>
              </w:r>
            </w:hyperlink>
            <w:hyperlink r:id="rId40">
              <w:r>
                <w:rPr>
                  <w:rStyle w:val="InternetLink"/>
                  <w:rFonts w:ascii="Times New Roman;sans-serif" w:hAnsi="Times New Roman;sans-serif"/>
                  <w:b w:val="false"/>
                  <w:color w:val="000080"/>
                  <w:sz w:val="20"/>
                  <w:u w:val="single"/>
                </w:rPr>
                <w:t>7</w:t>
              </w:r>
            </w:hyperlink>
            <w:hyperlink r:id="rId41">
              <w:r>
                <w:rPr>
                  <w:rStyle w:val="InternetLink"/>
                  <w:rFonts w:ascii="Times New Roman;sans-serif" w:hAnsi="Times New Roman;sans-serif"/>
                  <w:b w:val="false"/>
                  <w:color w:val="000080"/>
                  <w:sz w:val="20"/>
                  <w:u w:val="single"/>
                </w:rPr>
                <w:t>0% Senior Notes due 203</w:t>
              </w:r>
            </w:hyperlink>
            <w:hyperlink r:id="rId42">
              <w:r>
                <w:rPr>
                  <w:rStyle w:val="InternetLink"/>
                  <w:rFonts w:ascii="Times New Roman;sans-serif" w:hAnsi="Times New Roman;sans-serif"/>
                  <w:b w:val="false"/>
                  <w:color w:val="000080"/>
                  <w:sz w:val="20"/>
                  <w:u w:val="single"/>
                </w:rPr>
                <w:t>4</w:t>
              </w:r>
            </w:hyperlink>
            <w:hyperlink r:id="rId43">
              <w:r>
                <w:rPr>
                  <w:rStyle w:val="InternetLink"/>
                  <w:rFonts w:ascii="Times New Roman;sans-serif" w:hAnsi="Times New Roman;sans-serif"/>
                  <w:b w:val="false"/>
                  <w:color w:val="000080"/>
                  <w:sz w:val="20"/>
                  <w:u w:val="single"/>
                </w:rPr>
                <w:t xml:space="preserve">) dated June </w:t>
              </w:r>
            </w:hyperlink>
            <w:hyperlink r:id="rId44">
              <w:r>
                <w:rPr>
                  <w:rStyle w:val="InternetLink"/>
                  <w:rFonts w:ascii="Times New Roman;sans-serif" w:hAnsi="Times New Roman;sans-serif"/>
                  <w:b w:val="false"/>
                  <w:color w:val="000080"/>
                  <w:sz w:val="20"/>
                  <w:u w:val="single"/>
                </w:rPr>
                <w:t>27</w:t>
              </w:r>
            </w:hyperlink>
            <w:hyperlink r:id="rId45">
              <w:r>
                <w:rPr>
                  <w:rStyle w:val="InternetLink"/>
                  <w:rFonts w:ascii="Times New Roman;sans-serif" w:hAnsi="Times New Roman;sans-serif"/>
                  <w:b w:val="false"/>
                  <w:color w:val="000080"/>
                  <w:sz w:val="20"/>
                  <w:u w:val="single"/>
                </w:rPr>
                <w:t>, 202</w:t>
              </w:r>
            </w:hyperlink>
            <w:hyperlink r:id="rId46">
              <w:r>
                <w:rPr>
                  <w:rStyle w:val="InternetLink"/>
                  <w:rFonts w:ascii="Times New Roman;sans-serif" w:hAnsi="Times New Roman;sans-serif"/>
                  <w:b w:val="false"/>
                  <w:color w:val="000080"/>
                  <w:sz w:val="20"/>
                  <w:u w:val="single"/>
                </w:rPr>
                <w:t>4</w:t>
              </w:r>
            </w:hyperlink>
            <w:hyperlink r:id="rId47">
              <w:r>
                <w:rPr>
                  <w:rStyle w:val="InternetLink"/>
                  <w:rFonts w:ascii="Times New Roman;sans-serif" w:hAnsi="Times New Roman;sans-serif"/>
                  <w:b w:val="false"/>
                  <w:color w:val="000080"/>
                  <w:sz w:val="20"/>
                  <w:u w:val="single"/>
                </w:rPr>
                <w:t xml:space="preserve">, by and among Plains All American Pipeline, L.P., PAA Finance Corp. and U.S. Bank </w:t>
              </w:r>
            </w:hyperlink>
            <w:hyperlink r:id="rId48">
              <w:r>
                <w:rPr>
                  <w:rStyle w:val="InternetLink"/>
                  <w:rFonts w:ascii="Times New Roman;sans-serif" w:hAnsi="Times New Roman;sans-serif"/>
                  <w:b w:val="false"/>
                  <w:color w:val="000080"/>
                  <w:sz w:val="20"/>
                  <w:u w:val="single"/>
                </w:rPr>
                <w:t xml:space="preserve">Trust Company, </w:t>
              </w:r>
            </w:hyperlink>
            <w:hyperlink r:id="rId49">
              <w:r>
                <w:rPr>
                  <w:rStyle w:val="InternetLink"/>
                  <w:rFonts w:ascii="Times New Roman;sans-serif" w:hAnsi="Times New Roman;sans-serif"/>
                  <w:b w:val="false"/>
                  <w:color w:val="000080"/>
                  <w:sz w:val="20"/>
                  <w:u w:val="single"/>
                </w:rPr>
                <w:t xml:space="preserve">National Association, as trustee (incorporated by reference to Exhibit 4.1 to our Current Report on Form 8-K filed June </w:t>
              </w:r>
            </w:hyperlink>
            <w:hyperlink r:id="rId50">
              <w:r>
                <w:rPr>
                  <w:rStyle w:val="InternetLink"/>
                  <w:rFonts w:ascii="Times New Roman;sans-serif" w:hAnsi="Times New Roman;sans-serif"/>
                  <w:b w:val="false"/>
                  <w:color w:val="000080"/>
                  <w:sz w:val="20"/>
                  <w:u w:val="single"/>
                </w:rPr>
                <w:t>27</w:t>
              </w:r>
            </w:hyperlink>
            <w:hyperlink r:id="rId51">
              <w:r>
                <w:rPr>
                  <w:rStyle w:val="InternetLink"/>
                  <w:rFonts w:ascii="Times New Roman;sans-serif" w:hAnsi="Times New Roman;sans-serif"/>
                  <w:b w:val="false"/>
                  <w:color w:val="000080"/>
                  <w:sz w:val="20"/>
                  <w:u w:val="single"/>
                </w:rPr>
                <w:t>, 202</w:t>
              </w:r>
            </w:hyperlink>
            <w:hyperlink r:id="rId52">
              <w:r>
                <w:rPr>
                  <w:rStyle w:val="InternetLink"/>
                  <w:rFonts w:ascii="Times New Roman;sans-serif" w:hAnsi="Times New Roman;sans-serif"/>
                  <w:b w:val="false"/>
                  <w:color w:val="000080"/>
                  <w:sz w:val="20"/>
                  <w:u w:val="single"/>
                </w:rPr>
                <w:t>4</w:t>
              </w:r>
            </w:hyperlink>
            <w:hyperlink r:id="rId53">
              <w:r>
                <w:rPr>
                  <w:rStyle w:val="InternetLink"/>
                  <w:rFonts w:ascii="Times New Roman;sans-serif" w:hAnsi="Times New Roman;sans-serif"/>
                  <w:b w:val="false"/>
                  <w:color w:val="000080"/>
                  <w:sz w:val="20"/>
                  <w:u w:val="single"/>
                </w:rPr>
                <w:t>).</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ans-serif" w:hAnsi="Times New Roman;sans-serif"/>
                  <w:b w:val="false"/>
                  <w:color w:val="0000FF"/>
                  <w:sz w:val="20"/>
                  <w:u w:val="single"/>
                </w:rPr>
                <w:t>Registration Rights Agreement dated September 3, 2009 by and between Plains All American Pipeline, L.P. and Vulcan Gas Storage LLC (incorporated by reference to Exhibit 4.1 to our Registration Statement on Form S-3, File No. 333-162477).</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ans-serif" w:hAnsi="Times New Roman;sans-serif"/>
                  <w:b w:val="false"/>
                  <w:color w:val="0000FF"/>
                  <w:sz w:val="20"/>
                  <w:u w:val="single"/>
                </w:rPr>
                <w:t>Registration Rights Agreement dated as of January 28, 2016 among Plains All American Pipeline, L.P. and the Purchasers named therein (incorporated by reference to Exhibit 4.1 to our Current Report on Form 8-K filed February 2, 2016).</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ans-serif" w:hAnsi="Times New Roman;sans-serif"/>
                  <w:b w:val="false"/>
                  <w:color w:val="0000FF"/>
                  <w:sz w:val="20"/>
                  <w:u w:val="single"/>
                </w:rPr>
                <w:t>Registration Rights Agreement by and among Plains All American Pipeline, L.P. and the Holders defined therein, dated November 15, 2016 (incorporated by reference to Exhibit 10.4 to our Current Report on Form 8-K filed November 21, 2016).</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ans-serif" w:hAnsi="Times New Roman;sans-serif"/>
                  <w:b w:val="false"/>
                  <w:color w:val="0000FF"/>
                  <w:sz w:val="20"/>
                  <w:u w:val="single"/>
                </w:rPr>
                <w:t>Description of Our Securities (incorporated by reference to Exhibit 4.16 to our Annual Report on Form 10-K for the year ended December 31, 2023).</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22024exhibit311.htm">
              <w:r>
                <w:rPr>
                  <w:rStyle w:val="InternetLink"/>
                  <w:rFonts w:ascii="Times New Roman;sans-serif" w:hAnsi="Times New Roman;sans-serif"/>
                  <w:b w:val="false"/>
                  <w:color w:val="0000FF"/>
                  <w:sz w:val="20"/>
                  <w:u w:val="single"/>
                </w:rPr>
                <w:t>Certification of Principal Executive Officer pursuant to Exchange Act Rules 13a-14(a) and 15d-14(a).</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22024exhibit312.htm">
              <w:r>
                <w:rPr>
                  <w:rStyle w:val="InternetLink"/>
                  <w:rFonts w:ascii="Times New Roman;sans-serif" w:hAnsi="Times New Roman;sans-serif"/>
                  <w:b w:val="false"/>
                  <w:color w:val="0000FF"/>
                  <w:sz w:val="20"/>
                  <w:u w:val="single"/>
                </w:rPr>
                <w:t>Certification of Principal Financial Officer pursuant to Exchange Act Rules 13a-14(a) and 15d-14(a).</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22024exhibit321.htm">
              <w:r>
                <w:rPr>
                  <w:rStyle w:val="InternetLink"/>
                  <w:rFonts w:ascii="Times New Roman;sans-serif" w:hAnsi="Times New Roman;sans-serif"/>
                  <w:b w:val="false"/>
                  <w:color w:val="0000FF"/>
                  <w:sz w:val="20"/>
                  <w:u w:val="single"/>
                </w:rPr>
                <w:t>Certification of Principal Executive Officer pursuant to 18 U.S.C. 1350.</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aq22024exhibit322.htm">
              <w:r>
                <w:rPr>
                  <w:rStyle w:val="InternetLink"/>
                  <w:rFonts w:ascii="Times New Roman;sans-serif" w:hAnsi="Times New Roman;sans-serif"/>
                  <w:b w:val="false"/>
                  <w:color w:val="0000FF"/>
                  <w:sz w:val="20"/>
                  <w:u w:val="single"/>
                </w:rPr>
                <w:t>Certification of Principal Financial Officer pursuant to 18 U.S.C. 1350.</w:t>
              </w:r>
            </w:hyperlink>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left"/>
        <w:rPr/>
      </w:pPr>
      <w:r>
        <w:rPr>
          <w:color w:val="000000"/>
        </w:rPr>
        <w:t>†    </w:t>
      </w:r>
      <w:r>
        <w:rPr>
          <w:rFonts w:ascii="Times New Roman;sans-serif" w:hAnsi="Times New Roman;sans-serif"/>
          <w:b w:val="false"/>
          <w:color w:val="000000"/>
          <w:sz w:val="20"/>
        </w:rPr>
        <w:t>Filed herewith.</w:t>
      </w:r>
    </w:p>
    <w:p>
      <w:pPr>
        <w:pStyle w:val="TextBody"/>
        <w:bidi w:val="0"/>
        <w:spacing w:lineRule="auto" w:line="288" w:before="0" w:after="120"/>
        <w:ind w:left="0" w:right="0" w:hanging="720"/>
        <w:jc w:val="left"/>
        <w:rPr/>
      </w:pPr>
      <w:r>
        <w:rPr>
          <w:color w:val="000000"/>
        </w:rPr>
        <w:t>††    </w:t>
      </w:r>
      <w:r>
        <w:rPr>
          <w:rFonts w:ascii="Times New Roman;sans-serif" w:hAnsi="Times New Roman;sans-serif"/>
          <w:b w:val="false"/>
          <w:color w:val="000000"/>
          <w:sz w:val="20"/>
        </w:rPr>
        <w:t>Furnished herewith.</w:t>
      </w:r>
    </w:p>
    <w:p>
      <w:pPr>
        <w:pStyle w:val="TextBody"/>
        <w:bidi w:val="0"/>
        <w:spacing w:lineRule="auto" w:line="288" w:before="0" w:after="12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Management compensatory plan or arrangement.</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4a56dd22cee4853b78b580dce76b31a_7">
        <w:r>
          <w:rPr>
            <w:rStyle w:val="InternetLink"/>
            <w:rFonts w:ascii="Times New Roman;sans-serif" w:hAnsi="Times New Roman;sans-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69"/>
        <w:gridCol w:w="414"/>
        <w:gridCol w:w="415"/>
        <w:gridCol w:w="559"/>
        <w:gridCol w:w="559"/>
        <w:gridCol w:w="559"/>
        <w:gridCol w:w="2125"/>
        <w:gridCol w:w="2121"/>
        <w:gridCol w:w="2984"/>
      </w:tblGrid>
      <w:tr>
        <w:trPr/>
        <w:tc>
          <w:tcPr>
            <w:tcW w:w="46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PLAINS ALL AMERICAN PIPELINE, L.P.</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PAA GP LLC,</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general partner</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AAP, L.P.,</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sole member</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Plains All American GP LLC,</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its general partner</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Willie Chiang,</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Chief Executive Officer of Plains All American GP LLC</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Executive Officer)</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 Swanson,</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Vice President and Chief Financial Officer of Plains All American GP LLC</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Financial Officer)</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Chris Herbold</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Chris Herbold,</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Senior Vice President, Finance and Chief Accounting Officer of Plains All American GP LLC</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7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(Principal Accounting Officer)</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0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890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pStyle w:val="TextBody"/>
        <w:bidi w:val="0"/>
        <w:spacing w:before="0" w:after="0"/>
        <w:ind w:left="0" w:right="0" w:hanging="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Willie Chiang,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Plains All American Pipeline,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8, 2024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085" w:type="dxa"/>
        <w:jc w:val="left"/>
        <w:tblInd w:w="0" w:type="dxa"/>
        <w:tblLayout w:type="fixed"/>
        <w:tblCellMar>
          <w:top w:w="28" w:type="dxa"/>
          <w:left w:w="28" w:type="dxa"/>
          <w:bottom w:w="28" w:type="dxa"/>
          <w:right w:w="28" w:type="dxa"/>
        </w:tblCellMar>
      </w:tblPr>
      <w:tblGrid>
        <w:gridCol w:w="667"/>
        <w:gridCol w:w="585"/>
        <w:gridCol w:w="833"/>
      </w:tblGrid>
      <w:tr>
        <w:trPr/>
        <w:tc>
          <w:tcPr>
            <w:tcW w:w="66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Willie Chiang</w:t>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 Swanson,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Plains All American Pipeline,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8, 2024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 Swanson</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ALL AMERICAN PIPELINE,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Willie Chiang, Chief Executive Officer of Plains All American Pipeline,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the accompanying report on Form 10-Q for the period ended June 30, 2024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889" w:type="dxa"/>
        <w:jc w:val="left"/>
        <w:tblInd w:w="0" w:type="dxa"/>
        <w:tblLayout w:type="fixed"/>
        <w:tblCellMar>
          <w:top w:w="28" w:type="dxa"/>
          <w:left w:w="28" w:type="dxa"/>
          <w:bottom w:w="28" w:type="dxa"/>
          <w:right w:w="28" w:type="dxa"/>
        </w:tblCellMar>
      </w:tblPr>
      <w:tblGrid>
        <w:gridCol w:w="604"/>
        <w:gridCol w:w="530"/>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Willie Chiang</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Willie Chiang</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PLAINS ALL AMERICAN PIPELINE, L.P.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Al Swanson, Chief Financial Officer of Plains All American Pipeline,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            the accompanying report on Form 10-Q for the period ended June 30, 2024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890" w:type="dxa"/>
        <w:jc w:val="left"/>
        <w:tblInd w:w="0" w:type="dxa"/>
        <w:tblLayout w:type="fixed"/>
        <w:tblCellMar>
          <w:top w:w="28" w:type="dxa"/>
          <w:left w:w="28" w:type="dxa"/>
          <w:bottom w:w="28" w:type="dxa"/>
          <w:right w:w="28" w:type="dxa"/>
        </w:tblCellMar>
      </w:tblPr>
      <w:tblGrid>
        <w:gridCol w:w="604"/>
        <w:gridCol w:w="531"/>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 Swanson</w:t>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Al Swanson</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70423/000104746904016502/a2135501zex-3_2.htm" TargetMode="External"/><Relationship Id="rId3" Type="http://schemas.openxmlformats.org/officeDocument/2006/relationships/hyperlink" Target="https://www.sec.gov/Archives/edgar/data/1070423/000110465911010359/a11-2319_1ex3d9.htm" TargetMode="External"/><Relationship Id="rId4" Type="http://schemas.openxmlformats.org/officeDocument/2006/relationships/hyperlink" Target="https://www.sec.gov/Archives/edgar/data/1070423/000110465911010359/a11-2319_1ex3d10.htm" TargetMode="External"/><Relationship Id="rId5" Type="http://schemas.openxmlformats.org/officeDocument/2006/relationships/hyperlink" Target="https://www.sec.gov/Archives/edgar/data/1070423/000110465914014322/a13-25941_1ex3d7.htm" TargetMode="External"/><Relationship Id="rId6" Type="http://schemas.openxmlformats.org/officeDocument/2006/relationships/hyperlink" Target="https://www.sec.gov/Archives/edgar/data/1070423/000110465914014322/a13-25941_1ex3d8.htm" TargetMode="External"/><Relationship Id="rId7" Type="http://schemas.openxmlformats.org/officeDocument/2006/relationships/hyperlink" Target="https://www.sec.gov/Archives/edgar/data/1070423/000107042320000004/paa201910-kexhibit37.htm" TargetMode="External"/><Relationship Id="rId8" Type="http://schemas.openxmlformats.org/officeDocument/2006/relationships/hyperlink" Target="https://www.sec.gov/Archives/edgar/data/1070423/000104746904016502/a2135501zex-3_3.htm" TargetMode="External"/><Relationship Id="rId9" Type="http://schemas.openxmlformats.org/officeDocument/2006/relationships/hyperlink" Target="https://www.sec.gov/Archives/edgar/data/1070423/000110465914014322/a13-25941_1ex3d10.htm" TargetMode="External"/><Relationship Id="rId10" Type="http://schemas.openxmlformats.org/officeDocument/2006/relationships/hyperlink" Target="https://www.sec.gov/Archives/edgar/data/1070423/000110465916158355/a16-21841_1ex3d3.htm" TargetMode="External"/><Relationship Id="rId11" Type="http://schemas.openxmlformats.org/officeDocument/2006/relationships/hyperlink" Target="https://www.sec.gov/Archives/edgar/data/1070423/000110465916158355/a16-21841_1ex3d4.htm" TargetMode="External"/><Relationship Id="rId12" Type="http://schemas.openxmlformats.org/officeDocument/2006/relationships/hyperlink" Target="https://www.sec.gov/Archives/edgar/data/1070423/000110465918060011/a18-36196_1ex3d1.htm" TargetMode="External"/><Relationship Id="rId13" Type="http://schemas.openxmlformats.org/officeDocument/2006/relationships/hyperlink" Target="https://www.sec.gov/Archives/edgar/data/1070423/000110465919032810/a19-10856_1ex3d1.htm" TargetMode="External"/><Relationship Id="rId14" Type="http://schemas.openxmlformats.org/officeDocument/2006/relationships/hyperlink" Target="https://www.sec.gov/Archives/edgar/data/1070423/000110465923093997/tm2324104d2_ex3-1.htm" TargetMode="External"/><Relationship Id="rId15" Type="http://schemas.openxmlformats.org/officeDocument/2006/relationships/hyperlink" Target="https://www.sec.gov/Archives/edgar/data/1070423/000095012907001096/h43224exv3w10.htm" TargetMode="External"/><Relationship Id="rId16" Type="http://schemas.openxmlformats.org/officeDocument/2006/relationships/hyperlink" Target="https://www.sec.gov/Archives/edgar/data/1070423/000095012907001096/h43224exv3w11.htm" TargetMode="External"/><Relationship Id="rId17" Type="http://schemas.openxmlformats.org/officeDocument/2006/relationships/hyperlink" Target="https://www.sec.gov/Archives/edgar/data/1070423/000095012908000071/h52770exv3w3.htm" TargetMode="External"/><Relationship Id="rId18" Type="http://schemas.openxmlformats.org/officeDocument/2006/relationships/hyperlink" Target="https://www.sec.gov/Archives/edgar/data/1581990/000104746913007875/a2216069zex-3_1.htm" TargetMode="External"/><Relationship Id="rId19" Type="http://schemas.openxmlformats.org/officeDocument/2006/relationships/hyperlink" Target="https://www.sec.gov/Archives/edgar/data/1581990/000110465916158356/a16-21845_1ex3d2.htm" TargetMode="External"/><Relationship Id="rId20" Type="http://schemas.openxmlformats.org/officeDocument/2006/relationships/hyperlink" Target="https://www.sec.gov/Archives/edgar/data/1581990/000158199020000012/exhibit31.htm" TargetMode="External"/><Relationship Id="rId21" Type="http://schemas.openxmlformats.org/officeDocument/2006/relationships/hyperlink" Target="https://www.sec.gov/Archives/edgar/data/1581990/000104746913007875/a2216069zex-3_3.htm" TargetMode="External"/><Relationship Id="rId22" Type="http://schemas.openxmlformats.org/officeDocument/2006/relationships/hyperlink" Target="https://www.sec.gov/Archives/edgar/data/1070423/000107042322000006/paa202110-kexhibite69.htm" TargetMode="External"/><Relationship Id="rId23" Type="http://schemas.openxmlformats.org/officeDocument/2006/relationships/hyperlink" Target="https://www.sec.gov/Archives/edgar/data/1070423/000089924302002834/dex41.txt" TargetMode="External"/><Relationship Id="rId24" Type="http://schemas.openxmlformats.org/officeDocument/2006/relationships/hyperlink" Target="https://www.sec.gov/Archives/edgar/data/1070423/000110465906034368/a06-11663_1ex4d1.htm" TargetMode="External"/><Relationship Id="rId25" Type="http://schemas.openxmlformats.org/officeDocument/2006/relationships/hyperlink" Target="https://www.sec.gov/Archives/edgar/data/1070423/000095012906009235/h40667exv4w2.htm" TargetMode="External"/><Relationship Id="rId26" Type="http://schemas.openxmlformats.org/officeDocument/2006/relationships/hyperlink" Target="https://www.sec.gov/Archives/edgar/data/1070423/000119312512132295/d321017dex43.htm" TargetMode="External"/><Relationship Id="rId27" Type="http://schemas.openxmlformats.org/officeDocument/2006/relationships/hyperlink" Target="https://www.sec.gov/Archives/edgar/data/1070423/000119312512499932/d453762dex43.htm" TargetMode="External"/><Relationship Id="rId28" Type="http://schemas.openxmlformats.org/officeDocument/2006/relationships/hyperlink" Target="https://www.sec.gov/Archives/edgar/data/1070423/000119312514164183/d713938dex41.htm" TargetMode="External"/><Relationship Id="rId29" Type="http://schemas.openxmlformats.org/officeDocument/2006/relationships/hyperlink" Target="https://www.sec.gov/Archives/edgar/data/1070423/000119312514338289/d787160dex41.htm" TargetMode="External"/><Relationship Id="rId30" Type="http://schemas.openxmlformats.org/officeDocument/2006/relationships/hyperlink" Target="https://www.sec.gov/Archives/edgar/data/1070423/000119312514440007/d833885dex43.htm" TargetMode="External"/><Relationship Id="rId31" Type="http://schemas.openxmlformats.org/officeDocument/2006/relationships/hyperlink" Target="https://www.sec.gov/Archives/edgar/data/1070423/000119312515302829/d45393dex41.htm" TargetMode="External"/><Relationship Id="rId32" Type="http://schemas.openxmlformats.org/officeDocument/2006/relationships/hyperlink" Target="https://www.sec.gov/Archives/edgar/data/1070423/000110465916159593/a16-22232_1ex4d1.htm" TargetMode="External"/><Relationship Id="rId33" Type="http://schemas.openxmlformats.org/officeDocument/2006/relationships/hyperlink" Target="https://www.sec.gov/Archives/edgar/data/1070423/000141057819001281/tv529555_ex4-1.htm" TargetMode="External"/><Relationship Id="rId34" Type="http://schemas.openxmlformats.org/officeDocument/2006/relationships/hyperlink" Target="https://www.sec.gov/Archives/edgar/data/1070423/000110465920072270/tm2022235d1_ex4-1.htm" TargetMode="External"/><Relationship Id="rId35" Type="http://schemas.openxmlformats.org/officeDocument/2006/relationships/hyperlink" Target="https://www.sec.gov/Archives/edgar/data/1070423/000110465924075672/tm2418387d1_ex4-1.htm" TargetMode="External"/><Relationship Id="rId36" Type="http://schemas.openxmlformats.org/officeDocument/2006/relationships/hyperlink" Target="https://www.sec.gov/Archives/edgar/data/1070423/000110465924075672/tm2418387d1_ex4-1.htm" TargetMode="External"/><Relationship Id="rId37" Type="http://schemas.openxmlformats.org/officeDocument/2006/relationships/hyperlink" Target="https://www.sec.gov/Archives/edgar/data/1070423/000110465924075672/tm2418387d1_ex4-1.htm" TargetMode="External"/><Relationship Id="rId38" Type="http://schemas.openxmlformats.org/officeDocument/2006/relationships/hyperlink" Target="https://www.sec.gov/Archives/edgar/data/1070423/000110465924075672/tm2418387d1_ex4-1.htm" TargetMode="External"/><Relationship Id="rId39" Type="http://schemas.openxmlformats.org/officeDocument/2006/relationships/hyperlink" Target="https://www.sec.gov/Archives/edgar/data/1070423/000110465924075672/tm2418387d1_ex4-1.htm" TargetMode="External"/><Relationship Id="rId40" Type="http://schemas.openxmlformats.org/officeDocument/2006/relationships/hyperlink" Target="https://www.sec.gov/Archives/edgar/data/1070423/000110465924075672/tm2418387d1_ex4-1.htm" TargetMode="External"/><Relationship Id="rId41" Type="http://schemas.openxmlformats.org/officeDocument/2006/relationships/hyperlink" Target="https://www.sec.gov/Archives/edgar/data/1070423/000110465924075672/tm2418387d1_ex4-1.htm" TargetMode="External"/><Relationship Id="rId42" Type="http://schemas.openxmlformats.org/officeDocument/2006/relationships/hyperlink" Target="https://www.sec.gov/Archives/edgar/data/1070423/000110465924075672/tm2418387d1_ex4-1.htm" TargetMode="External"/><Relationship Id="rId43" Type="http://schemas.openxmlformats.org/officeDocument/2006/relationships/hyperlink" Target="https://www.sec.gov/Archives/edgar/data/1070423/000110465924075672/tm2418387d1_ex4-1.htm" TargetMode="External"/><Relationship Id="rId44" Type="http://schemas.openxmlformats.org/officeDocument/2006/relationships/hyperlink" Target="https://www.sec.gov/Archives/edgar/data/1070423/000110465924075672/tm2418387d1_ex4-1.htm" TargetMode="External"/><Relationship Id="rId45" Type="http://schemas.openxmlformats.org/officeDocument/2006/relationships/hyperlink" Target="https://www.sec.gov/Archives/edgar/data/1070423/000110465924075672/tm2418387d1_ex4-1.htm" TargetMode="External"/><Relationship Id="rId46" Type="http://schemas.openxmlformats.org/officeDocument/2006/relationships/hyperlink" Target="https://www.sec.gov/Archives/edgar/data/1070423/000110465924075672/tm2418387d1_ex4-1.htm" TargetMode="External"/><Relationship Id="rId47" Type="http://schemas.openxmlformats.org/officeDocument/2006/relationships/hyperlink" Target="https://www.sec.gov/Archives/edgar/data/1070423/000110465924075672/tm2418387d1_ex4-1.htm" TargetMode="External"/><Relationship Id="rId48" Type="http://schemas.openxmlformats.org/officeDocument/2006/relationships/hyperlink" Target="https://www.sec.gov/Archives/edgar/data/1070423/000110465924075672/tm2418387d1_ex4-1.htm" TargetMode="External"/><Relationship Id="rId49" Type="http://schemas.openxmlformats.org/officeDocument/2006/relationships/hyperlink" Target="https://www.sec.gov/Archives/edgar/data/1070423/000110465924075672/tm2418387d1_ex4-1.htm" TargetMode="External"/><Relationship Id="rId50" Type="http://schemas.openxmlformats.org/officeDocument/2006/relationships/hyperlink" Target="https://www.sec.gov/Archives/edgar/data/1070423/000110465924075672/tm2418387d1_ex4-1.htm" TargetMode="External"/><Relationship Id="rId51" Type="http://schemas.openxmlformats.org/officeDocument/2006/relationships/hyperlink" Target="https://www.sec.gov/Archives/edgar/data/1070423/000110465924075672/tm2418387d1_ex4-1.htm" TargetMode="External"/><Relationship Id="rId52" Type="http://schemas.openxmlformats.org/officeDocument/2006/relationships/hyperlink" Target="https://www.sec.gov/Archives/edgar/data/1070423/000110465924075672/tm2418387d1_ex4-1.htm" TargetMode="External"/><Relationship Id="rId53" Type="http://schemas.openxmlformats.org/officeDocument/2006/relationships/hyperlink" Target="https://www.sec.gov/Archives/edgar/data/1070423/000110465924075672/tm2418387d1_ex4-1.htm" TargetMode="External"/><Relationship Id="rId54" Type="http://schemas.openxmlformats.org/officeDocument/2006/relationships/hyperlink" Target="https://www.sec.gov/Archives/edgar/data/1070423/000095012309050401/h68193exv4w1.htm" TargetMode="External"/><Relationship Id="rId55" Type="http://schemas.openxmlformats.org/officeDocument/2006/relationships/hyperlink" Target="https://www.sec.gov/Archives/edgar/data/1070423/000110465916093299/a16-3362_1ex4d1.htm" TargetMode="External"/><Relationship Id="rId56" Type="http://schemas.openxmlformats.org/officeDocument/2006/relationships/hyperlink" Target="https://www.sec.gov/Archives/edgar/data/1070423/000110465916158355/a16-21841_1ex10d4.htm" TargetMode="External"/><Relationship Id="rId57" Type="http://schemas.openxmlformats.org/officeDocument/2006/relationships/hyperlink" Target="https://www.sec.gov/Archives/edgar/data/1070423/000107042324000008/paa202310-kexhibit416.htm" TargetMode="External"/><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29363</Words>
  <Characters>160583</Characters>
  <CharactersWithSpaces>187821</CharactersWithSpaces>
  <Paragraphs>4554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