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Montgomery Russell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Acctg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1,792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Russell Lee Montgomery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-1.txt"/>
      <w:bookmarkStart w:id="3" w:name="ksexhibit24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Richard McGee, Ann F. Gullion and Chris Griffith,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them signing singly, and with full power of substitution,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 SEC)</w:t>
      </w:r>
    </w:p>
    <w:p>
      <w:pPr>
        <w:pStyle w:val="PreformattedText"/>
        <w:bidi w:val="0"/>
        <w:spacing w:before="0" w:after="0"/>
        <w:jc w:val="left"/>
        <w:rPr/>
      </w:pPr>
      <w:r>
        <w:rPr/>
        <w:t>a Form ID, including amendments thereto, and any other documents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appropriate to obtain codes and passwords enabling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electronic filings with the SEC of reports required by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Plains GP Holdings, L.P.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Company), Forms 3, 4, 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>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Power of Attorney shall be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contain such terms and conditions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granted, as fully to all intents and 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10th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/s/ Russell Lee Montgomery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251" TargetMode="External"/><Relationship Id="rId3" Type="http://schemas.openxmlformats.org/officeDocument/2006/relationships/hyperlink" Target="http://www.sec.gov/cgi-bin/browse-edgar?action=getcompany&amp;CIK=00015819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923</Words>
  <Characters>4861</Characters>
  <CharactersWithSpaces>5686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