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820" w:right="1560" w:hanging="3812"/>
        <w:spacing w:after="0" w:line="409" w:lineRule="auto"/>
        <w:tabs>
          <w:tab w:leader="none" w:pos="47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sectPr>
          <w:pgSz w:w="11900" w:h="16838" w:orient="portrait"/>
          <w:cols w:equalWidth="0" w:num="2">
            <w:col w:w="7220" w:space="720"/>
            <w:col w:w="324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8"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8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8" w:lineRule="exact"/>
        <w:rPr>
          <w:sz w:val="24"/>
          <w:szCs w:val="24"/>
          <w:color w:val="auto"/>
        </w:rPr>
      </w:pPr>
    </w:p>
    <w:p>
      <w:pPr>
        <w:ind w:left="19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26" w:lineRule="exact"/>
        <w:rPr>
          <w:sz w:val="24"/>
          <w:szCs w:val="24"/>
          <w:color w:val="auto"/>
        </w:rPr>
      </w:pPr>
    </w:p>
    <w:p>
      <w:pPr>
        <w:sectPr>
          <w:pgSz w:w="11900" w:h="16838" w:orient="portrait"/>
          <w:cols w:equalWidth="0" w:num="2">
            <w:col w:w="6800" w:space="720"/>
            <w:col w:w="366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May 1, 2025, there were 703,299,255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5"/>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5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2025 and 2024</w:t>
            </w:r>
          </w:p>
        </w:tc>
        <w:tc>
          <w:tcPr>
            <w:tcW w:w="1520" w:type="dxa"/>
            <w:vAlign w:val="bottom"/>
            <w:gridSpan w:val="4"/>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three months ended March</w:t>
            </w: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820" w:type="dxa"/>
            <w:vAlign w:val="bottom"/>
            <w:tcBorders>
              <w:top w:val="single" w:sz="8" w:color="0000FF"/>
            </w:tcBorders>
            <w:gridSpan w:val="32"/>
          </w:tcPr>
          <w:p>
            <w:pPr>
              <w:spacing w:after="0" w:line="142" w:lineRule="exact"/>
              <w:rPr>
                <w:sz w:val="20"/>
                <w:szCs w:val="20"/>
                <w:color w:val="auto"/>
              </w:rPr>
            </w:pPr>
            <w:r>
              <w:rPr>
                <w:rFonts w:ascii="Times New Roman" w:cs="Times New Roman" w:eastAsia="Times New Roman" w:hAnsi="Times New Roman"/>
                <w:sz w:val="16"/>
                <w:szCs w:val="16"/>
                <w:color w:val="0000FF"/>
              </w:rPr>
              <w:t>31, 2025 and 2024</w:t>
            </w:r>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months ended March 31,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8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18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520" w:type="dxa"/>
            <w:vAlign w:val="bottom"/>
            <w:gridSpan w:val="11"/>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3. Net Income Per Common Unit</w:t>
            </w:r>
          </w:p>
        </w:tc>
        <w:tc>
          <w:tcPr>
            <w:tcW w:w="360" w:type="dxa"/>
            <w:vAlign w:val="bottom"/>
            <w:tcBorders>
              <w:top w:val="single" w:sz="8" w:color="0000FF"/>
            </w:tcBorders>
            <w:gridSpan w:val="5"/>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32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3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58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328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60" w:type="dxa"/>
            <w:vAlign w:val="bottom"/>
            <w:tcBorders>
              <w:top w:val="single" w:sz="8" w:color="0000FF"/>
            </w:tcBorders>
            <w:gridSpan w:val="4"/>
          </w:tcPr>
          <w:p>
            <w:pPr>
              <w:spacing w:after="0"/>
              <w:rPr>
                <w:sz w:val="18"/>
                <w:szCs w:val="18"/>
                <w:color w:val="auto"/>
              </w:rPr>
            </w:pPr>
          </w:p>
        </w:tc>
        <w:tc>
          <w:tcPr>
            <w:tcW w:w="730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11. Acquisitions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8"/>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4,802</w:t>
            </w:r>
          </w:p>
        </w:tc>
      </w:tr>
      <w:tr>
        <w:trPr>
          <w:trHeight w:val="132"/>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21,300</w:t>
            </w: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(5,876)</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15,424</w:t>
            </w:r>
          </w:p>
        </w:tc>
      </w:tr>
      <w:tr>
        <w:trPr>
          <w:trHeight w:val="132"/>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9"/>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3,725</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w:t>
            </w:r>
          </w:p>
        </w:tc>
      </w:tr>
      <w:tr>
        <w:trPr>
          <w:trHeight w:val="132"/>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8,516</w:t>
            </w:r>
          </w:p>
        </w:tc>
      </w:tr>
      <w:tr>
        <w:trPr>
          <w:trHeight w:val="92"/>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0"/>
        </w:trPr>
        <w:tc>
          <w:tcPr>
            <w:tcW w:w="8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unitholders (58,411,908 and 71,090,468 units outstanding, respectively)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 unitholders (800,000 and 800,000 units outstanding, respectively)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unitholders (703,775,950 and 703,770,300 units outstanding, 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w:t>
            </w:r>
          </w:p>
        </w:tc>
      </w:tr>
      <w:tr>
        <w:trPr>
          <w:trHeight w:val="219"/>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partners’ capital excluding noncontrolling interests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13,096</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5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11,625</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$2 and $2,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42"/>
        </w:trPr>
        <w:tc>
          <w:tcPr>
            <w:tcW w:w="8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42"/>
        </w:trPr>
        <w:tc>
          <w:tcPr>
            <w:tcW w:w="8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 (NOTE 3):</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54"/>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22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(71)</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(85)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3"/>
                <w:szCs w:val="13"/>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10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hedges</w:t>
            </w: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10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820" w:type="dxa"/>
            <w:vAlign w:val="bottom"/>
          </w:tcPr>
          <w:p>
            <w:pPr>
              <w:spacing w:after="0"/>
              <w:rPr>
                <w:sz w:val="24"/>
                <w:szCs w:val="24"/>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24"/>
                <w:szCs w:val="24"/>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10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10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asset sales, net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investments in unconsolidated entities, net (Note 11)</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92"/>
        </w:trPr>
        <w:tc>
          <w:tcPr>
            <w:tcW w:w="8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in connection with acquisitions, net of cash acquired</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9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to property, equipment and other</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purchases of linefill</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sales of assets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Investments in related party notes (Note 8)</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92"/>
        </w:trPr>
        <w:tc>
          <w:tcPr>
            <w:tcW w:w="8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borrowings under commercial paper program (Note 5)</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the issuance of senior notes (Note 5)</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the issuance of related party notes (Note 8)</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Series A preferred units (Note 6)</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A preferred unitholders (Note 6)</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B preferred unitholders (Note 6)</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common unitholders (Note 6)</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noncontrolling interests (Note 6)</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Contributions from noncontrolling interests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by/(used in) financing activities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r>
      <w:tr>
        <w:trPr>
          <w:trHeight w:val="92"/>
        </w:trPr>
        <w:tc>
          <w:tcPr>
            <w:tcW w:w="8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12"/>
        </w:trPr>
        <w:tc>
          <w:tcPr>
            <w:tcW w:w="8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
        </w:trPr>
        <w:tc>
          <w:tcPr>
            <w:tcW w:w="8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2"/>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net of amounts refunded</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Repurchase of Series A preferred units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6)</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76"/>
        </w:trPr>
        <w:tc>
          <w:tcPr>
            <w:tcW w:w="31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10 for further discussion of our operating segments.</w:t>
      </w:r>
    </w:p>
    <w:p>
      <w:pPr>
        <w:spacing w:after="0" w:line="18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March 31, 2025, AAP also owned a limited partner interest in us through its ownership of approximately 232.9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March 31, 2025, owned an approximate 85% limited partner interest in AAP. PAA GP Holdings LLC (“PAGP GP”) is the general partner of PAGP.</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References to our “general partner,” as the context requires, include any or all of PAGP GP, PAGP, GP LLC, AAP and PAA GP. References to “Plains entities,” as the context requires, include any or all of PAA and its subsidiaries and our general partner.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2024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2024 was derived from audited financial statements, but does not include all disclosures required by GAAP. The results of operations for the three months ended March 31, 2025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2024 Annual Report on Form 10-K, there have been no new accounting pronouncements that have become effective or have been issued during the three months ended March 31, 2025 that are of significance or potential significance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See Note 3 to our Consolidated Financial Statements included in Part IV of our 2024 Annual Report on Form 10-K for additional information regarding our types of revenues and policies for revenue recognition.</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2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8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2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r>
      <w:tr>
        <w:trPr>
          <w:trHeight w:val="223"/>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r>
      <w:tr>
        <w:trPr>
          <w:trHeight w:val="20"/>
        </w:trPr>
        <w:tc>
          <w:tcPr>
            <w:tcW w:w="68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2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6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r>
      <w:tr>
        <w:trPr>
          <w:trHeight w:val="223"/>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320" w:type="dxa"/>
            <w:vAlign w:val="bottom"/>
          </w:tcPr>
          <w:p>
            <w:pPr>
              <w:spacing w:after="0"/>
              <w:rPr>
                <w:sz w:val="13"/>
                <w:szCs w:val="13"/>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4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2025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1"/>
        </w:trPr>
        <w:tc>
          <w:tcPr>
            <w:tcW w:w="43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3,905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4,090</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8"/>
              </w:rPr>
              <w:t>8,336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7,413</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(7,602)</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3,820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3,901</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00"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Per Common Unit</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and Note 17 to our Consolidated Financial Statements included in Part IV of our 2024 Annual Report on Form 10-K for a discussion of our Series A preferred units and equity-indexed compensation plan awards. When applying the if-converted method prescribed by FASB guidance, the possible conversion of approximately 63 million and 71 million Series A preferred units, on a weighted-average basis, were excluded from the calculation of diluted net income per common unit for each of the three months ended March 31, 2025 and 2024, respectively,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unit (in millions, except per unit data):</w:t>
      </w:r>
    </w:p>
    <w:p>
      <w:pPr>
        <w:spacing w:after="0" w:line="28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88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Net income allocated to common unitholders </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56"/>
        </w:trPr>
        <w:tc>
          <w:tcPr>
            <w:tcW w:w="3880" w:type="dxa"/>
            <w:vAlign w:val="bottom"/>
            <w:shd w:val="clear" w:color="auto" w:fill="CCEEFF"/>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20" w:hanging="11"/>
        <w:spacing w:after="0" w:line="266" w:lineRule="auto"/>
        <w:rPr>
          <w:sz w:val="20"/>
          <w:szCs w:val="20"/>
          <w:color w:val="auto"/>
        </w:rPr>
      </w:pPr>
      <w:r>
        <w:rPr>
          <w:rFonts w:ascii="Times New Roman" w:cs="Times New Roman" w:eastAsia="Times New Roman" w:hAnsi="Times New Roman"/>
          <w:sz w:val="18"/>
          <w:szCs w:val="18"/>
          <w:color w:val="auto"/>
        </w:rPr>
        <w:t>We repurchased approximately 12.7 million Series A preferred units on January 31, 2025. See Note 6 for additional information.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68" w:lineRule="exact"/>
        <w:rPr>
          <w:sz w:val="20"/>
          <w:szCs w:val="20"/>
          <w:color w:val="auto"/>
        </w:rPr>
      </w:pPr>
    </w:p>
    <w:p>
      <w:pPr>
        <w:ind w:right="100" w:hanging="11"/>
        <w:spacing w:after="0" w:line="261" w:lineRule="auto"/>
        <w:rPr>
          <w:sz w:val="20"/>
          <w:szCs w:val="20"/>
          <w:color w:val="auto"/>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08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6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5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60" w:hanging="652"/>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86" w:lineRule="exact"/>
        <w:rPr>
          <w:sz w:val="20"/>
          <w:szCs w:val="20"/>
          <w:color w:val="auto"/>
        </w:rPr>
      </w:pPr>
    </w:p>
    <w:p>
      <w:pPr>
        <w:jc w:val="right"/>
        <w:ind w:right="30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121" w:right="33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Commercial paper notes, bearing a weighted-average interest rate of 4.6% and 4.6%, respectively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right="460"/>
        <w:spacing w:after="0" w:line="233" w:lineRule="auto"/>
        <w:rPr>
          <w:sz w:val="20"/>
          <w:szCs w:val="20"/>
          <w:color w:val="auto"/>
        </w:rPr>
      </w:pPr>
      <w:r>
        <w:rPr>
          <w:rFonts w:ascii="Times New Roman" w:cs="Times New Roman" w:eastAsia="Times New Roman" w:hAnsi="Times New Roman"/>
          <w:sz w:val="18"/>
          <w:szCs w:val="18"/>
          <w:color w:val="auto"/>
        </w:rPr>
        <w:t xml:space="preserve">Senior notes, net of unamortized discounts and debt issuance costs of $52 and $42, respectively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4"/>
        </w:trPr>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665"/>
        </w:trPr>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4"/>
        </w:trPr>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120" w:hanging="11"/>
        <w:spacing w:after="0" w:line="266" w:lineRule="auto"/>
        <w:rPr>
          <w:sz w:val="20"/>
          <w:szCs w:val="20"/>
          <w:color w:val="auto"/>
        </w:rPr>
      </w:pPr>
      <w:r>
        <w:rPr>
          <w:rFonts w:ascii="Times New Roman" w:cs="Times New Roman" w:eastAsia="Times New Roman" w:hAnsi="Times New Roman"/>
          <w:sz w:val="18"/>
          <w:szCs w:val="18"/>
          <w:color w:val="auto"/>
        </w:rPr>
        <w:t>We classified these commercial paper notes as short-term as of March 31, 2025 and December 31, 2024, as these notes were primarily designated as working capital borrowings, were required to be repaid within one year and were primarily for hedged NGL and crude oil inventory and NYMEX and ICE margin deposits.</w:t>
      </w:r>
    </w:p>
    <w:p>
      <w:pPr>
        <w:spacing w:after="0" w:line="68" w:lineRule="exact"/>
        <w:rPr>
          <w:sz w:val="20"/>
          <w:szCs w:val="20"/>
          <w:color w:val="auto"/>
        </w:rPr>
      </w:pPr>
    </w:p>
    <w:p>
      <w:pPr>
        <w:ind w:right="360" w:hanging="11"/>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we classified our $1.0 billion, 4.65% senior notes due October 2025 as long-term based on our ability and intent to refinance the notes on a long-term basis.</w:t>
      </w:r>
    </w:p>
    <w:p>
      <w:pPr>
        <w:spacing w:after="0" w:line="54" w:lineRule="exact"/>
        <w:rPr>
          <w:sz w:val="20"/>
          <w:szCs w:val="20"/>
          <w:color w:val="auto"/>
        </w:rPr>
      </w:pPr>
    </w:p>
    <w:p>
      <w:pPr>
        <w:ind w:right="80" w:hanging="11"/>
        <w:spacing w:after="0" w:line="255" w:lineRule="auto"/>
        <w:rPr>
          <w:sz w:val="20"/>
          <w:szCs w:val="20"/>
          <w:color w:val="auto"/>
        </w:rPr>
      </w:pPr>
      <w:r>
        <w:rPr>
          <w:rFonts w:ascii="Times New Roman" w:cs="Times New Roman" w:eastAsia="Times New Roman" w:hAnsi="Times New Roman"/>
          <w:sz w:val="18"/>
          <w:szCs w:val="18"/>
          <w:color w:val="auto"/>
        </w:rPr>
        <w:t>Our fixed-rate senior notes had a face value of approximately $8.2 billion and $7.2 billion as of March 31, 2025 and December 31, 2024, respectively. We estimated the aggregate fair value of these notes as of March 31, 2025 and December 31, 2024 to be approximately $7.8 billion and $6.7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January 2025, we completed the offering of $1.0 billion, 5.95% senior notes due June 2035 at a public offering price of 99.761%. Interest payments are due on June 15 and December 15 of each year, commencing on June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our commercial paper program for the three months ended March 31, 2025 and 2024 were approximately $12.9 billion and $9.1 billion, respectively. Total repayments under our commercial paper program were approximately $12.8 billion and $9.0 billion for the three months ended March 31, 2025 and 2024, respectively. The variance in total gross borrowings and repayments is impacted by various business and financial factors including, but not limited to, the timing, average term and method of general partnership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2025 and December 31, 2024, we had outstanding letters of credit of $78 million and $90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preferred and common units: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703,770,300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Repurchase of Series A preferred units</w:t>
            </w: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400" w:type="dxa"/>
            <w:vAlign w:val="bottom"/>
            <w:tcBorders>
              <w:top w:val="single" w:sz="8" w:color="CCEEFF"/>
            </w:tcBorders>
            <w:vMerge w:val="continue"/>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(12,678,560)</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540" w:type="dxa"/>
            <w:vAlign w:val="bottom"/>
            <w:tcBorders>
              <w:top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58,411,908</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703,775,950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400" w:type="dxa"/>
            <w:vAlign w:val="bottom"/>
            <w:tcBorders>
              <w:top w:val="single" w:sz="8" w:color="CCEEFF"/>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701,008,749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400" w:type="dxa"/>
            <w:vAlign w:val="bottom"/>
            <w:tcBorders>
              <w:top w:val="single" w:sz="8" w:color="CCEEFF"/>
              <w:bottom w:val="single" w:sz="8" w:color="CCEEFF"/>
            </w:tcBorders>
            <w:vMerge w:val="continue"/>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701,071,031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Series A Preferred Units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31, 2025, we repurchased approximately 12.7 million of our outstanding Series A preferred units from EnCap Flatrock Midstream at the issue price of $26.25 per unit for a purchase price of approximately $333 million, plus accrued and unpaid distributions through January 30, 2025 of approximately $10 million. EnCap Flatrock Midstream is affiliated with EnCap Investments, L.P., an entity that is associated with a member of the board of directors of PAGP GP. The repurchase also resulted in a reduction to the related Preferred Distribution Rate Reset Option liability. See Note 12 to our Consolidated Financial Statements included in Part IV of our 2024 Annual Report on Form 10-K for additional information regarding the Preferred Distribution Rate Reset Option. The difference between the cash we paid for the repurchase of such units and their carrying value on our balance sheet was $43 million. Such amount was considered a return to Series A preferred unitholders and thus reduced amounts attributable to our common unitholders in our Condensed Consolidated Statement of Changes in Partners’ Capital and the calculation of net income per common unit.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A Preferred Unit Distributions</w:t>
      </w:r>
      <w:r>
        <w:rPr>
          <w:rFonts w:ascii="Times New Roman" w:cs="Times New Roman" w:eastAsia="Times New Roman" w:hAnsi="Times New Roman"/>
          <w:sz w:val="18"/>
          <w:szCs w:val="18"/>
          <w:color w:val="auto"/>
        </w:rPr>
        <w:t>. Distributions on the Series A preferred units accumulate and are payable quarterly within 45 days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each quarter. See Note 11 to our Consolidated Financial Statements included in Part IV of our 2024 Annual Report on Form 10-K for additional information regarding Series A preferred unit distributions. The following table details distributions to our Series A preferred unitholders paid during or pertaining to the first three months of 2025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6"/>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5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760" w:type="dxa"/>
            <w:vAlign w:val="bottom"/>
          </w:tcPr>
          <w:p>
            <w:pPr>
              <w:spacing w:after="0"/>
              <w:rPr>
                <w:sz w:val="2"/>
                <w:szCs w:val="2"/>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gridSpan w:val="2"/>
            <w:vMerge w:val="continue"/>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24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May 15, 2025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March 31,</w:t>
            </w:r>
          </w:p>
        </w:tc>
        <w:tc>
          <w:tcPr>
            <w:tcW w:w="17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December</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31, 2024</w:t>
            </w:r>
          </w:p>
        </w:tc>
        <w:tc>
          <w:tcPr>
            <w:tcW w:w="120" w:type="dxa"/>
            <w:vAlign w:val="bottom"/>
          </w:tcPr>
          <w:p>
            <w:pPr>
              <w:spacing w:after="0"/>
              <w:rPr>
                <w:sz w:val="19"/>
                <w:szCs w:val="19"/>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2025, such amount was accrued as distributions payable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Series B Preferred Unit Distributions</w:t>
      </w:r>
      <w:r>
        <w:rPr>
          <w:rFonts w:ascii="Times New Roman" w:cs="Times New Roman" w:eastAsia="Times New Roman" w:hAnsi="Times New Roman"/>
          <w:sz w:val="17"/>
          <w:szCs w:val="17"/>
          <w:color w:val="auto"/>
        </w:rPr>
        <w:t>. Distributions on the Series B preferred units accumulate and are payable quarterly in arrears on the 15th 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February, May, August and November. See Note 11 to our Consolidated Financial Statements included in Part IV of our 2024 Annual Report on Form</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10-K for additional information regarding Series B preferred unit distributions. The following table details distributions paid or to be paid to our Series B preferred unitholders (in millions, except per unit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20" w:type="dxa"/>
            <w:vAlign w:val="bottom"/>
          </w:tcPr>
          <w:p>
            <w:pPr>
              <w:spacing w:after="0"/>
              <w:rPr>
                <w:sz w:val="18"/>
                <w:szCs w:val="18"/>
                <w:color w:val="auto"/>
              </w:rPr>
            </w:pPr>
          </w:p>
        </w:tc>
        <w:tc>
          <w:tcPr>
            <w:tcW w:w="23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r>
      <w:tr>
        <w:trPr>
          <w:trHeight w:val="48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May 15, 2025 </w:t>
            </w:r>
            <w:r>
              <w:rPr>
                <w:rFonts w:ascii="Times New Roman" w:cs="Times New Roman" w:eastAsia="Times New Roman" w:hAnsi="Times New Roman"/>
                <w:sz w:val="23"/>
                <w:szCs w:val="23"/>
                <w:color w:val="auto"/>
                <w:vertAlign w:val="superscript"/>
              </w:rPr>
              <w:t>(2)</w:t>
            </w: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w:t>
            </w:r>
          </w:p>
        </w:tc>
      </w:tr>
      <w:tr>
        <w:trPr>
          <w:trHeight w:val="35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2025</w:t>
            </w: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29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75"/>
        </w:trPr>
        <w:tc>
          <w:tcPr>
            <w:tcW w:w="28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15, 2025 through May 14,</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180"/>
        </w:trPr>
        <w:tc>
          <w:tcPr>
            <w:tcW w:w="2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November 15, 2024 through February</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14, 2025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-539115</wp:posOffset>
            </wp:positionV>
            <wp:extent cx="7132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120"/>
            <w:col w:w="6260"/>
          </w:cols>
          <w:pgMar w:left="320" w:top="121"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ind w:left="20" w:right="20" w:hanging="11"/>
        <w:spacing w:after="0" w:line="282" w:lineRule="auto"/>
        <w:rPr>
          <w:sz w:val="20"/>
          <w:szCs w:val="20"/>
          <w:color w:val="auto"/>
        </w:rPr>
      </w:pPr>
      <w:r>
        <w:rPr>
          <w:rFonts w:ascii="Times New Roman" w:cs="Times New Roman" w:eastAsia="Times New Roman" w:hAnsi="Times New Roman"/>
          <w:sz w:val="18"/>
          <w:szCs w:val="18"/>
          <w:color w:val="auto"/>
        </w:rPr>
        <w:t>At March 31, 2025, approximately $9 million of accrued distributions payable to our Series B preferred unitholders was included in “Other current liabilities” on our Condensed Consolidated Balance Sheet.</w:t>
      </w:r>
    </w:p>
    <w:p>
      <w:pPr>
        <w:spacing w:after="0" w:line="187"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firstLine="648"/>
        <w:spacing w:after="0" w:line="279" w:lineRule="auto"/>
        <w:rPr>
          <w:sz w:val="20"/>
          <w:szCs w:val="20"/>
          <w:color w:val="auto"/>
        </w:rPr>
      </w:pPr>
      <w:r>
        <w:rPr>
          <w:rFonts w:ascii="Times New Roman" w:cs="Times New Roman" w:eastAsia="Times New Roman" w:hAnsi="Times New Roman"/>
          <w:sz w:val="18"/>
          <w:szCs w:val="18"/>
          <w:i w:val="1"/>
          <w:iCs w:val="1"/>
          <w:color w:val="auto"/>
        </w:rPr>
        <w:t>Common Unit Distributions</w:t>
      </w:r>
      <w:r>
        <w:rPr>
          <w:rFonts w:ascii="Times New Roman" w:cs="Times New Roman" w:eastAsia="Times New Roman" w:hAnsi="Times New Roman"/>
          <w:sz w:val="18"/>
          <w:szCs w:val="18"/>
          <w:color w:val="auto"/>
        </w:rPr>
        <w:t>. The following table details distributions to our common unitholders paid during or pertaining to the first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(in millions, except per unit data):</w:t>
      </w: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1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Distribution per</w:t>
            </w:r>
          </w:p>
        </w:tc>
      </w:tr>
      <w:tr>
        <w:trPr>
          <w:trHeight w:val="198"/>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8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AAP</w:t>
            </w:r>
          </w:p>
        </w:tc>
        <w:tc>
          <w:tcPr>
            <w:tcW w:w="20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Common Unit</w:t>
            </w:r>
          </w:p>
        </w:tc>
      </w:tr>
      <w:tr>
        <w:trPr>
          <w:trHeight w:val="228"/>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176"/>
        </w:trPr>
        <w:tc>
          <w:tcPr>
            <w:tcW w:w="1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100"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noncontrolling interests in our subsidiaries consisted of (i) a 35% interest in Plains Oryx Permian Basin LLC (the “Permian JV”), (ii) a 30% interest in Cactus II Pipeline LLC (“Cactus II”) and (iii) a 33% interest in Red River Pipeline Company LLC (“Red River”).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noncontrolling interests during the periods presented (in millions):</w:t>
      </w:r>
    </w:p>
    <w:p>
      <w:pPr>
        <w:spacing w:after="0" w:line="278"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6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7—Derivatives and Risk Management Activities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jc w:val="both"/>
        <w:ind w:right="120" w:firstLine="607"/>
        <w:spacing w:after="0" w:line="289" w:lineRule="auto"/>
        <w:rPr>
          <w:sz w:val="20"/>
          <w:szCs w:val="20"/>
          <w:color w:val="auto"/>
        </w:rPr>
      </w:pPr>
      <w:r>
        <w:rPr>
          <w:rFonts w:ascii="Times New Roman" w:cs="Times New Roman" w:eastAsia="Times New Roman" w:hAnsi="Times New Roman"/>
          <w:sz w:val="17"/>
          <w:szCs w:val="17"/>
          <w:color w:val="auto"/>
        </w:rPr>
        <w:t>At March 31, 2025 and December 31,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in certain circumstances, to optimize profits. As of March 31, 2025, net derivative positions related to these activities included:</w:t>
      </w:r>
    </w:p>
    <w:p>
      <w:pPr>
        <w:spacing w:after="0" w:line="162" w:lineRule="exact"/>
        <w:rPr>
          <w:sz w:val="20"/>
          <w:szCs w:val="20"/>
          <w:color w:val="auto"/>
        </w:rPr>
      </w:pPr>
    </w:p>
    <w:p>
      <w:pPr>
        <w:ind w:left="980" w:right="32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8.5 million barrels associated with our crude oil purchases, which was unwound ratably during April 2025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2.2 million barrels, which hedges a portion of our anticipated crude oil lease gathering purchases through February 2026.</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0.2 million barrels at multiple locations through December 2025.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8.2 million barrels through December 2029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2180" w:type="dxa"/>
            <w:vAlign w:val="bottom"/>
          </w:tcPr>
          <w:p>
            <w:pPr>
              <w:spacing w:after="0"/>
              <w:rPr>
                <w:sz w:val="16"/>
                <w:szCs w:val="16"/>
                <w:color w:val="auto"/>
              </w:rPr>
            </w:pPr>
          </w:p>
        </w:tc>
      </w:tr>
      <w:tr>
        <w:trPr>
          <w:trHeight w:val="203"/>
        </w:trPr>
        <w:tc>
          <w:tcPr>
            <w:tcW w:w="6700" w:type="dxa"/>
            <w:vAlign w:val="bottom"/>
          </w:tcPr>
          <w:p>
            <w:pPr>
              <w:spacing w:after="0"/>
              <w:rPr>
                <w:sz w:val="17"/>
                <w:szCs w:val="17"/>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r>
      <w:tr>
        <w:trPr>
          <w:trHeight w:val="23"/>
        </w:trPr>
        <w:tc>
          <w:tcPr>
            <w:tcW w:w="67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purchases</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 Bcf</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Propane sales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(7.8)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Butane sales</w:t>
            </w:r>
          </w:p>
        </w:tc>
        <w:tc>
          <w:tcPr>
            <w:tcW w:w="2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(0.9) MMbls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 sales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(1.8)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2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1.6 Bcf</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30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1.9 TWh</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79"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from commodity derivative activity</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53</w:t>
            </w:r>
          </w:p>
        </w:tc>
      </w:tr>
      <w:tr>
        <w:trPr>
          <w:trHeight w:val="28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w:t>
            </w:r>
          </w:p>
        </w:tc>
        <w:tc>
          <w:tcPr>
            <w:tcW w:w="200" w:type="dxa"/>
            <w:vAlign w:val="bottom"/>
          </w:tcPr>
          <w:p>
            <w:pPr>
              <w:spacing w:after="0"/>
              <w:rPr>
                <w:sz w:val="24"/>
                <w:szCs w:val="24"/>
                <w:color w:val="auto"/>
              </w:rPr>
            </w:pPr>
          </w:p>
        </w:tc>
        <w:tc>
          <w:tcPr>
            <w:tcW w:w="106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w w:val="99"/>
              </w:rPr>
              <w:t>49</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(30)</w:t>
            </w:r>
          </w:p>
        </w:tc>
      </w:tr>
      <w:tr>
        <w:trPr>
          <w:trHeight w:val="22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9"/>
              </w:rPr>
              <w:t>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1"/>
                <w:szCs w:val="11"/>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21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March 31, 2025 (notional amounts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5"/>
        </w:trPr>
        <w:tc>
          <w:tcPr>
            <w:tcW w:w="27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2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ind w:right="339"/>
              <w:spacing w:after="0" w:line="176" w:lineRule="exact"/>
              <w:rPr>
                <w:sz w:val="20"/>
                <w:szCs w:val="20"/>
                <w:color w:val="auto"/>
              </w:rPr>
            </w:pPr>
            <w:r>
              <w:rPr>
                <w:rFonts w:ascii="Times New Roman" w:cs="Times New Roman" w:eastAsia="Times New Roman" w:hAnsi="Times New Roman"/>
                <w:sz w:val="18"/>
                <w:szCs w:val="18"/>
                <w:color w:val="auto"/>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3.09%</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(30-year)</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4 forward starting swaps</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5"/>
                <w:szCs w:val="15"/>
                <w:color w:val="auto"/>
              </w:rPr>
            </w:pPr>
          </w:p>
        </w:tc>
        <w:tc>
          <w:tcPr>
            <w:tcW w:w="1560" w:type="dxa"/>
            <w:vAlign w:val="bottom"/>
          </w:tcPr>
          <w:p>
            <w:pPr>
              <w:jc w:val="right"/>
              <w:ind w:right="299"/>
              <w:spacing w:after="0" w:line="176" w:lineRule="exact"/>
              <w:rPr>
                <w:sz w:val="20"/>
                <w:szCs w:val="20"/>
                <w:color w:val="auto"/>
              </w:rPr>
            </w:pPr>
            <w:r>
              <w:rPr>
                <w:rFonts w:ascii="Times New Roman" w:cs="Times New Roman" w:eastAsia="Times New Roman" w:hAnsi="Times New Roman"/>
                <w:sz w:val="18"/>
                <w:szCs w:val="18"/>
                <w:color w:val="auto"/>
              </w:rPr>
              <w:t>10/15/2025</w:t>
            </w:r>
          </w:p>
        </w:tc>
        <w:tc>
          <w:tcPr>
            <w:tcW w:w="10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3.76%</w:t>
            </w:r>
          </w:p>
        </w:tc>
        <w:tc>
          <w:tcPr>
            <w:tcW w:w="10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(30-year)</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there was a net loss of $44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March 31, 2025; thus, actual amounts to be reclassified will differ and could vary materially as a result of changes in market conditions.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4" w:lineRule="exact"/>
        <w:rPr>
          <w:sz w:val="20"/>
          <w:szCs w:val="20"/>
          <w:color w:val="auto"/>
        </w:rPr>
      </w:pPr>
    </w:p>
    <w:p>
      <w:pPr>
        <w:ind w:left="908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48" w:lineRule="exact"/>
        <w:rPr>
          <w:sz w:val="20"/>
          <w:szCs w:val="20"/>
          <w:color w:val="auto"/>
        </w:rPr>
      </w:pPr>
    </w:p>
    <w:p>
      <w:pPr>
        <w:ind w:left="20"/>
        <w:spacing w:after="0"/>
        <w:tabs>
          <w:tab w:leader="none" w:pos="8600" w:val="left"/>
          <w:tab w:leader="none" w:pos="9600" w:val="left"/>
          <w:tab w:leader="none" w:pos="9960" w:val="left"/>
          <w:tab w:leader="none" w:pos="10960" w:val="left"/>
        </w:tabs>
        <w:rPr>
          <w:sz w:val="20"/>
          <w:szCs w:val="20"/>
          <w:color w:val="auto"/>
        </w:rPr>
      </w:pPr>
      <w:r>
        <w:rPr>
          <w:rFonts w:ascii="Times New Roman" w:cs="Times New Roman" w:eastAsia="Times New Roman" w:hAnsi="Times New Roman"/>
          <w:sz w:val="18"/>
          <w:szCs w:val="18"/>
          <w:color w:val="auto"/>
        </w:rPr>
        <w:t>Interest rate derivatives,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w:t>
        <w:tab/>
        <w:t>$</w:t>
      </w:r>
      <w:r>
        <w:rPr>
          <w:sz w:val="20"/>
          <w:szCs w:val="20"/>
          <w:color w:val="auto"/>
        </w:rPr>
        <w:tab/>
      </w: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At March 31, 2025, the net fair value of our interest rate hedges, which was included in “Other current assets” and “Other long-term assets, net” on our Condensed Consolidated Balance Sheet, totaled $1 million and $24 million, respectively. At December 31, 2024, the net fair value of our interest rate hedges, which was included in “Other long-term assets, net” on our Condensed Consolidated Balance Sheet, totaled $27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6"/>
                <w:szCs w:val="16"/>
                <w:color w:val="auto"/>
              </w:rPr>
            </w:pPr>
          </w:p>
        </w:tc>
        <w:tc>
          <w:tcPr>
            <w:tcW w:w="316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as of March 31, 2025</w:t>
            </w:r>
          </w:p>
        </w:tc>
        <w:tc>
          <w:tcPr>
            <w:tcW w:w="200" w:type="dxa"/>
            <w:vAlign w:val="bottom"/>
          </w:tcPr>
          <w:p>
            <w:pPr>
              <w:spacing w:after="0"/>
              <w:rPr>
                <w:sz w:val="16"/>
                <w:szCs w:val="16"/>
                <w:color w:val="auto"/>
              </w:rPr>
            </w:pPr>
          </w:p>
        </w:tc>
        <w:tc>
          <w:tcPr>
            <w:tcW w:w="2940" w:type="dxa"/>
            <w:vAlign w:val="bottom"/>
            <w:gridSpan w:val="7"/>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0" w:type="dxa"/>
            <w:vAlign w:val="bottom"/>
          </w:tcPr>
          <w:p>
            <w:pPr>
              <w:spacing w:after="0"/>
              <w:rPr>
                <w:sz w:val="1"/>
                <w:szCs w:val="1"/>
                <w:color w:val="auto"/>
              </w:rPr>
            </w:pPr>
          </w:p>
        </w:tc>
      </w:tr>
      <w:tr>
        <w:trPr>
          <w:trHeight w:val="23"/>
        </w:trPr>
        <w:tc>
          <w:tcPr>
            <w:tcW w:w="47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3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29" w:lineRule="exact"/>
        <w:rPr>
          <w:rFonts w:ascii="Times New Roman" w:cs="Times New Roman" w:eastAsia="Times New Roman" w:hAnsi="Times New Roman"/>
          <w:sz w:val="23"/>
          <w:szCs w:val="23"/>
          <w:color w:val="auto"/>
          <w:vertAlign w:val="superscript"/>
        </w:rPr>
      </w:pPr>
    </w:p>
    <w:p>
      <w:pPr>
        <w:ind w:left="660" w:right="4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8—Related Party Transactions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2024 Annual Report on Form 10-K for a complete discussion of related parties, including the determination of our related parties and nature of involvement with such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our General Partner</w:t>
      </w:r>
    </w:p>
    <w:p>
      <w:pPr>
        <w:spacing w:after="0" w:line="256"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color w:val="auto"/>
        </w:rPr>
        <w:t>In February 2025, a consolidated subsidiary issued an additional unsecured promissory note to PAGP with a face value of CAD$473 million (approximately $330 million). Concurrently, PAGP issued an unsecured promissory note to us for the same face value amount. These notes are due June 2035 and bear interest at a rate of 5.75% per annum, payable semi-annually. The interest rate for such notes was determined in accordance with the arm’s-length principle set forth in the OECD Guidelines and the transfer pricing provisions of Section 247 of Canada’s Income Tax Act. In connection with the issuance of these related party notes, we received cash from PAGP of approximately $330 million, which is reflected in “Proceeds from the issuance of related party notes” (a component of cash flows from financing activities), and we paid an equal and offsetting amount of cash to PAGP, which is reflected in “Investments in related party notes” (a component of cash flows from investing activities) on our Condensed Consolidated Statement of Cash Flows.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unpaid interest receivable/payable was $8 million and $27 million as of March 31, 2025 and December 31,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income/expense on the related party notes totaled $20 million and $8 million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our outstanding related party notes receivable and related party notes payable balances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Related party notes receivable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30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Related party notes payable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9" w:lineRule="exact"/>
        <w:rPr>
          <w:sz w:val="20"/>
          <w:szCs w:val="20"/>
          <w:color w:val="auto"/>
        </w:rPr>
      </w:pPr>
    </w:p>
    <w:p>
      <w:pPr>
        <w:ind w:left="660" w:right="580" w:hanging="652"/>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elected to present our related party notes with the same counterparty on a net basis on our Condensed Consolidated Balance Sheet because there is a legal right to offset and we intend to offset with the counterparty.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8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37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75"/>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17" w:lineRule="exact"/>
        <w:rPr>
          <w:sz w:val="20"/>
          <w:szCs w:val="20"/>
          <w:color w:val="auto"/>
        </w:rPr>
      </w:pPr>
    </w:p>
    <w:p>
      <w:pPr>
        <w:ind w:left="660" w:right="100" w:hanging="652"/>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90"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1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estimated undiscounted reserves for environmental liabilities (excluding liabilities related to the Line 901 incident, as discussed further below) were reflected on our Condensed Consolidated Balance Sheets as follows (in millions):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release of crude oil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Effective as of March 31, 2025, we estimate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4"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did not recognize any costs, net of amounts probable of recovery from insurance (as applicable), during the three months ended March 31, 2025 and 2024. As of March 31, 2025 and December 31, 2024, we had a remaining undiscounted gross liability of approximately $4 million and $5 million, respectively, related to the Line 901 incident, which aggregate amounts are reflected in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insurance coverage, which is subject to certain exclusions and deductibles, in the event of such liabilities. To date, we have collected $275 million of the $500 million available under our 2015 insurance program. We have submitted insurance claims seeking reimbursement for additional legal fees and settlements relating to the Line 901 incident. Such claims, in the aggregate, exceed the $225 million of insurance coverage remaining under the 2015 program. Since we lack certainty at this time as to if or when these claims will be reimbursed by the carriers, we have elected not to accrue for a receivable in connection with these claims. As such, with respect to the Line 901 incident, we do not have any amounts recorded as receivables that are recognized on our Condensed Consolidated Balance Sheets as of March 31, 2025 and December 31, 2024.</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with respect to the Line 901 incident; however, we expect to make payments for additional legal, professional and regulatory costs during future periods. The remaining Line 901 lawsuits include various lawsuits filed in California Superior Court in Santa Barbara County by (i) companies and individuals who provided labor, goods, or services associated with oil production activities they claim were disrupted following the Line 901 incident, and (ii) a landowner on an adjacent pipeline alleging property damage from the “stigma” of the Line 901 incident. We are vigorously defending these remaining lawsuits, which have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1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L48 Pipeline Release. </w:t>
      </w:r>
      <w:r>
        <w:rPr>
          <w:rFonts w:ascii="Times New Roman" w:cs="Times New Roman" w:eastAsia="Times New Roman" w:hAnsi="Times New Roman"/>
          <w:sz w:val="18"/>
          <w:szCs w:val="18"/>
          <w:color w:val="auto"/>
        </w:rPr>
        <w:t>In March of 2025, our subsidiary, Pacific Pipeline System LLC, experienced a crude oil release of approximately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March 31, 2025, we incurred $12 million in connection with clean-up and remediation activities.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Hartree. </w:t>
      </w:r>
      <w:r>
        <w:rPr>
          <w:rFonts w:ascii="Times New Roman" w:cs="Times New Roman" w:eastAsia="Times New Roman" w:hAnsi="Times New Roman"/>
          <w:sz w:val="18"/>
          <w:szCs w:val="18"/>
          <w:color w:val="auto"/>
        </w:rPr>
        <w:t>On July 19, 2022, Hartree Natural Gas Storage, LLC (“Hartree”) filed a lawsuit under seal in the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Louisiana Coastal Erosion Lawsuit. </w:t>
      </w:r>
      <w:r>
        <w:rPr>
          <w:rFonts w:ascii="Times New Roman" w:cs="Times New Roman" w:eastAsia="Times New Roman" w:hAnsi="Times New Roman"/>
          <w:sz w:val="18"/>
          <w:szCs w:val="18"/>
          <w:color w:val="auto"/>
        </w:rPr>
        <w:t>Various coastal parishes, the State of Louisiana and some of its departments have filed lawsuits in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24th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believe the claims in the lawsuit lack merit and intend to vigorously defend this lawsuit in coordination with the other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10—Segment Information</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6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(8)</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(9)</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(10) (11)</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(11)</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905"/>
        </w:trPr>
        <w:tc>
          <w:tcPr>
            <w:tcW w:w="5000" w:type="dxa"/>
            <w:vAlign w:val="bottom"/>
          </w:tcPr>
          <w:p>
            <w:pPr>
              <w:spacing w:after="0"/>
              <w:rPr>
                <w:sz w:val="24"/>
                <w:szCs w:val="24"/>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(12)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(9)</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(10) (11)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459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63"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20" w:hanging="11"/>
        <w:spacing w:after="0" w:line="254"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ind w:left="660" w:right="40" w:hanging="652"/>
        <w:spacing w:after="0" w:line="244" w:lineRule="auto"/>
        <w:tabs>
          <w:tab w:leader="none" w:pos="64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2024 Annual Report on Form 10-K for a discussion regarding our equity-indexed compensation plans.</w:t>
      </w:r>
    </w:p>
    <w:p>
      <w:pPr>
        <w:sectPr>
          <w:pgSz w:w="11900" w:h="16838" w:orient="portrait"/>
          <w:cols w:equalWidth="0" w:num="1">
            <w:col w:w="11240"/>
          </w:cols>
          <w:pgMar w:left="320" w:top="121"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Primarily related to acquisitions completed during the first quarter of 2025. See Note 11 for information regarding these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combined represent total capital expenditures.</w:t>
      </w:r>
    </w:p>
    <w:p>
      <w:pPr>
        <w:spacing w:after="0" w:line="117"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ind w:left="660" w:hanging="652"/>
        <w:spacing w:after="0" w:line="251" w:lineRule="auto"/>
        <w:tabs>
          <w:tab w:leader="none" w:pos="652"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PAA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8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87"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Ironwood Midstream</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Ironwood Midstream</w:t>
      </w:r>
      <w:r>
        <w:rPr>
          <w:rFonts w:ascii="Times New Roman" w:cs="Times New Roman" w:eastAsia="Times New Roman" w:hAnsi="Times New Roman"/>
          <w:sz w:val="18"/>
          <w:szCs w:val="18"/>
          <w:color w:val="auto"/>
        </w:rPr>
        <w:t>. On January 31, 2025, we acquired Ironwood Midstream Energy Partners II, LLC (“Ironwood Midstream”), which owns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the board of directors of PAGP GP. See Note 6 for additional information.</w:t>
      </w:r>
    </w:p>
    <w:p>
      <w:pPr>
        <w:spacing w:after="0" w:line="2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 is a Level 3 measurement in the fair value hierarchy and was determined using a cost approach for tangible assets, which was based on costs incurred on similar recent construction projects,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$1 million during the three months ended March 31, 2025, and the future amortization expense for the remainder of 2025 through 2029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Medallion Midstream</w:t>
      </w:r>
      <w:r>
        <w:rPr>
          <w:rFonts w:ascii="Times New Roman" w:cs="Times New Roman" w:eastAsia="Times New Roman" w:hAnsi="Times New Roman"/>
          <w:sz w:val="18"/>
          <w:szCs w:val="18"/>
          <w:color w:val="auto"/>
        </w:rPr>
        <w:t>. In January 2025, we acquired EMG Medallion 2 Holdings, LLC and its subsidiaries, which own a crude oil gathering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business in the Delaware Basin, for $163 million (approximately $106 million net to our 65% interest in the Permian JV), subject to certain adjustments. A cash deposit of approximately $16 million was paid upon signing in December 2024. The Medallion Midstream acquisition is accounted for in our Crude Oil segment. EMG Medallion 2 Holdings, LLC was a portfolio company of The Energy &amp; Minerals Group (“EMG”), which is associated with a member of the board of directors of PAGP GP.</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Cheyenne Pipeline LLC</w:t>
      </w:r>
      <w:r>
        <w:rPr>
          <w:rFonts w:ascii="Times New Roman" w:cs="Times New Roman" w:eastAsia="Times New Roman" w:hAnsi="Times New Roman"/>
          <w:sz w:val="18"/>
          <w:szCs w:val="18"/>
          <w:color w:val="auto"/>
        </w:rPr>
        <w:t>. In February 2025, through a non-monetary transaction, we acquired the remaining 50% interest in Cheyenne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(“Cheyenne”) in exchange for the termination of certain obligations. The transaction resulted in a net gain of approximately $31 million, which represents the difference between the fair value of the entity and the historical book value of our investment. This gain is reflected in “Gain on investments in unconsolidated entities, net” on our Condensed Consolidated Statement of Operations. Prior to this transaction, our 50% interest in Cheyenne was accounted for as an equity method investment, reported in our Crude Oil segment.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recognized net income attributable to PAA of $443 million for the three months ended March 31, 2025 compared to net income attributable to PAA of $266 million for the first three months of 2024. The increase in net income attributable to PAA was largely driven by fluctuations of derivative mark-to-market valuations, as well as higher Segment Adjusted EBITDA in the 2025 period due to more favorable results from our Crude Oil and NGL segments. 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income/(expense), net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51"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42" w:lineRule="exact"/>
        <w:rPr>
          <w:sz w:val="20"/>
          <w:szCs w:val="20"/>
          <w:color w:val="auto"/>
        </w:rPr>
      </w:pPr>
    </w:p>
    <w:p>
      <w:pPr>
        <w:ind w:left="660" w:right="120" w:hanging="652"/>
        <w:spacing w:after="0" w:line="212"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net” and “Other income/(expense), net” each include $20 million for the three months ended March 31, 2025 related to interest on promissory notes by and among PAA and certain Plains entities.</w:t>
      </w:r>
    </w:p>
    <w:p>
      <w:pPr>
        <w:spacing w:after="0" w:line="27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and our NGL sales are indexed to Mont Belvieu prices. The following table presents the range of the NYMEX Price over the last two years (in dollars per barrel):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(including the impact of derivative mark-to-market valuations), services revenues and purchases for the three months ended March 31, 2025 were all relatively in line with the same metrics for the three months ended March 31, 2024.</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further discussion of our net revenues (defined as revenues less purchases and related costs) in the “—Analysis of Operating Segments” section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March 31, 2025 compared to the same period in 2024 was primarily due to transaction costs associated with our recent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recognized a net gain of $31 million related to our acquisition of the remaining 50% interest in Cheyenne in the first quarter of 2025. See Note 11 to our Condensed Consolidated Financial Statements for additional information regarding this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 and Other Income/(Expense), Net</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“Interest expense, net” and “Other income/(expense), net” each include interest expense and interest income associated with promissory notes payable and receivable by and among PAA and certain Plains entities. These amounts are excluded from our non-GAAP performance measures Adjusted EBITDA and Implied DCF. As such, the interest expense and interest income associated with these notes is presented on a net basis in the reconciliation of these metrics to Net Income. See the “—Non-GAAP Financial Measures” section below.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on third-party borrowings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on related party promissory notes </w:t>
            </w:r>
            <w:r>
              <w:rPr>
                <w:rFonts w:ascii="Times New Roman" w:cs="Times New Roman" w:eastAsia="Times New Roman" w:hAnsi="Times New Roman"/>
                <w:sz w:val="23"/>
                <w:szCs w:val="23"/>
                <w:color w:val="auto"/>
                <w:vertAlign w:val="superscript"/>
              </w:rPr>
              <w:t>(2)</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95</w:t>
            </w: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17" w:lineRule="exact"/>
        <w:rPr>
          <w:sz w:val="20"/>
          <w:szCs w:val="20"/>
          <w:color w:val="auto"/>
        </w:rPr>
      </w:pPr>
    </w:p>
    <w:p>
      <w:pPr>
        <w:ind w:left="660" w:right="120" w:hanging="652"/>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for the 2025 period compared to the same period in 2024 was primarily driven by our issuance of $1.0 billion, 5.95% senior notes in January 2025. See Note 5 to our Condensed Consolidated Financial Statements for additional information regarding our senior notes.</w:t>
      </w:r>
    </w:p>
    <w:p>
      <w:pPr>
        <w:spacing w:after="0" w:line="6"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interest expense associated with promissory notes by and among PAA and certain Plains entities, as described above.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income on related party promissory notes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from other sources</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on foreign currency revaluation </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interest income associated with promissory notes by and among PAA and certain Plains entities, as described above.</w:t>
      </w:r>
    </w:p>
    <w:p>
      <w:pPr>
        <w:spacing w:after="0" w:line="63" w:lineRule="exact"/>
        <w:rPr>
          <w:sz w:val="20"/>
          <w:szCs w:val="20"/>
          <w:color w:val="auto"/>
        </w:rPr>
      </w:pPr>
    </w:p>
    <w:p>
      <w:pPr>
        <w:ind w:left="20" w:right="120" w:hanging="11"/>
        <w:spacing w:after="0" w:line="282" w:lineRule="auto"/>
        <w:rPr>
          <w:sz w:val="20"/>
          <w:szCs w:val="20"/>
          <w:color w:val="auto"/>
        </w:rPr>
      </w:pPr>
      <w:r>
        <w:rPr>
          <w:rFonts w:ascii="Times New Roman" w:cs="Times New Roman" w:eastAsia="Times New Roman" w:hAnsi="Times New Roman"/>
          <w:sz w:val="18"/>
          <w:szCs w:val="18"/>
          <w:color w:val="auto"/>
        </w:rPr>
        <w:t>The activity during the periods presented was primarily related to the impact from the change in the CAD to USD exchange rate on the portion of our intercompany net investment that is not long-term in nature.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net unfavorable income tax variance for the three months ended March 31, 2025 compared to the same period in 2024 was primarily due to higher year-over-year income within our Canadian operations as impacted by fluctuations of derivative mark-to-market valuations.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decrease in amounts attributable to noncontrolling interests for the three months ended March 31, 2025 compared to the same period in 2024 was primarily due to lower income recognized by the Permian JV in the 2025 period driven by additional depreciation and amortization associated with recent acquisitions.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gains or losses on investments in unconsolidated entities and interest income on promissory notes by and among PAA and certain Plains entities, adjusted for certain selected items impacting comparability. Adjusted EBITDA attributable to PAA excludes the portion of Adjusted EBITDA that is attributable to noncontrolling interests.</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non-GAAP financial performance measures Adjusted EBITDA, Adjusted EBITDA attributable to PAA and Implied DCF to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60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items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asset sales,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02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Segment Adjusted EBITDA </w:t>
            </w:r>
            <w:r>
              <w:rPr>
                <w:rFonts w:ascii="Times New Roman" w:cs="Times New Roman" w:eastAsia="Times New Roman" w:hAnsi="Times New Roman"/>
                <w:sz w:val="23"/>
                <w:szCs w:val="23"/>
                <w:color w:val="auto"/>
                <w:vertAlign w:val="superscript"/>
              </w:rPr>
              <w:t>(3)</w:t>
            </w: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(4)</w:t>
            </w:r>
          </w:p>
        </w:tc>
        <w:tc>
          <w:tcPr>
            <w:tcW w:w="8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(5)</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gridSpan w:val="3"/>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w:t>
            </w:r>
          </w:p>
        </w:tc>
        <w:tc>
          <w:tcPr>
            <w:tcW w:w="8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noncontrolling interests </w:t>
            </w:r>
            <w:r>
              <w:rPr>
                <w:rFonts w:ascii="Times New Roman" w:cs="Times New Roman" w:eastAsia="Times New Roman" w:hAnsi="Times New Roman"/>
                <w:sz w:val="23"/>
                <w:szCs w:val="23"/>
                <w:color w:val="auto"/>
                <w:vertAlign w:val="superscript"/>
              </w:rPr>
              <w:t>(6)</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8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 (7)</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Pr>
          <w:p>
            <w:pPr>
              <w:spacing w:after="0"/>
              <w:rPr>
                <w:sz w:val="19"/>
                <w:szCs w:val="19"/>
                <w:color w:val="auto"/>
              </w:rPr>
            </w:pPr>
          </w:p>
        </w:tc>
        <w:tc>
          <w:tcPr>
            <w:tcW w:w="80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40" w:type="dxa"/>
            <w:vAlign w:val="bottom"/>
            <w:gridSpan w:val="2"/>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602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non-cash and other items </w:t>
            </w:r>
            <w:r>
              <w:rPr>
                <w:rFonts w:ascii="Times New Roman" w:cs="Times New Roman" w:eastAsia="Times New Roman" w:hAnsi="Times New Roman"/>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0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(9)</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602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Investment capital of noncontrolling interests </w:t>
            </w:r>
            <w:r>
              <w:rPr>
                <w:rFonts w:ascii="Times New Roman" w:cs="Times New Roman" w:eastAsia="Times New Roman" w:hAnsi="Times New Roman"/>
                <w:sz w:val="23"/>
                <w:szCs w:val="23"/>
                <w:color w:val="auto"/>
                <w:vertAlign w:val="superscript"/>
              </w:rPr>
              <w:t>(10)</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75"/>
        </w:trPr>
        <w:tc>
          <w:tcPr>
            <w:tcW w:w="602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 excess of/(less than) adjusted</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gridSpan w:val="3"/>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(11)</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(12)</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0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(12)</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Available to Common Unitholders</w:t>
            </w:r>
          </w:p>
        </w:tc>
        <w:tc>
          <w:tcPr>
            <w:tcW w:w="80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(12)</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tcBorders>
              <w:bottom w:val="single" w:sz="8" w:color="CCEEFF"/>
            </w:tcBorders>
            <w:gridSpan w:val="3"/>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Excess </w:t>
            </w:r>
            <w:r>
              <w:rPr>
                <w:rFonts w:ascii="Times New Roman" w:cs="Times New Roman" w:eastAsia="Times New Roman" w:hAnsi="Times New Roman"/>
                <w:sz w:val="23"/>
                <w:szCs w:val="23"/>
                <w:color w:val="auto"/>
                <w:vertAlign w:val="superscript"/>
              </w:rPr>
              <w:t>(13)</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56" w:lineRule="exact"/>
        <w:rPr>
          <w:sz w:val="20"/>
          <w:szCs w:val="20"/>
          <w:color w:val="auto"/>
        </w:rPr>
      </w:pPr>
    </w:p>
    <w:p>
      <w:pPr>
        <w:ind w:left="660" w:right="280" w:hanging="652"/>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“Interest expense, net” as reported on our Condensed Consolidated Statements of Operations, net of interest income associated with promissory notes by and among PAA and certain Plains entities.</w:t>
      </w:r>
    </w:p>
    <w:p>
      <w:pPr>
        <w:spacing w:after="0" w:line="89" w:lineRule="exact"/>
        <w:rPr>
          <w:rFonts w:ascii="Times New Roman" w:cs="Times New Roman" w:eastAsia="Times New Roman" w:hAnsi="Times New Roman"/>
          <w:sz w:val="23"/>
          <w:szCs w:val="23"/>
          <w:color w:val="auto"/>
          <w:vertAlign w:val="superscript"/>
        </w:rPr>
      </w:pPr>
    </w:p>
    <w:p>
      <w:pPr>
        <w:ind w:left="660" w:right="660" w:hanging="652"/>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hanging="11"/>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10 to our Condensed Consolidated Financial Statements.</w:t>
      </w:r>
    </w:p>
    <w:p>
      <w:pPr>
        <w:spacing w:after="0" w:line="54" w:lineRule="exact"/>
        <w:rPr>
          <w:sz w:val="20"/>
          <w:szCs w:val="20"/>
          <w:color w:val="auto"/>
        </w:rPr>
      </w:pPr>
    </w:p>
    <w:p>
      <w:pPr>
        <w:ind w:hanging="11"/>
        <w:spacing w:after="0" w:line="266" w:lineRule="auto"/>
        <w:rPr>
          <w:sz w:val="20"/>
          <w:szCs w:val="20"/>
          <w:color w:val="auto"/>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68" w:lineRule="exact"/>
        <w:rPr>
          <w:sz w:val="20"/>
          <w:szCs w:val="20"/>
          <w:color w:val="auto"/>
        </w:rPr>
      </w:pPr>
    </w:p>
    <w:p>
      <w:pPr>
        <w:sectPr>
          <w:pgSz w:w="11900" w:h="16838" w:orient="portrait"/>
          <w:cols w:equalWidth="0" w:num="2">
            <w:col w:w="140" w:space="520"/>
            <w:col w:w="10560"/>
          </w:cols>
          <w:pgMar w:left="320" w:top="121" w:right="359" w:bottom="1440" w:gutter="0" w:footer="0" w:header="0"/>
          <w:type w:val="continuous"/>
        </w:sectPr>
      </w:pPr>
    </w:p>
    <w:p>
      <w:pPr>
        <w:ind w:left="660" w:right="200" w:hanging="652"/>
        <w:spacing w:after="0" w:line="235"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income/(expense), net” on our Condensed Consolidated Statements of Operations, excluding interest income associated with promissory notes by and among PAA and certain Plains entities, adjusted for selected items impacting comparability (“Adjusted other income, net”) is included in Adjusted EBITDA and excluded from Segment Adjusted EBITDA.</w:t>
      </w:r>
    </w:p>
    <w:p>
      <w:pPr>
        <w:sectPr>
          <w:pgSz w:w="11900" w:h="16838" w:orient="portrait"/>
          <w:cols w:equalWidth="0" w:num="1">
            <w:col w:w="11220"/>
          </w:cols>
          <w:pgMar w:left="320" w:top="121" w:right="3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 above for a reconciliation from Net Income to Adjusted EBITDA.</w:t>
      </w:r>
    </w:p>
    <w:p>
      <w:pPr>
        <w:spacing w:after="0" w:line="117" w:lineRule="exact"/>
        <w:rPr>
          <w:sz w:val="20"/>
          <w:szCs w:val="20"/>
          <w:color w:val="auto"/>
        </w:rPr>
      </w:pP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Amount excludes certain non-cash items impacting interest expense such as amortization of debt issuance costs and terminated interest rate swaps and is net of interest income associated with promissory notes by and among PAA and certain Plains entities.</w:t>
      </w:r>
    </w:p>
    <w:p>
      <w:pPr>
        <w:spacing w:after="0" w:line="54"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ind w:left="660" w:right="32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0"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expenditures attributable to noncontrolling interests that reduce Implied DCF available to PAA common unitholders.</w:t>
      </w:r>
    </w:p>
    <w:p>
      <w:pPr>
        <w:spacing w:after="0" w:line="89" w:lineRule="exact"/>
        <w:rPr>
          <w:rFonts w:ascii="Times New Roman" w:cs="Times New Roman" w:eastAsia="Times New Roman" w:hAnsi="Times New Roman"/>
          <w:sz w:val="23"/>
          <w:szCs w:val="23"/>
          <w:color w:val="auto"/>
          <w:vertAlign w:val="superscript"/>
        </w:rPr>
      </w:pPr>
    </w:p>
    <w:p>
      <w:pPr>
        <w:ind w:left="660" w:right="840" w:hanging="652"/>
        <w:spacing w:after="0" w:line="235"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89" w:lineRule="exact"/>
        <w:rPr>
          <w:rFonts w:ascii="Times New Roman" w:cs="Times New Roman" w:eastAsia="Times New Roman" w:hAnsi="Times New Roman"/>
          <w:sz w:val="23"/>
          <w:szCs w:val="23"/>
          <w:color w:val="auto"/>
          <w:vertAlign w:val="superscript"/>
        </w:rPr>
      </w:pPr>
    </w:p>
    <w:p>
      <w:pPr>
        <w:ind w:left="660" w:right="160" w:hanging="652"/>
        <w:spacing w:after="0" w:line="229" w:lineRule="auto"/>
        <w:tabs>
          <w:tab w:leader="none" w:pos="65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Excess DCF is retained to establish reserves for debt repayment, future distributions, common equity repurchases, capital expenditures and other partnership purposes.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measures including Segment Adjusted EBITDA. See Note 10 to our Condensed Consolidated Financial Statements for our definition of Segment Adjusted EBITDA and a reconciliation of Segment Adjusted EBITDA to Net income attributable to PAA. See Note 19 to our Consolidated Financial Statements included in Part IV of our 2024 Annual Report on Form 10-K for our definition of maintenance capital.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540" w:type="dxa"/>
            <w:vAlign w:val="bottom"/>
            <w:gridSpan w:val="4"/>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800" w:type="dxa"/>
            <w:vAlign w:val="bottom"/>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amounts attributable to noncontrolling interests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1540" w:type="dxa"/>
            <w:vAlign w:val="bottom"/>
            <w:gridSpan w:val="4"/>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2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 (5)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 / Eagle Ford</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5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1"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89" w:lineRule="exact"/>
        <w:rPr>
          <w:rFonts w:ascii="Times New Roman" w:cs="Times New Roman" w:eastAsia="Times New Roman" w:hAnsi="Times New Roman"/>
          <w:sz w:val="23"/>
          <w:szCs w:val="23"/>
          <w:color w:val="auto"/>
          <w:vertAlign w:val="superscript"/>
        </w:rPr>
      </w:pPr>
    </w:p>
    <w:p>
      <w:pPr>
        <w:ind w:left="660" w:right="100" w:hanging="652"/>
        <w:spacing w:after="0" w:line="242" w:lineRule="auto"/>
        <w:tabs>
          <w:tab w:leader="none" w:pos="648"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Times New Roman" w:cs="Times New Roman" w:eastAsia="Times New Roman" w:hAnsi="Times New Roman"/>
          <w:sz w:val="22"/>
          <w:szCs w:val="22"/>
          <w:color w:val="auto"/>
          <w:vertAlign w:val="superscript"/>
        </w:rPr>
      </w:pPr>
    </w:p>
    <w:p>
      <w:pPr>
        <w:ind w:left="660" w:right="480" w:hanging="652"/>
        <w:spacing w:after="0" w:line="229"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90"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5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for the three months ended March 31, 2025 was in line with comparable results for the three months ended March 31, 2024. The benefit to the 2025 period from higher tariff volumes on our pipelines, tariff escalations and contributions from recently completed acquisitions was largely offset by higher operating expenses.</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months ended March 31, 2025 compared to the same period in 2024.</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driven by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in the Permian Basin region, (ii) the benefit of tariff escalations and (iii) contributions from recently completed acquisitions in the Permian Basin and South Texas regions. These favorable impacts were partially offset by lower volumes on certain of our pipelines due to refinery downtime in the 2025 period.</w:t>
      </w:r>
    </w:p>
    <w:p>
      <w:pPr>
        <w:spacing w:after="0" w:line="207"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three months ended March 31, 2025 compared to the same period in 2024, we recognized higher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 environmental remediation expenses, (ii) employee-related costs primarily resulting from higher average salaries, bonuses and medical benefits, (iii) incremental operating costs associated with acquisitions and (iv) higher utilities-related costs as a result of higher volumes.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three months ended March 31, 2025 compared to the same period in 2024 was primarily due to lower costs resulting from timing of certain pipeline integrity activities.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 received from a third-party straddle plant.</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3"/>
                <w:szCs w:val="13"/>
                <w:color w:val="auto"/>
              </w:rPr>
            </w:pPr>
          </w:p>
        </w:tc>
        <w:tc>
          <w:tcPr>
            <w:tcW w:w="240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840" w:type="dxa"/>
            <w:vAlign w:val="bottom"/>
            <w:gridSpan w:val="5"/>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7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82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Average Volumes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4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(4)</w:t>
            </w:r>
          </w:p>
        </w:tc>
        <w:tc>
          <w:tcPr>
            <w:tcW w:w="280" w:type="dxa"/>
            <w:vAlign w:val="bottom"/>
          </w:tcPr>
          <w:p>
            <w:pPr>
              <w:spacing w:after="0"/>
              <w:rPr>
                <w:sz w:val="21"/>
                <w:szCs w:val="21"/>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fractionation</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pipeline tariff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butane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ind w:left="20" w:right="48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left="20" w:right="500" w:hanging="11"/>
        <w:spacing w:after="0" w:line="282" w:lineRule="auto"/>
        <w:rPr>
          <w:sz w:val="20"/>
          <w:szCs w:val="20"/>
          <w:color w:val="auto"/>
        </w:rPr>
      </w:pPr>
      <w:r>
        <w:rPr>
          <w:rFonts w:ascii="Times New Roman" w:cs="Times New Roman" w:eastAsia="Times New Roman" w:hAnsi="Times New Roman"/>
          <w:sz w:val="18"/>
          <w:szCs w:val="18"/>
          <w:color w:val="auto"/>
        </w:rPr>
        <w:t>Average daily volumes are calculated as total volumes (attributable to our interest for assets owned through undivided joint interests) for the period divided by the number of days in the period.</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NGL Segment Adjusted EBITDA increased for the three months ended March 31, 2025 compared to the same period in 2024 primarily as a result of the impact of (i) higher NGL sales volumes, (ii) higher realized frac spreads, and (iii) lower field operating costs.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Net Revenues. </w:t>
      </w:r>
      <w:r>
        <w:rPr>
          <w:rFonts w:ascii="Times New Roman" w:cs="Times New Roman" w:eastAsia="Times New Roman" w:hAnsi="Times New Roman"/>
          <w:sz w:val="17"/>
          <w:szCs w:val="17"/>
          <w:color w:val="auto"/>
        </w:rPr>
        <w:t>Net revenues include the impact of derivative activities and long-term inventory costing adjustments, which are excluded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Adjusted EBITDA, and thus are reflected as a component of “Other segment items” in the table above. Excluding such impacts, net revenues increased for the three months ended March 31, 2025 compared to the same period in 2024. The increase in net revenues for the three months ended March 31, 2025 compared to the same period in 2024 was primarily due to (i) higher NGL sales volumes and (ii) higher realized frac spreads.</w:t>
      </w:r>
    </w:p>
    <w:p>
      <w:pPr>
        <w:spacing w:after="0" w:line="19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three months ended March 31, 2025 compared to the same period in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 a decrease in unrealized mark-to-market losses on power hedges (which impact our field operating costs, but are excluded from Segment Adjusted EBITDA, and thus are reflected as a component of “Other segment items” in the table above) and (ii) decreased utilities-related costs largely as a result of lower power prices.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3" w:lineRule="exact"/>
        <w:rPr>
          <w:sz w:val="20"/>
          <w:szCs w:val="20"/>
          <w:color w:val="auto"/>
        </w:rPr>
      </w:pPr>
    </w:p>
    <w:p>
      <w:pPr>
        <w:jc w:val="both"/>
        <w:ind w:right="260" w:firstLine="8"/>
        <w:spacing w:after="0" w:line="253"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pacing w:after="0" w:line="21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we had a working capital surplus of $44 million and approximately $2.6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Availability under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28" w:lineRule="auto"/>
        <w:rPr>
          <w:sz w:val="20"/>
          <w:szCs w:val="20"/>
          <w:color w:val="auto"/>
        </w:rPr>
      </w:pPr>
      <w:r>
        <w:rPr>
          <w:rFonts w:ascii="Times New Roman" w:cs="Times New Roman" w:eastAsia="Times New Roman" w:hAnsi="Times New Roman"/>
          <w:sz w:val="17"/>
          <w:szCs w:val="17"/>
          <w:color w:val="auto"/>
        </w:rPr>
        <w:t xml:space="preserve">Availability under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30" w:lineRule="exact"/>
        <w:rPr>
          <w:sz w:val="20"/>
          <w:szCs w:val="20"/>
          <w:color w:val="auto"/>
        </w:rPr>
      </w:pPr>
    </w:p>
    <w:p>
      <w:pPr>
        <w:ind w:left="1163" w:hanging="1163"/>
        <w:spacing w:after="0"/>
        <w:tabs>
          <w:tab w:leader="none" w:pos="11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w:t>
      </w:r>
    </w:p>
    <w:p>
      <w:pPr>
        <w:spacing w:after="0" w:line="27" w:lineRule="exact"/>
        <w:rPr>
          <w:rFonts w:ascii="Times New Roman" w:cs="Times New Roman" w:eastAsia="Times New Roman" w:hAnsi="Times New Roman"/>
          <w:sz w:val="18"/>
          <w:szCs w:val="18"/>
          <w:color w:val="auto"/>
        </w:rPr>
      </w:pPr>
    </w:p>
    <w:p>
      <w:pPr>
        <w:ind w:left="11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w:t>
      </w:r>
    </w:p>
    <w:p>
      <w:pPr>
        <w:spacing w:after="0" w:line="22" w:lineRule="exact"/>
        <w:rPr>
          <w:rFonts w:ascii="Times New Roman" w:cs="Times New Roman" w:eastAsia="Times New Roman" w:hAnsi="Times New Roman"/>
          <w:sz w:val="18"/>
          <w:szCs w:val="18"/>
          <w:color w:val="auto"/>
        </w:rPr>
      </w:pPr>
    </w:p>
    <w:p>
      <w:pPr>
        <w:ind w:left="12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w:t>
      </w:r>
    </w:p>
    <w:p>
      <w:pPr>
        <w:spacing w:after="0" w:line="22" w:lineRule="exact"/>
        <w:rPr>
          <w:sz w:val="20"/>
          <w:szCs w:val="20"/>
          <w:color w:val="auto"/>
        </w:rPr>
      </w:pPr>
    </w:p>
    <w:p>
      <w:pPr>
        <w:sectPr>
          <w:pgSz w:w="11900" w:h="16838" w:orient="portrait"/>
          <w:cols w:equalWidth="0" w:num="2">
            <w:col w:w="8877" w:space="720"/>
            <w:col w:w="164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30"/>
        </w:trPr>
        <w:tc>
          <w:tcPr>
            <w:tcW w:w="9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(3)</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0"/>
        </w:trPr>
        <w:tc>
          <w:tcPr>
            <w:tcW w:w="3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36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our commercial paper program, which reduce available capacity under our credit facilities.</w:t>
      </w:r>
    </w:p>
    <w:p>
      <w:pPr>
        <w:spacing w:after="0" w:line="54" w:lineRule="exact"/>
        <w:rPr>
          <w:sz w:val="20"/>
          <w:szCs w:val="20"/>
          <w:color w:val="auto"/>
        </w:rPr>
      </w:pPr>
    </w:p>
    <w:p>
      <w:pPr>
        <w:ind w:left="20" w:right="24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our senior unsecured revolving credit facility and senior secured hedged inventory facility was reduced by outstanding letters of credit issued under these facilities of less than $1 million and $35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restricted cash of $1 million.</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March 31, 2025.</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2024 Annual Report on Form 10-K for further discussion regarding risks that may impact our 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Liquidity Measures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 Also see “Results of Operations–Non-GAAP Financial Measures” above for more information about our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liquidity measures Adjusted Free Cash Flow and Adjusted Free Cash Flow after Distributions from Net Cash Provided by Operating Activities (in millions):</w:t>
      </w:r>
    </w:p>
    <w:p>
      <w:pPr>
        <w:spacing w:after="0" w:line="223"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6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6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6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8"/>
        </w:trPr>
        <w:tc>
          <w:tcPr>
            <w:tcW w:w="86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Borders>
              <w:bottom w:val="single" w:sz="8" w:color="auto"/>
            </w:tcBorders>
          </w:tcPr>
          <w:p>
            <w:pPr>
              <w:spacing w:after="0"/>
              <w:rPr>
                <w:sz w:val="17"/>
                <w:szCs w:val="17"/>
                <w:color w:val="auto"/>
              </w:rPr>
            </w:pPr>
          </w:p>
        </w:tc>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left="20" w:right="160" w:hanging="11"/>
        <w:spacing w:after="0" w:line="261" w:lineRule="auto"/>
        <w:rPr>
          <w:sz w:val="20"/>
          <w:szCs w:val="20"/>
          <w:color w:val="auto"/>
        </w:rPr>
      </w:pPr>
      <w:r>
        <w:rPr>
          <w:rFonts w:ascii="Times New Roman" w:cs="Times New Roman" w:eastAsia="Times New Roman" w:hAnsi="Times New Roman"/>
          <w:sz w:val="18"/>
          <w:szCs w:val="18"/>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8 to our Condensed Consolidated Financial Statements for additional information on our related party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to our preferred and common unitholders during the period presented.</w:t>
      </w:r>
    </w:p>
    <w:p>
      <w:pPr>
        <w:spacing w:after="0" w:line="63" w:lineRule="exact"/>
        <w:rPr>
          <w:sz w:val="20"/>
          <w:szCs w:val="20"/>
          <w:color w:val="auto"/>
        </w:rPr>
      </w:pPr>
    </w:p>
    <w:p>
      <w:pPr>
        <w:ind w:left="20" w:right="240" w:hanging="11"/>
        <w:spacing w:after="0" w:line="266" w:lineRule="auto"/>
        <w:rPr>
          <w:sz w:val="20"/>
          <w:szCs w:val="20"/>
          <w:color w:val="auto"/>
        </w:rPr>
      </w:pPr>
      <w:r>
        <w:rPr>
          <w:rFonts w:ascii="Times New Roman" w:cs="Times New Roman" w:eastAsia="Times New Roman" w:hAnsi="Times New Roman"/>
          <w:sz w:val="18"/>
          <w:szCs w:val="18"/>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199"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2024 Annual Report on Form 10-K.</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months of 2025 and 2024 was $639 million and $419 million, respectively, and primarily resulted from earnings from our operations. Both periods were also impacted by changes in net operating working capital items. The 2024 period was impacted more unfavorably, primarily by margin requirements related to our hedging activities.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w:t>
      </w:r>
    </w:p>
    <w:p>
      <w:pPr>
        <w:spacing w:after="0" w:line="23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 (3)</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17" w:lineRule="exact"/>
        <w:rPr>
          <w:sz w:val="20"/>
          <w:szCs w:val="20"/>
          <w:color w:val="auto"/>
        </w:rPr>
      </w:pPr>
    </w:p>
    <w:p>
      <w:pPr>
        <w:jc w:val="both"/>
        <w:ind w:left="660" w:right="260" w:hanging="652"/>
        <w:spacing w:after="0" w:line="235"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91" w:lineRule="exact"/>
        <w:rPr>
          <w:rFonts w:ascii="Times New Roman" w:cs="Times New Roman" w:eastAsia="Times New Roman" w:hAnsi="Times New Roman"/>
          <w:sz w:val="23"/>
          <w:szCs w:val="23"/>
          <w:color w:val="auto"/>
          <w:vertAlign w:val="superscript"/>
        </w:rPr>
      </w:pPr>
    </w:p>
    <w:p>
      <w:pPr>
        <w:ind w:left="660" w:right="280" w:hanging="652"/>
        <w:spacing w:after="0" w:line="235"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91" w:lineRule="exact"/>
        <w:rPr>
          <w:rFonts w:ascii="Times New Roman" w:cs="Times New Roman" w:eastAsia="Times New Roman" w:hAnsi="Times New Roman"/>
          <w:sz w:val="23"/>
          <w:szCs w:val="23"/>
          <w:color w:val="auto"/>
          <w:vertAlign w:val="superscript"/>
        </w:rPr>
      </w:pPr>
    </w:p>
    <w:p>
      <w:pPr>
        <w:ind w:left="660" w:right="60" w:hanging="652"/>
        <w:spacing w:after="0" w:line="235"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and maintenance capital, net to our 65% interest in the Permian JV, was approximately $130 million and $38 million, respectively, for the three months ended March 31, 2025, and approximately $79 million and $53 million, respectively, for the three months ended March 31, 2024.</w:t>
      </w:r>
    </w:p>
    <w:p>
      <w:pPr>
        <w:spacing w:after="0" w:line="91" w:lineRule="exact"/>
        <w:rPr>
          <w:rFonts w:ascii="Times New Roman" w:cs="Times New Roman" w:eastAsia="Times New Roman" w:hAnsi="Times New Roman"/>
          <w:sz w:val="23"/>
          <w:szCs w:val="23"/>
          <w:color w:val="auto"/>
          <w:vertAlign w:val="superscript"/>
        </w:rPr>
      </w:pPr>
    </w:p>
    <w:p>
      <w:pPr>
        <w:ind w:left="660" w:right="60" w:hanging="652"/>
        <w:spacing w:after="0" w:line="241"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capital, net to our 65% interest in the Permian JV, was approximately $613 million and $92 million for the three months ended March 31, 2025 and 2024, respectively. Acquisition capital for the 2025 period primarily included the acquisitions of (i) Ironwood Midstream, (ii) Medallion Midstream by the Permian JV and (iii) the remaining 50% interest in Cheyenne Pipeline LLC through a non-cash transaction. See Note 11 to our Condensed Consolidated Financial Statements for additional information. Acquisition capital for the 2024 period primarily included the acquisition of an additional ownership interest in an equity method investee.</w:t>
      </w:r>
    </w:p>
    <w:p>
      <w:pPr>
        <w:spacing w:after="0" w:line="224" w:lineRule="exact"/>
        <w:rPr>
          <w:sz w:val="20"/>
          <w:szCs w:val="20"/>
          <w:color w:val="auto"/>
        </w:rPr>
      </w:pPr>
    </w:p>
    <w:p>
      <w:pPr>
        <w:jc w:val="both"/>
        <w:ind w:right="4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Investment and Maintenance Capital. </w:t>
      </w:r>
      <w:r>
        <w:rPr>
          <w:rFonts w:ascii="Times New Roman" w:cs="Times New Roman" w:eastAsia="Times New Roman" w:hAnsi="Times New Roman"/>
          <w:sz w:val="18"/>
          <w:szCs w:val="18"/>
          <w:color w:val="auto"/>
        </w:rPr>
        <w:t>Total investment capital for the year ending December 31, 2025 is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($400 million net to our interest). Approximately half of our projected investment capital expenditures are expected to be invested in the Permian JV assets. Additionally, maintenance capital for 2025 is projected to be approximately $260 million ($240 million net to our interest).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2024 Annual Report on Form 10-K.</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promissory notes with a face value of CAD$473 million (approximately $330 million) were issued by and among us and certain Plains entities. The cash outflow associated with our investment in promissory notes issued by PAGP to us has an equal and offsetting cash inflow associated with proceeds from the issuance by our consolidated subsidiary of promissory notes to PAGP for the same face value amount, which is included as a component of financing activities. See Note 8 to our Condensed Consolidated Financial Statements for additional information on our related party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unitholders and noncontrolling interests.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we had net borrowings under our commercial paper program of $71 million and $107 million, respectively. The net borrowings resulted primarily from borrowings during the period related to funding needs for capital investments, inventory purchases and other general partnership purposes.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January 2025, we completed the offering of $1.0 billion, 5.95% senior notes due June 2035 at a public offering price of 99.761%. Interest payments are due on June 15 and December 15 of each year, commencing on June 15, 2025. We used the net proceeds from this offering of approximately $988 million, after deducting the underwriting discount and offering expenses, to (i) fund the acquisitions completed during the first quarter of 2025, (ii) fund the repurchase of approximately 12.7 million Series A preferred units in January 2025 and (iii) repay outstanding borrowings under our credit facilities and commercial paper program and for general partnership purposes.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Common Equity Repurchase Program (the “Program”) during the three months ended March 31, 2025 or 2024. The remaining available capacity under the Program as of March 31, 2025 was $198 million.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March 31, 2025. We did not conduct any offerings under our Traditional Shelf during the three months ended March 31, 2025. We also have access to a universal shelf registration statement (“WKSI Shelf”), which provides us with the ability to offer and sell an unlimited amount of debt and equity securities, subject to market conditions and our capital needs. The offering of $1.0 billion, 5.95% senior notes in January 2025 was conducted under our WKSI 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A Preferred Unit Repurchase</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January 31, 2025, we repurchased approximately 12.7 million units, or 18%, of our outstanding Series A preferred units at the issue price of $26.25 per unit for a purchase price of approximately $333 million, plus accrued and unpaid distributions through January 30, 2025 of approximately $10 million. We used a portion of the net proceeds from our January 2025 senior notes offering to fund this repurchase. See Note 6 to our Condensed Consolidated Financial Statements for more information regarding our Series A preferred units.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54"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preferred unitholders. </w:t>
      </w:r>
      <w:r>
        <w:rPr>
          <w:rFonts w:ascii="Times New Roman" w:cs="Times New Roman" w:eastAsia="Times New Roman" w:hAnsi="Times New Roman"/>
          <w:sz w:val="18"/>
          <w:szCs w:val="18"/>
          <w:color w:val="auto"/>
        </w:rPr>
        <w:t>On May 15, 2025, we will pay a quarterly cash distribution of approximately $0.615 per unit to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unitholders of record at the close of business on May 1, 2025 for the period from January 1, 2025 through March 31, 2025.</w:t>
      </w:r>
    </w:p>
    <w:p>
      <w:pPr>
        <w:spacing w:after="0" w:line="18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unitholders. </w:t>
      </w:r>
      <w:r>
        <w:rPr>
          <w:rFonts w:ascii="Times New Roman" w:cs="Times New Roman" w:eastAsia="Times New Roman" w:hAnsi="Times New Roman"/>
          <w:sz w:val="18"/>
          <w:szCs w:val="18"/>
          <w:color w:val="auto"/>
        </w:rPr>
        <w:t>On May 15, 2025, we will pay a quarterly cash distribution of approximately $21.49 per unit to Series B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unitholders of record at the close of business on May 1, 2025 for the period from February 15, 2025 through May 14, 2025.</w:t>
      </w:r>
    </w:p>
    <w:p>
      <w:pPr>
        <w:spacing w:after="0" w:line="185"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Common Unitholders</w:t>
      </w:r>
      <w:r>
        <w:rPr>
          <w:rFonts w:ascii="Times New Roman" w:cs="Times New Roman" w:eastAsia="Times New Roman" w:hAnsi="Times New Roman"/>
          <w:sz w:val="18"/>
          <w:szCs w:val="18"/>
          <w:color w:val="auto"/>
        </w:rPr>
        <w:t>. On May 15, 2025, we will pay a quarterly cash distribution of $0.38 per common unit ($1.52 per unit on an annualized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common unitholders of record at the close of business on May 1, 2025 for the period from January 1, 2025 through March 31, 2025.</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See Note 6 to our Condensed Consolidated Financial Statements for details of distributions paid during or pertaining to the first three months of 2025, including distributions to our preferred unitholders.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March 31, 2025, noncontrolling interests in our subsidiaries consisted of (i) a 35% interest in the Permian JV, (ii) a 30% interest in Cactus II and (iii) a 33% interest in Red River. See Note 6 to our Condensed Consolidated Financial Statements for details of distributions paid to noncontrolling interests during the three months ended March 31,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promissory notes with a face value of CAD$473 million (approximately $330 million) were issued by and among us and certain Plains entities. The cash inflow associated with proceeds from the issuance by our consolidated subsidiary of promissory notes to PAGP has an equal and offsetting cash outflow associated with our investment in promissory notes issued by PAGP to us for the same face value amount, which is included as a component of investing activities. See Note 8 to our Condensed Consolidated Financial Statements for additional information on our related party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9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March 31, 2025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22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18,061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19,985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17,694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14,881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27,052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111,079</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35"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March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March 31, 2025 and December 31, 2024, we had outstanding letters of credit of approximately $78 million and $90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0" w:hanging="324"/>
        <w:spacing w:after="0" w:line="258"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5"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2024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1300" w:right="1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204"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rFonts w:ascii="Times New Roman" w:cs="Times New Roman" w:eastAsia="Times New Roman" w:hAnsi="Times New Roman"/>
          <w:sz w:val="18"/>
          <w:szCs w:val="18"/>
          <w:i w:val="1"/>
          <w:iCs w:val="1"/>
          <w:color w:val="auto"/>
        </w:rPr>
      </w:pPr>
    </w:p>
    <w:p>
      <w:pPr>
        <w:ind w:left="1300" w:right="10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natural gas derivatives to hedge commodity price risk by purchasing natural gas to replace the energy content of the NGL extracted by our natural gas processing assets (natural gas purchase component of the frac spread) and, on occasion, to hedge ethane that may be purchased and stored until it is reinjected into the natural gas stream.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1"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NGL and other</w:t>
      </w:r>
    </w:p>
    <w:p>
      <w:pPr>
        <w:spacing w:after="0" w:line="227" w:lineRule="exact"/>
        <w:rPr>
          <w:rFonts w:ascii="Times New Roman" w:cs="Times New Roman" w:eastAsia="Times New Roman" w:hAnsi="Times New Roman"/>
          <w:sz w:val="18"/>
          <w:szCs w:val="18"/>
          <w:color w:val="auto"/>
        </w:rPr>
      </w:pPr>
    </w:p>
    <w:p>
      <w:pPr>
        <w:ind w:left="1300" w:right="2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to our Condensed Consolidated Financial Statements for further discussion regarding our hedging strategies and objectives.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March 31, 2025 that would be expected from a 10% price increase or decrease is shown in the table below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20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2025, approximately $464 million, was subject to interest rate resets that generally occur within one week or less. The average interest rate on variable rate debt that was outstanding during the three months ended March 31, 2025 was approximately 4.6%, based upon rates in effect during such period. The fair value of our interest rate derivatives was a net asset of $25 million as of March 31, 2025. A 10% increase in the forward SOFR curve as of March 31, 2025 would have resulted in an increase of $19 million to the fair value of our interest rate derivatives. A 10% decrease in the forward SOFR curve as of March 31, 2025 would have resulted in a decrease of $19 million to the fair value of our interest rate derivatives. See Note 7 to our Condensed Consolidated Financial Statements for a discussion of our interest rate risk hedging activities.</w:t>
      </w:r>
    </w:p>
    <w:p>
      <w:pPr>
        <w:spacing w:after="0" w:line="21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the Series B preferred units accumulate and are payable quarterly in arrears on the 15th day of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August and November. Distributions on the Series B preferred units accumulate based on the applicable three-month SOFR, plus certain adjustments. Based upon the Series B preferred units outstanding at March 31, 2025 and the liquidation preference of $1,000 per unit, a change of 100 basis points in interest rates would increase or decrease the annual distributions on the Series B preferred units by approximately $8 million. See Note 11 to our Consolidated Financial Statements included in Part IV of our 2024 Annual Report on Form 10-K for additional information regarding our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March 31, 2025,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to our Condensed Consolidated Financial Statements,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ended March 31, 2025, none of our directors or officers (as defined in Rule 16a-1(f) of the Securities Exchange Act of 1934) adopted or terminated any Rule 10b5-1 trading arrangement or any non-Rule 10b5-1 trading arrangement (as defined in Item 408 of Regulation S-K).</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2" w:lineRule="exact"/>
        <w:rPr>
          <w:sz w:val="20"/>
          <w:szCs w:val="20"/>
          <w:color w:val="auto"/>
        </w:rPr>
      </w:pPr>
    </w:p>
    <w:p>
      <w:pPr>
        <w:ind w:left="48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6">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76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2017 (incorporated by reference to Exhibit 3.1 to our Current Report on Form 8-K filed October 12, 2017).</w:t>
        </w:r>
      </w:hyperlink>
    </w:p>
    <w:p>
      <w:pPr>
        <w:spacing w:after="0" w:line="124" w:lineRule="exact"/>
        <w:rPr>
          <w:sz w:val="20"/>
          <w:szCs w:val="20"/>
          <w:color w:val="auto"/>
        </w:rPr>
      </w:pPr>
    </w:p>
    <w:p>
      <w:pPr>
        <w:ind w:left="1380" w:right="6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Third Amended and Restated Agreement of Limited Partnership of Plains Marketing, L.P. dated as of April 1, 2004 (incorporated</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by reference to Exhibit 3.2 to our Quarterly Report on Form 10-Q for the quarter ended March 31, 2004).</w:t>
        </w:r>
      </w:hyperlink>
    </w:p>
    <w:p>
      <w:pPr>
        <w:spacing w:after="0" w:line="118"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Amendment No. 1 dated December 31, 2010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Marketing, L.P. (incorporated by reference to Exhibit 3.9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1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Amendment No. 2 dated January 1,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Marketing,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Amendment No. 3 dated June 30,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2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Amendment No. 4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Marketing, L.P (incorporated by reference to Exhibit 3.8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1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Amendment No. 5 dated December 1, 2019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2019).</w:t>
        </w:r>
      </w:hyperlink>
    </w:p>
    <w:p>
      <w:pPr>
        <w:spacing w:after="0" w:line="111" w:lineRule="exact"/>
        <w:rPr>
          <w:sz w:val="20"/>
          <w:szCs w:val="20"/>
          <w:color w:val="auto"/>
        </w:rPr>
      </w:pPr>
    </w:p>
    <w:p>
      <w:pPr>
        <w:ind w:left="138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Third Amended and Restated Agreement of Limited Partnership of Plains Pipeline, L.P. dated as of April 1, 2004 (incorporated by</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reference to Exhibit 3.3 to our Quarterly Report on Form 10-Q for the quarter ended March 31, 2004).</w:t>
        </w:r>
      </w:hyperlink>
    </w:p>
    <w:p>
      <w:pPr>
        <w:spacing w:after="0" w:line="118" w:lineRule="exact"/>
        <w:rPr>
          <w:sz w:val="20"/>
          <w:szCs w:val="20"/>
          <w:color w:val="auto"/>
        </w:rPr>
      </w:pPr>
    </w:p>
    <w:p>
      <w:pPr>
        <w:ind w:left="1380" w:right="30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Amendment No. 1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Pipeline,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2013).</w:t>
        </w:r>
      </w:hyperlink>
    </w:p>
    <w:p>
      <w:pPr>
        <w:spacing w:after="0" w:line="99"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5">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76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380" w:right="280" w:hanging="1305"/>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L.P. (incorporated by reference to Exhibit 3.1 to our Current Report on Form 8-K filed October 2, 2018).</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8">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7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380" w:right="26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Amendment No. 3 dated August 17, 2023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L.P. (incorporated by reference to Exhibit 3.1 to our Current Report on Form 8-K filed August 21, 2023).</w:t>
        </w:r>
      </w:hyperlink>
    </w:p>
    <w:p>
      <w:pPr>
        <w:spacing w:after="0" w:line="118" w:lineRule="exact"/>
        <w:rPr>
          <w:sz w:val="20"/>
          <w:szCs w:val="20"/>
          <w:color w:val="auto"/>
        </w:rPr>
      </w:pPr>
    </w:p>
    <w:p>
      <w:pPr>
        <w:ind w:left="1380" w:right="1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Certificate of Incorporation of PAA Finance Corp. (f/k/a Pacific Energy Finance Corporation, successor-by-merger to PAA</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Finance Corp.)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2006).</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440" w:right="80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3.16       —  </w:t>
      </w:r>
      <w:hyperlink r:id="rId102">
        <w:r>
          <w:rPr>
            <w:rFonts w:ascii="Times New Roman" w:cs="Times New Roman" w:eastAsia="Times New Roman" w:hAnsi="Times New Roman"/>
            <w:sz w:val="18"/>
            <w:szCs w:val="18"/>
            <w:u w:val="single" w:color="auto"/>
            <w:color w:val="0000FF"/>
          </w:rPr>
          <w:t>Bylaws of PAA Finance Corp. (f/k/a Pacific Energy Finance Corporation, successor-by-merger to PAA Finance Corp.)</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(incorporated by reference to Exhibit 3.11 to our Annual Report on Form 10-K for the year ended December 31, 2006).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 our</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Current Report on Form 8-K filed January 4, 2008).</w:t>
        </w:r>
      </w:hyperlink>
    </w:p>
    <w:p>
      <w:pPr>
        <w:spacing w:after="0" w:line="118" w:lineRule="exact"/>
        <w:rPr>
          <w:sz w:val="20"/>
          <w:szCs w:val="20"/>
          <w:color w:val="auto"/>
        </w:rPr>
      </w:pPr>
    </w:p>
    <w:p>
      <w:pPr>
        <w:ind w:left="1380" w:right="2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PAGP’s Registration</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380" w:right="6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Second Amended and Restated Agreement of Limited Partnership of Plains GP Holdings, L.P. dated November 15, 2016</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(incorporated by reference to Exhibit 3.2 to PAGP’s Current Report on Form 8-K filed November 21, 2016).</w:t>
        </w:r>
      </w:hyperlink>
    </w:p>
    <w:p>
      <w:pPr>
        <w:spacing w:after="0" w:line="118" w:lineRule="exact"/>
        <w:rPr>
          <w:sz w:val="20"/>
          <w:szCs w:val="20"/>
          <w:color w:val="auto"/>
        </w:rPr>
      </w:pPr>
    </w:p>
    <w:p>
      <w:pPr>
        <w:ind w:left="1380" w:right="40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Holdings, L.P. (incorporated by reference to Exhibit 3.1 to PAGP’s Current Report on Form 8-K filed April 9, 2020).</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Certificate of Formation of PAA GP Holdings LLC (incorporated by reference to Exhibit 3.3 to PAGP’s Registration Statement on</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8">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76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2021 (incorporated by reference to Exhibit 3.21 to our Annual Report on Form 10-K for the year ended December 31, 2021).</w:t>
        </w:r>
      </w:hyperlink>
    </w:p>
    <w:p>
      <w:pPr>
        <w:spacing w:after="0" w:line="124"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Association, as trustee (incorporated by reference to Exhibit 4.1 to our Quarterly Report on Form 10-Q for the quarter ended</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119"/>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as trustee (incorporated by reference to Exhibit 4.1 to our Current Report on Form 8-K filed May 12, 2006).</w:t>
        </w:r>
      </w:hyperlink>
    </w:p>
    <w:p>
      <w:pPr>
        <w:spacing w:after="0" w:line="111" w:lineRule="exact"/>
        <w:rPr>
          <w:sz w:val="20"/>
          <w:szCs w:val="20"/>
          <w:color w:val="auto"/>
        </w:rPr>
      </w:pPr>
    </w:p>
    <w:p>
      <w:pPr>
        <w:ind w:left="1380" w:right="1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trustee (incorporated by reference to Exhibit 4.2 to our Current Report on Form 8-K filed October 30, 2006).</w:t>
        </w:r>
      </w:hyperlink>
    </w:p>
    <w:p>
      <w:pPr>
        <w:spacing w:after="0" w:line="111"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our Current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Exhibit 4.3 to our Current Report on Form 8-K filed December 12, 2012).</w:t>
        </w:r>
      </w:hyperlink>
    </w:p>
    <w:p>
      <w:pPr>
        <w:spacing w:after="0" w:line="111" w:lineRule="exact"/>
        <w:rPr>
          <w:sz w:val="20"/>
          <w:szCs w:val="20"/>
          <w:color w:val="auto"/>
        </w:rPr>
      </w:pPr>
    </w:p>
    <w:p>
      <w:pPr>
        <w:ind w:left="1380" w:right="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u w:val="single" w:color="auto"/>
            <w:color w:val="0000FF"/>
          </w:rPr>
          <w:t>Current Report on Form 8-K filed April 29, 2014)</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 American</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Current Report on Form 8-K filed August 26, 2015).</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0000FF"/>
                </w:rPr>
                <w:t>Thirtieth Supplemental Indenture (4.50% Senior Notes due 2026) dated November 22, 2016,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Current Report on Form 8-K filed November 29, 2016)</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0000FF"/>
                </w:rPr>
                <w:t>Thirty-First Supplemental Indenture (3.55% Senior Notes due 2029) dated September 16, 2019, by and among Plains All</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American Pipeline, L.P., PAA Finance Corp. and U.S. Bank National Association, as trustee (incorporated by reference to Exhibit</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Current Report on Form 8-K filed September 17, 2019).</w:t>
              </w:r>
            </w:hyperlink>
          </w:p>
        </w:tc>
        <w:tc>
          <w:tcPr>
            <w:tcW w:w="4560" w:type="dxa"/>
            <w:vAlign w:val="bottom"/>
            <w:tcBorders>
              <w:top w:val="single" w:sz="8" w:color="0000FF"/>
            </w:tcBorders>
            <w:gridSpan w:val="16"/>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color w:val="0000FF"/>
                </w:rPr>
                <w:t>Thirty-Second Supplemental Indenture (3.80% Senior Notes due 2030) dated June 11, 2020,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Current Report on Form 8-K filed June 11, 2020).</w:t>
              </w:r>
            </w:hyperlink>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color w:val="0000FF"/>
                </w:rPr>
                <w:t>Thirty-Third Supplemental Indenture (5.70% Senior Notes due 2034) dated June 27, 2024, by and among Plains All American</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Pipeline, L.P., PAA Finance Corp. and U.S. Bank Trust Company, National Association, as trustee (incorporated by reference</w:t>
              </w:r>
            </w:hyperlink>
          </w:p>
        </w:tc>
        <w:tc>
          <w:tcPr>
            <w:tcW w:w="380" w:type="dxa"/>
            <w:vAlign w:val="bottom"/>
            <w:gridSpan w:val="7"/>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to</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Exhibit 4.1 to our Current Report on Form 8-K filed June 27, 2024).</w:t>
              </w:r>
            </w:hyperlink>
          </w:p>
        </w:tc>
        <w:tc>
          <w:tcPr>
            <w:tcW w:w="8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0000FF"/>
                </w:rPr>
                <w:t>Thirty-Fourth Supplemental Indenture (5.950% Senior Notes due 2035) dated January 15, 2025, by and among Plains All</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American Pipeline, L.P., PAA Finance Corp. and U.S. Bank Trust Company, National Association, as trustee (incorporated</w:t>
              </w:r>
            </w:hyperlink>
          </w:p>
        </w:tc>
        <w:tc>
          <w:tcPr>
            <w:tcW w:w="740" w:type="dxa"/>
            <w:vAlign w:val="bottom"/>
            <w:gridSpan w:val="10"/>
          </w:tcPr>
          <w:p>
            <w:pPr>
              <w:ind w:left="140"/>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by</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reference to Exhibit 4.1 to our Current Report on Form 8-K filed January 15, 2025).</w:t>
              </w:r>
            </w:hyperlink>
          </w:p>
        </w:tc>
        <w:tc>
          <w:tcPr>
            <w:tcW w:w="3020" w:type="dxa"/>
            <w:vAlign w:val="bottom"/>
            <w:tcBorders>
              <w:top w:val="single" w:sz="8" w:color="0000FF"/>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0000FF"/>
                </w:rPr>
                <w:t>Registration Rights Agreement dated September 3, 2009 by and between Plains All American Pipeline, L.P. and Vulcan Gas</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Storage LLC (incorporated by reference to Exhibit 4.1 to our Registration Statement on Form S-3, File No. 333-162477).</w:t>
              </w:r>
            </w:hyperlink>
          </w:p>
        </w:tc>
        <w:tc>
          <w:tcPr>
            <w:tcW w:w="2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Registration Rights Agreement dated as of January 28, 2016 among Plains All American Pipeline, L.P. and the Purchasers named</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therein (incorporated by reference to Exhibit 4.1 to our Current Report on Form 8-K filed February 2, 2016).</w:t>
              </w:r>
            </w:hyperlink>
          </w:p>
        </w:tc>
        <w:tc>
          <w:tcPr>
            <w:tcW w:w="1480" w:type="dxa"/>
            <w:vAlign w:val="bottom"/>
            <w:tcBorders>
              <w:top w:val="single" w:sz="8" w:color="0000FF"/>
            </w:tcBorders>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Registration Rights Agreement by and among Plains All American Pipeline, L.P. and the Holders defined therein, dated November</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15, 2016 (incorporated by reference to Exhibit 10.4 to our Current Report on Form 8-K filed November 21, 2016).</w:t>
              </w:r>
            </w:hyperlink>
          </w:p>
        </w:tc>
        <w:tc>
          <w:tcPr>
            <w:tcW w:w="11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Description of Our Securities (incorporated by reference to Exhibit 4.17 to our Annual Report on Form 10-K for the year ended</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December 31, 2024).</w:t>
              </w:r>
            </w:hyperlink>
          </w:p>
        </w:tc>
        <w:tc>
          <w:tcPr>
            <w:tcW w:w="7660" w:type="dxa"/>
            <w:vAlign w:val="bottom"/>
            <w:tcBorders>
              <w:top w:val="single" w:sz="8" w:color="0000FF"/>
            </w:tcBorders>
            <w:gridSpan w:val="15"/>
          </w:tcPr>
          <w:p>
            <w:pPr>
              <w:spacing w:after="0"/>
              <w:rPr>
                <w:sz w:val="13"/>
                <w:szCs w:val="13"/>
                <w:color w:val="auto"/>
              </w:rPr>
            </w:pPr>
          </w:p>
        </w:tc>
        <w:tc>
          <w:tcPr>
            <w:tcW w:w="300" w:type="dxa"/>
            <w:vAlign w:val="bottom"/>
            <w:gridSpan w:val="6"/>
          </w:tcPr>
          <w:p>
            <w:pPr>
              <w:spacing w:after="0"/>
              <w:rPr>
                <w:sz w:val="13"/>
                <w:szCs w:val="13"/>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31.1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tcBorders>
              <w:left w:val="single" w:sz="8" w:color="0000FF"/>
            </w:tcBorders>
            <w:gridSpan w:val="14"/>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31.2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Exchange Act Rules 13a-14(a) and 15d-14(a).</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14"/>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tcBorders>
              <w:left w:val="single" w:sz="8" w:color="0000FF"/>
            </w:tcBorders>
            <w:gridSpan w:val="16"/>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r>
      <w:tr>
        <w:trPr>
          <w:trHeight w:val="30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28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r>
        <w:trPr>
          <w:trHeight w:val="905"/>
        </w:trPr>
        <w:tc>
          <w:tcPr>
            <w:tcW w:w="1180" w:type="dxa"/>
            <w:vAlign w:val="bottom"/>
          </w:tcPr>
          <w:p>
            <w:pPr>
              <w:spacing w:after="0"/>
              <w:rPr>
                <w:sz w:val="24"/>
                <w:szCs w:val="24"/>
                <w:color w:val="auto"/>
              </w:rPr>
            </w:pPr>
          </w:p>
        </w:tc>
        <w:tc>
          <w:tcPr>
            <w:tcW w:w="4560" w:type="dxa"/>
            <w:vAlign w:val="bottom"/>
            <w:gridSpan w:val="4"/>
          </w:tcPr>
          <w:p>
            <w:pPr>
              <w:ind w:left="4360"/>
              <w:spacing w:after="0"/>
              <w:rPr>
                <w:sz w:val="20"/>
                <w:szCs w:val="20"/>
                <w:color w:val="auto"/>
              </w:rPr>
            </w:pPr>
            <w:r>
              <w:rPr>
                <w:rFonts w:ascii="Times New Roman" w:cs="Times New Roman" w:eastAsia="Times New Roman" w:hAnsi="Times New Roman"/>
                <w:sz w:val="18"/>
                <w:szCs w:val="18"/>
                <w:color w:val="auto"/>
                <w:w w:val="99"/>
              </w:rPr>
              <w:t>56</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24599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21"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18"/>
          <w:szCs w:val="18"/>
          <w:color w:val="auto"/>
        </w:rPr>
        <w:t>Date: May 9, 2025</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9, 2025</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9,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7"/>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5"/>
    </w:lvl>
  </w:abstractNum>
  <w:abstractNum w:abstractNumId="22">
    <w:nsid w:val="3006C83E"/>
    <w:multiLevelType w:val="hybridMultilevel"/>
    <w:lvl w:ilvl="0">
      <w:lvlJc w:val="left"/>
      <w:lvlText w:val="(%1)"/>
      <w:numFmt w:val="decimal"/>
      <w:start w:val="9"/>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Roman"/>
      <w:start w:val="5"/>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1" Type="http://schemas.openxmlformats.org/officeDocument/2006/relationships/image" Target="media/image79.png"/><Relationship Id="rId117"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86" Type="http://schemas.openxmlformats.org/officeDocument/2006/relationships/hyperlink" Target="https://www.sec.gov/Archives/edgar/data/1070423/000110465917061889/a17-22685_5ex3d1.htm#Exhibit3_1_122228" TargetMode="External"/><Relationship Id="rId87" Type="http://schemas.openxmlformats.org/officeDocument/2006/relationships/hyperlink" Target="https://www.sec.gov/Archives/edgar/data/1070423/000104746904016502/a2135501zex-3_2.htm" TargetMode="External"/><Relationship Id="rId88" Type="http://schemas.openxmlformats.org/officeDocument/2006/relationships/hyperlink" Target="https://www.sec.gov/Archives/edgar/data/1070423/000110465911010359/a11-2319_1ex3d9.htm" TargetMode="External"/><Relationship Id="rId89" Type="http://schemas.openxmlformats.org/officeDocument/2006/relationships/hyperlink" Target="https://www.sec.gov/Archives/edgar/data/1070423/000110465911010359/a11-2319_1ex3d10.htm" TargetMode="External"/><Relationship Id="rId90" Type="http://schemas.openxmlformats.org/officeDocument/2006/relationships/hyperlink" Target="https://www.sec.gov/Archives/edgar/data/1070423/000110465914014322/a13-25941_1ex3d7.htm" TargetMode="External"/><Relationship Id="rId91" Type="http://schemas.openxmlformats.org/officeDocument/2006/relationships/hyperlink" Target="https://www.sec.gov/Archives/edgar/data/1070423/000110465914014322/a13-25941_1ex3d8.htm" TargetMode="External"/><Relationship Id="rId92" Type="http://schemas.openxmlformats.org/officeDocument/2006/relationships/hyperlink" Target="https://www.sec.gov/Archives/edgar/data/1070423/000107042320000004/paa201910-kexhibit37.htm" TargetMode="External"/><Relationship Id="rId93" Type="http://schemas.openxmlformats.org/officeDocument/2006/relationships/hyperlink" Target="https://www.sec.gov/Archives/edgar/data/1070423/000104746904016502/a2135501zex-3_3.htm" TargetMode="External"/><Relationship Id="rId94" Type="http://schemas.openxmlformats.org/officeDocument/2006/relationships/hyperlink" Target="https://www.sec.gov/Archives/edgar/data/1070423/000110465914014322/a13-25941_1ex3d10.htm" TargetMode="External"/><Relationship Id="rId95" Type="http://schemas.openxmlformats.org/officeDocument/2006/relationships/hyperlink" Target="https://www.sec.gov/Archives/edgar/data/1070423/000110465916158355/a16-21841_1ex3d3.htm" TargetMode="External"/><Relationship Id="rId96" Type="http://schemas.openxmlformats.org/officeDocument/2006/relationships/hyperlink" Target="https://www.sec.gov/Archives/edgar/data/1070423/000110465916158355/a16-21841_1ex3d4.htm" TargetMode="External"/><Relationship Id="rId97" Type="http://schemas.openxmlformats.org/officeDocument/2006/relationships/hyperlink" Target="https://www.sec.gov/Archives/edgar/data/1070423/000110465918060011/a18-36196_1ex3d1.htm" TargetMode="External"/><Relationship Id="rId98" Type="http://schemas.openxmlformats.org/officeDocument/2006/relationships/hyperlink" Target="https://www.sec.gov/Archives/edgar/data/1070423/000110465919032810/a19-10856_1ex3d1.htm" TargetMode="External"/><Relationship Id="rId99" Type="http://schemas.openxmlformats.org/officeDocument/2006/relationships/hyperlink" Target="https://www.sec.gov/Archives/edgar/data/1070423/000110465923093997/tm2324104d2_ex3-1.htm" TargetMode="External"/><Relationship Id="rId100" Type="http://schemas.openxmlformats.org/officeDocument/2006/relationships/hyperlink" Target="https://www.sec.gov/Archives/edgar/data/1070423/000095012907001096/h43224exv3w10.htm" TargetMode="External"/><Relationship Id="rId102" Type="http://schemas.openxmlformats.org/officeDocument/2006/relationships/hyperlink" Target="https://www.sec.gov/Archives/edgar/data/1070423/000095012907001096/h43224exv3w11.htm" TargetMode="External"/><Relationship Id="rId103" Type="http://schemas.openxmlformats.org/officeDocument/2006/relationships/hyperlink" Target="https://www.sec.gov/Archives/edgar/data/1070423/000095012908000071/h52770exv3w3.htm" TargetMode="External"/><Relationship Id="rId104" Type="http://schemas.openxmlformats.org/officeDocument/2006/relationships/hyperlink" Target="https://www.sec.gov/Archives/edgar/data/1581990/000104746913007875/a2216069zex-3_1.htm" TargetMode="External"/><Relationship Id="rId105" Type="http://schemas.openxmlformats.org/officeDocument/2006/relationships/hyperlink" Target="https://www.sec.gov/Archives/edgar/data/1581990/000110465916158356/a16-21845_1ex3d2.htm" TargetMode="External"/><Relationship Id="rId106" Type="http://schemas.openxmlformats.org/officeDocument/2006/relationships/hyperlink" Target="https://www.sec.gov/Archives/edgar/data/1581990/000158199020000012/exhibit31.htm" TargetMode="External"/><Relationship Id="rId107" Type="http://schemas.openxmlformats.org/officeDocument/2006/relationships/hyperlink" Target="https://www.sec.gov/Archives/edgar/data/1581990/000104746913007875/a2216069zex-3_3.htm" TargetMode="External"/><Relationship Id="rId108" Type="http://schemas.openxmlformats.org/officeDocument/2006/relationships/hyperlink" Target="https://www.sec.gov/Archives/edgar/data/1070423/000107042322000006/paa202110-kexhibite69.htm" TargetMode="External"/><Relationship Id="rId109" Type="http://schemas.openxmlformats.org/officeDocument/2006/relationships/hyperlink" Target="https://www.sec.gov/Archives/edgar/data/1070423/000089924302002834/dex41.txt" TargetMode="External"/><Relationship Id="rId110" Type="http://schemas.openxmlformats.org/officeDocument/2006/relationships/hyperlink" Target="https://www.sec.gov/Archives/edgar/data/1070423/000110465906034368/a06-11663_1ex4d1.htm" TargetMode="External"/><Relationship Id="rId111" Type="http://schemas.openxmlformats.org/officeDocument/2006/relationships/hyperlink" Target="https://www.sec.gov/Archives/edgar/data/1070423/000095012906009235/h40667exv4w2.htm" TargetMode="External"/><Relationship Id="rId112" Type="http://schemas.openxmlformats.org/officeDocument/2006/relationships/hyperlink" Target="https://www.sec.gov/Archives/edgar/data/1070423/000119312512132295/d321017dex43.htm" TargetMode="External"/><Relationship Id="rId113" Type="http://schemas.openxmlformats.org/officeDocument/2006/relationships/hyperlink" Target="https://www.sec.gov/Archives/edgar/data/1070423/000119312512499932/d453762dex43.htm" TargetMode="External"/><Relationship Id="rId114" Type="http://schemas.openxmlformats.org/officeDocument/2006/relationships/hyperlink" Target="https://www.sec.gov/Archives/edgar/data/1070423/000119312514164183/d713938dex41.htm" TargetMode="External"/><Relationship Id="rId115" Type="http://schemas.openxmlformats.org/officeDocument/2006/relationships/hyperlink" Target="https://www.sec.gov/Archives/edgar/data/1070423/000119312514440007/d833885dex43.htm" TargetMode="External"/><Relationship Id="rId116" Type="http://schemas.openxmlformats.org/officeDocument/2006/relationships/hyperlink" Target="https://www.sec.gov/Archives/edgar/data/1070423/000119312515302829/d45393dex41.htm" TargetMode="External"/><Relationship Id="rId118" Type="http://schemas.openxmlformats.org/officeDocument/2006/relationships/hyperlink" Target="https://www.sec.gov/Archives/edgar/data/1070423/000110465916159593/a16-22232_1ex4d1.htm" TargetMode="External"/><Relationship Id="rId119" Type="http://schemas.openxmlformats.org/officeDocument/2006/relationships/hyperlink" Target="https://www.sec.gov/Archives/edgar/data/1070423/000141057819001281/tv529555_ex4-1.htm" TargetMode="External"/><Relationship Id="rId120" Type="http://schemas.openxmlformats.org/officeDocument/2006/relationships/hyperlink" Target="https://www.sec.gov/Archives/edgar/data/1070423/000110465920072270/tm2022235d1_ex4-1.htm" TargetMode="External"/><Relationship Id="rId121" Type="http://schemas.openxmlformats.org/officeDocument/2006/relationships/hyperlink" Target="https://www.sec.gov/Archives/edgar/data/1070423/000110465924075672/tm2418387d1_ex4-1.htm" TargetMode="External"/><Relationship Id="rId122" Type="http://schemas.openxmlformats.org/officeDocument/2006/relationships/hyperlink" Target="https://www.sec.gov/Archives/edgar/data/1070423/000110465925003785/tm253436d1_ex4-1.htm" TargetMode="External"/><Relationship Id="rId123" Type="http://schemas.openxmlformats.org/officeDocument/2006/relationships/hyperlink" Target="https://www.sec.gov/Archives/edgar/data/1070423/000095012309050401/h68193exv4w1.htm" TargetMode="External"/><Relationship Id="rId124" Type="http://schemas.openxmlformats.org/officeDocument/2006/relationships/hyperlink" Target="https://www.sec.gov/Archives/edgar/data/1070423/000110465916093299/a16-3362_1ex4d1.htm" TargetMode="External"/><Relationship Id="rId125" Type="http://schemas.openxmlformats.org/officeDocument/2006/relationships/hyperlink" Target="https://www.sec.gov/Archives/edgar/data/1070423/000110465916158355/a16-21841_1ex10d4.htm" TargetMode="External"/><Relationship Id="rId126" Type="http://schemas.openxmlformats.org/officeDocument/2006/relationships/hyperlink" Target="https://www.sec.gov/Archives/edgar/data/1070423/000107042325000006/paa2024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2025-05-09T15:18:33Z</dcterms:created>
  <dcterms:modified xsi:type="dcterms:W3CDTF">2025-05-09T15:18:33Z</dcterms:modified>
</cp:coreProperties>
</file>