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10"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5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10" w:lineRule="exact"/>
        <w:rPr>
          <w:sz w:val="24"/>
          <w:szCs w:val="24"/>
          <w:color w:val="auto"/>
        </w:rPr>
      </w:pPr>
    </w:p>
    <w:p>
      <w:pPr>
        <w:ind w:firstLine="324"/>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4" w:lineRule="exact"/>
        <w:rPr>
          <w:sz w:val="24"/>
          <w:szCs w:val="24"/>
          <w:color w:val="auto"/>
        </w:rPr>
      </w:pPr>
    </w:p>
    <w:p>
      <w:pPr>
        <w:ind w:right="120" w:firstLine="369"/>
        <w:spacing w:after="0" w:line="26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5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7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107" w:lineRule="exact"/>
        <w:rPr>
          <w:sz w:val="24"/>
          <w:szCs w:val="24"/>
          <w:color w:val="auto"/>
        </w:rPr>
      </w:pPr>
    </w:p>
    <w:p>
      <w:pPr>
        <w:ind w:left="18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107"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98" w:lineRule="exact"/>
        <w:rPr>
          <w:sz w:val="24"/>
          <w:szCs w:val="24"/>
          <w:color w:val="auto"/>
        </w:rPr>
      </w:pPr>
    </w:p>
    <w:p>
      <w:pPr>
        <w:sectPr>
          <w:pgSz w:w="11900" w:h="16838" w:orient="portrait"/>
          <w:cols w:equalWidth="0" w:num="2">
            <w:col w:w="6620" w:space="720"/>
            <w:col w:w="3840"/>
          </w:cols>
          <w:pgMar w:left="320" w:top="233" w:right="399" w:bottom="1440" w:gutter="0" w:footer="0" w:header="0"/>
          <w:type w:val="continuous"/>
        </w:sectPr>
      </w:pPr>
    </w:p>
    <w:p>
      <w:pPr>
        <w:ind w:right="100" w:firstLine="351"/>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4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31, 2023, there were 196,416,760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308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7120" w:type="dxa"/>
            <w:vAlign w:val="bottom"/>
            <w:gridSpan w:val="17"/>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FF"/>
            </w:tcBorders>
            <w:gridSpan w:val="17"/>
            <w:vMerge w:val="continue"/>
          </w:tcPr>
          <w:p>
            <w:pPr>
              <w:spacing w:after="0"/>
              <w:rPr>
                <w:sz w:val="14"/>
                <w:szCs w:val="14"/>
                <w:color w:val="auto"/>
              </w:rPr>
            </w:pPr>
          </w:p>
        </w:tc>
        <w:tc>
          <w:tcPr>
            <w:tcW w:w="7120" w:type="dxa"/>
            <w:vAlign w:val="bottom"/>
            <w:gridSpan w:val="17"/>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6"/>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Arial" w:cs="Arial" w:eastAsia="Arial" w:hAnsi="Arial"/>
                <w:sz w:val="18"/>
                <w:szCs w:val="18"/>
                <w:color w:val="0000FF"/>
                <w:w w:val="89"/>
              </w:rPr>
              <w:t>Condensed Consolidated Statements of Comprehensive Income/(Loss): For the three and nine months ended September 30,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0" w:type="dxa"/>
            <w:vAlign w:val="bottom"/>
            <w:gridSpan w:val="32"/>
          </w:tcPr>
          <w:p>
            <w:pPr>
              <w:spacing w:after="0"/>
              <w:rPr>
                <w:sz w:val="20"/>
                <w:szCs w:val="20"/>
                <w:color w:val="auto"/>
              </w:rPr>
            </w:pPr>
            <w:r>
              <w:rPr>
                <w:rFonts w:ascii="Arial" w:cs="Arial" w:eastAsia="Arial" w:hAnsi="Arial"/>
                <w:sz w:val="18"/>
                <w:szCs w:val="18"/>
                <w:color w:val="0000FF"/>
                <w:w w:val="92"/>
              </w:rPr>
              <w:t>Condensed Consolidated Statements of Changes in Accumulated Other Comprehensive Income/(Loss): For the three and nine months</w:t>
            </w:r>
          </w:p>
        </w:tc>
        <w:tc>
          <w:tcPr>
            <w:tcW w:w="60" w:type="dxa"/>
            <w:vAlign w:val="bottom"/>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500" w:type="dxa"/>
            <w:vAlign w:val="bottom"/>
            <w:tcBorders>
              <w:top w:val="single" w:sz="8" w:color="0000FF"/>
            </w:tcBorders>
            <w:gridSpan w:val="29"/>
          </w:tcPr>
          <w:p>
            <w:pPr>
              <w:spacing w:after="0" w:line="142" w:lineRule="exact"/>
              <w:rPr>
                <w:sz w:val="20"/>
                <w:szCs w:val="20"/>
                <w:color w:val="auto"/>
              </w:rPr>
            </w:pPr>
            <w:r>
              <w:rPr>
                <w:rFonts w:ascii="Arial" w:cs="Arial" w:eastAsia="Arial" w:hAnsi="Arial"/>
                <w:sz w:val="16"/>
                <w:szCs w:val="16"/>
                <w:color w:val="0000FF"/>
              </w:rPr>
              <w:t>ended September 30, 2023 and 2022</w:t>
            </w:r>
          </w:p>
        </w:tc>
        <w:tc>
          <w:tcPr>
            <w:tcW w:w="2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2023 and 2022</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Arial" w:cs="Arial" w:eastAsia="Arial" w:hAnsi="Arial"/>
                <w:sz w:val="18"/>
                <w:szCs w:val="18"/>
                <w:color w:val="0000FF"/>
                <w:w w:val="90"/>
              </w:rPr>
              <w:t>Condensed Consolidated Statements of Changes in Partners’ Capital: For the three and nine months ended September 30,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1.</w:t>
            </w:r>
          </w:p>
        </w:tc>
        <w:tc>
          <w:tcPr>
            <w:tcW w:w="4200" w:type="dxa"/>
            <w:vAlign w:val="bottom"/>
            <w:gridSpan w:val="19"/>
          </w:tcPr>
          <w:p>
            <w:pPr>
              <w:ind w:left="20"/>
              <w:spacing w:after="0"/>
              <w:rPr>
                <w:sz w:val="20"/>
                <w:szCs w:val="20"/>
                <w:color w:val="auto"/>
              </w:rPr>
            </w:pPr>
            <w:r>
              <w:rPr>
                <w:rFonts w:ascii="Arial" w:cs="Arial" w:eastAsia="Arial" w:hAnsi="Arial"/>
                <w:sz w:val="18"/>
                <w:szCs w:val="18"/>
                <w:color w:val="0000FF"/>
                <w:w w:val="90"/>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2.</w:t>
            </w:r>
          </w:p>
        </w:tc>
        <w:tc>
          <w:tcPr>
            <w:tcW w:w="4200" w:type="dxa"/>
            <w:vAlign w:val="bottom"/>
            <w:gridSpan w:val="19"/>
          </w:tcPr>
          <w:p>
            <w:pPr>
              <w:ind w:left="20"/>
              <w:spacing w:after="0"/>
              <w:rPr>
                <w:sz w:val="20"/>
                <w:szCs w:val="20"/>
                <w:color w:val="auto"/>
              </w:rPr>
            </w:pPr>
            <w:r>
              <w:rPr>
                <w:rFonts w:ascii="Arial" w:cs="Arial" w:eastAsia="Arial" w:hAnsi="Arial"/>
                <w:sz w:val="18"/>
                <w:szCs w:val="18"/>
                <w:color w:val="0000FF"/>
              </w:rPr>
              <w:t>Revenues and Accounts Receivable</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w w:val="79"/>
              </w:rPr>
              <w:t>3.</w:t>
            </w:r>
          </w:p>
        </w:tc>
        <w:tc>
          <w:tcPr>
            <w:tcW w:w="2600" w:type="dxa"/>
            <w:vAlign w:val="bottom"/>
            <w:tcBorders>
              <w:top w:val="single" w:sz="8" w:color="0000FF"/>
            </w:tcBorders>
            <w:gridSpan w:val="13"/>
          </w:tcPr>
          <w:p>
            <w:pPr>
              <w:ind w:left="20"/>
              <w:spacing w:after="0"/>
              <w:rPr>
                <w:sz w:val="20"/>
                <w:szCs w:val="20"/>
                <w:color w:val="auto"/>
              </w:rPr>
            </w:pPr>
            <w:r>
              <w:rPr>
                <w:rFonts w:ascii="Arial" w:cs="Arial" w:eastAsia="Arial" w:hAnsi="Arial"/>
                <w:sz w:val="18"/>
                <w:szCs w:val="18"/>
                <w:color w:val="0000FF"/>
              </w:rPr>
              <w:t>Net Income Per Class A Share</w:t>
            </w: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4.</w:t>
            </w:r>
          </w:p>
        </w:tc>
        <w:tc>
          <w:tcPr>
            <w:tcW w:w="322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4"/>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5.</w:t>
            </w:r>
          </w:p>
        </w:tc>
        <w:tc>
          <w:tcPr>
            <w:tcW w:w="3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9"/>
              </w:rPr>
              <w:t>Debt</w:t>
            </w:r>
          </w:p>
        </w:tc>
        <w:tc>
          <w:tcPr>
            <w:tcW w:w="9340" w:type="dxa"/>
            <w:vAlign w:val="bottom"/>
            <w:gridSpan w:val="2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6.</w:t>
            </w:r>
          </w:p>
        </w:tc>
        <w:tc>
          <w:tcPr>
            <w:tcW w:w="254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1"/>
              </w:rPr>
              <w:t>Partners’ Capital and Distributions</w:t>
            </w:r>
          </w:p>
        </w:tc>
        <w:tc>
          <w:tcPr>
            <w:tcW w:w="718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7.</w:t>
            </w:r>
          </w:p>
        </w:tc>
        <w:tc>
          <w:tcPr>
            <w:tcW w:w="328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color w:val="0000FF"/>
                <w:w w:val="92"/>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8.</w:t>
            </w:r>
          </w:p>
        </w:tc>
        <w:tc>
          <w:tcPr>
            <w:tcW w:w="9720" w:type="dxa"/>
            <w:vAlign w:val="bottom"/>
            <w:gridSpan w:val="30"/>
          </w:tcPr>
          <w:p>
            <w:pPr>
              <w:ind w:left="20"/>
              <w:spacing w:after="0"/>
              <w:rPr>
                <w:sz w:val="20"/>
                <w:szCs w:val="20"/>
                <w:color w:val="auto"/>
              </w:rPr>
            </w:pPr>
            <w:r>
              <w:rPr>
                <w:rFonts w:ascii="Arial" w:cs="Arial" w:eastAsia="Arial" w:hAnsi="Arial"/>
                <w:sz w:val="18"/>
                <w:szCs w:val="18"/>
                <w:color w:val="0000FF"/>
              </w:rPr>
              <w:t>Related Party Transactions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9.</w:t>
            </w:r>
          </w:p>
        </w:tc>
        <w:tc>
          <w:tcPr>
            <w:tcW w:w="9720" w:type="dxa"/>
            <w:vAlign w:val="bottom"/>
            <w:gridSpan w:val="30"/>
          </w:tcPr>
          <w:p>
            <w:pPr>
              <w:ind w:left="20"/>
              <w:spacing w:after="0"/>
              <w:rPr>
                <w:sz w:val="20"/>
                <w:szCs w:val="20"/>
                <w:color w:val="auto"/>
              </w:rPr>
            </w:pPr>
            <w:r>
              <w:rPr>
                <w:rFonts w:ascii="Arial" w:cs="Arial" w:eastAsia="Arial" w:hAnsi="Arial"/>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8"/>
                <w:szCs w:val="18"/>
                <w:color w:val="0000FF"/>
                <w:w w:val="90"/>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1"/>
          </w:tcPr>
          <w:p>
            <w:pPr>
              <w:ind w:left="20"/>
              <w:spacing w:after="0"/>
              <w:rPr>
                <w:sz w:val="20"/>
                <w:szCs w:val="20"/>
                <w:color w:val="auto"/>
              </w:rPr>
            </w:pPr>
            <w:r>
              <w:rPr>
                <w:rFonts w:ascii="Arial" w:cs="Arial" w:eastAsia="Arial" w:hAnsi="Arial"/>
                <w:sz w:val="18"/>
                <w:szCs w:val="18"/>
                <w:color w:val="0000FF"/>
              </w:rPr>
              <w:t>11. Acquisitions and Divestitures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6"/>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7"/>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3"/>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7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II. OTHER INFORMATION</w:t>
            </w:r>
          </w:p>
        </w:tc>
        <w:tc>
          <w:tcPr>
            <w:tcW w:w="7420" w:type="dxa"/>
            <w:vAlign w:val="bottom"/>
            <w:gridSpan w:val="22"/>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4"/>
              </w:rPr>
              <w:t>Item 1. LEGAL PROCEEDINGS</w:t>
            </w:r>
          </w:p>
        </w:tc>
        <w:tc>
          <w:tcPr>
            <w:tcW w:w="776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Item 1A. RISK FACTORS</w:t>
            </w:r>
          </w:p>
        </w:tc>
        <w:tc>
          <w:tcPr>
            <w:tcW w:w="826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4"/>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Arial" w:cs="Arial" w:eastAsia="Arial" w:hAnsi="Arial"/>
                <w:sz w:val="18"/>
                <w:szCs w:val="18"/>
                <w:color w:val="0000FF"/>
              </w:rPr>
              <w:t>Item 5. OTHER INFORMATION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6. EXHIBITS</w:t>
            </w:r>
          </w:p>
        </w:tc>
        <w:tc>
          <w:tcPr>
            <w:tcW w:w="776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0"/>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3,907</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729</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5,358</w:t>
            </w:r>
          </w:p>
        </w:tc>
      </w:tr>
      <w:tr>
        <w:trPr>
          <w:trHeight w:val="94"/>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20,888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20,055</w:t>
            </w: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(4,802)</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15,590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15,253</w:t>
            </w:r>
          </w:p>
        </w:tc>
      </w:tr>
      <w:tr>
        <w:trPr>
          <w:trHeight w:val="94"/>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2,145</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Linefill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961</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4,045</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1,159</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w:t>
            </w:r>
          </w:p>
        </w:tc>
      </w:tr>
      <w:tr>
        <w:trPr>
          <w:trHeight w:val="95"/>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8,676</w:t>
            </w:r>
          </w:p>
        </w:tc>
      </w:tr>
      <w:tr>
        <w:trPr>
          <w:trHeight w:val="95"/>
        </w:trPr>
        <w:tc>
          <w:tcPr>
            <w:tcW w:w="8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(196,416,760 and 194,407,642 shares outstanding,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13,114</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14,638</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19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6"/>
                <w:szCs w:val="16"/>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34,726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43,390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44,390</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34,936</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43,066</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Interest expense (net of capitalized interest of $3, $1, $8, and $3,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58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142"/>
        </w:trPr>
        <w:tc>
          <w:tcPr>
            <w:tcW w:w="5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Basic and diluted net income per Class A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1"/>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194"/>
        </w:trPr>
        <w:tc>
          <w:tcPr>
            <w:tcW w:w="5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6"/>
                <w:szCs w:val="16"/>
                <w:color w:val="auto"/>
              </w:rPr>
            </w:pPr>
          </w:p>
        </w:tc>
      </w:tr>
      <w:tr>
        <w:trPr>
          <w:trHeight w:val="23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ind w:left="90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0"/>
              </w:rPr>
              <w:t>(846)</w:t>
            </w:r>
          </w:p>
        </w:tc>
        <w:tc>
          <w:tcPr>
            <w:tcW w:w="5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(1)</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period activity</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90"/>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w w:val="90"/>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ind w:left="86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2022</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asset sales and asset impairments,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sales of linefill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 (Note 7)</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r>
      <w:tr>
        <w:trPr>
          <w:trHeight w:val="196"/>
        </w:trPr>
        <w:tc>
          <w:tcPr>
            <w:tcW w:w="8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received from sales of linefill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196"/>
        </w:trPr>
        <w:tc>
          <w:tcPr>
            <w:tcW w:w="8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 (Note 5)</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6)</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196"/>
        </w:trPr>
        <w:tc>
          <w:tcPr>
            <w:tcW w:w="8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net of amounts refunded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898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24"/>
                <w:szCs w:val="24"/>
                <w:color w:val="auto"/>
              </w:rPr>
            </w:pPr>
          </w:p>
        </w:tc>
        <w:tc>
          <w:tcPr>
            <w:tcW w:w="13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units by a subsidiary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September 30, 2023,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September 30, 2023, we owned an approximate 82% limited partner interest in Plains AAP L.P. (“AAP”) through our ownership of approximately 196.4 million Class A units of AAP (“AAP Units”). We also own a 100% managing member interest in Plains All American GP LLC (“GP LLC”), a Delaware limited liability company that holds the non-economic general partner interest in AAP. AAP is a Delaware limited partnership that, as of September 30, 2023, directly owned a limited partner interest in PAA through its ownership of approximately 239.0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spacing w:after="0" w:line="21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SOFR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2022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and nine months ended September 30,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1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With the exception of a deferred tax asset of $1.259 billion and $1.309 billion as of September 30, 2023 and December 31, 2022,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2023 or the year ended December 31, 2022. See Note 17 to our Consolidated Financial Statements included in Part IV of our 2022 Annual Report on Form 10-K for information regarding the Omnibus Agreement entered into by the Plains Entities on November 15,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Except as discussed below and in our 2022 Annual Report on Form 10-K, there have been no new accounting pronouncements that have become effective or have been issued during the nine months ended September 30, 2023 that are of significance or potential significance to us.</w:t>
      </w:r>
    </w:p>
    <w:p>
      <w:pPr>
        <w:spacing w:after="0" w:line="173"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In August 2023, the FASB issued ASU 2023-05, </w:t>
      </w:r>
      <w:r>
        <w:rPr>
          <w:rFonts w:ascii="Arial" w:cs="Arial" w:eastAsia="Arial" w:hAnsi="Arial"/>
          <w:sz w:val="16"/>
          <w:szCs w:val="16"/>
          <w:i w:val="1"/>
          <w:iCs w:val="1"/>
          <w:color w:val="auto"/>
        </w:rPr>
        <w:t>Business Combinations—Joint Venture Formations (Subtopic 805-60): Recognition and Initial</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which requires a newly-formed joint venture to apply a new basis of accounting to its contributed net assets, resulting in the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January 1,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left="43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41,796</w:t>
            </w:r>
          </w:p>
        </w:tc>
      </w:tr>
      <w:tr>
        <w:trPr>
          <w:trHeight w:val="229"/>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96"/>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6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12,176</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14,445</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36,014</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42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3800" w:type="dxa"/>
            <w:vAlign w:val="bottom"/>
            <w:gridSpan w:val="3"/>
            <w:vMerge w:val="continue"/>
          </w:tcPr>
          <w:p>
            <w:pPr>
              <w:spacing w:after="0"/>
              <w:rPr>
                <w:sz w:val="17"/>
                <w:szCs w:val="17"/>
                <w:color w:val="auto"/>
              </w:rPr>
            </w:pPr>
          </w:p>
        </w:tc>
        <w:tc>
          <w:tcPr>
            <w:tcW w:w="14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6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changes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2023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6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2028 and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8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At September 30,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596"/>
              <w:spacing w:after="0"/>
              <w:rPr>
                <w:sz w:val="20"/>
                <w:szCs w:val="20"/>
                <w:color w:val="auto"/>
              </w:rPr>
            </w:pPr>
            <w:r>
              <w:rPr>
                <w:rFonts w:ascii="Arial" w:cs="Arial" w:eastAsia="Arial" w:hAnsi="Arial"/>
                <w:sz w:val="18"/>
                <w:szCs w:val="18"/>
                <w:color w:val="auto"/>
                <w:w w:val="88"/>
              </w:rPr>
              <w:t>4,449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88"/>
              </w:rPr>
              <w:t>4,141</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Arial" w:cs="Arial" w:eastAsia="Arial" w:hAnsi="Arial"/>
                <w:sz w:val="18"/>
                <w:szCs w:val="18"/>
                <w:color w:val="auto"/>
                <w:w w:val="88"/>
              </w:rPr>
              <w:t>8,278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Arial" w:cs="Arial" w:eastAsia="Arial" w:hAnsi="Arial"/>
                <w:sz w:val="18"/>
                <w:szCs w:val="18"/>
                <w:color w:val="auto"/>
                <w:w w:val="88"/>
              </w:rPr>
              <w:t>7,216</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4"/>
              </w:rPr>
              <w:t>(8,474)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color w:val="auto"/>
                <w:w w:val="94"/>
              </w:rPr>
              <w:t>(7,450)</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596"/>
              <w:spacing w:after="0"/>
              <w:rPr>
                <w:sz w:val="20"/>
                <w:szCs w:val="20"/>
                <w:color w:val="auto"/>
              </w:rPr>
            </w:pPr>
            <w:r>
              <w:rPr>
                <w:rFonts w:ascii="Arial" w:cs="Arial" w:eastAsia="Arial" w:hAnsi="Arial"/>
                <w:sz w:val="18"/>
                <w:szCs w:val="18"/>
                <w:color w:val="auto"/>
                <w:w w:val="88"/>
              </w:rPr>
              <w:t>4,253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576"/>
              <w:spacing w:after="0"/>
              <w:rPr>
                <w:sz w:val="20"/>
                <w:szCs w:val="20"/>
                <w:color w:val="auto"/>
              </w:rPr>
            </w:pPr>
            <w:r>
              <w:rPr>
                <w:rFonts w:ascii="Arial" w:cs="Arial" w:eastAsia="Arial" w:hAnsi="Arial"/>
                <w:sz w:val="18"/>
                <w:szCs w:val="18"/>
                <w:color w:val="auto"/>
                <w:w w:val="88"/>
              </w:rPr>
              <w:t>3,907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1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2022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2022 Annual Report on Form 10-K for information regarding PAGP LTIP awards.</w:t>
      </w:r>
    </w:p>
    <w:p>
      <w:pPr>
        <w:spacing w:after="0" w:line="19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On a weighted-average basis, for the three and nine months ended September 30, 2023, the possible exchange of 45 million and 46 million AAP units, respectively, would not have had a dilutive effect on basic net income per Class A share. On a weighted-average basis, for each of the three and nine months ended September 30, 2022, the possible exchange of 47 million AAP units would not have had a dilutive effect on basic net income per Class A share. For each of the three and nine months ended September 30, 2023 and 2022, our PAGP LTIP awards were dilutive; however, this did not change the presentation of diluted weighted average Class A shares outstanding or diluted net income per Class A share.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5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5"/>
        </w:trPr>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60"/>
              <w:spacing w:after="0" w:line="130"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30"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80"/>
              <w:spacing w:after="0" w:line="130"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30"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30"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1"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15,255</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6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15"/>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PAA 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2.85% senior notes due January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3.85% senior notes due October 2023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40"/>
              <w:spacing w:after="0"/>
              <w:rPr>
                <w:sz w:val="20"/>
                <w:szCs w:val="20"/>
                <w:color w:val="auto"/>
              </w:rPr>
            </w:pPr>
            <w:r>
              <w:rPr>
                <w:rFonts w:ascii="Arial" w:cs="Arial" w:eastAsia="Arial" w:hAnsi="Arial"/>
                <w:sz w:val="18"/>
                <w:szCs w:val="18"/>
                <w:color w:val="auto"/>
                <w:w w:val="90"/>
              </w:rPr>
              <w:t>Total short-term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senior notes, net of unamortized discounts and debt issuance costs of $42 and $46, respectively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80"/>
              <w:spacing w:after="0"/>
              <w:rPr>
                <w:sz w:val="20"/>
                <w:szCs w:val="20"/>
                <w:color w:val="auto"/>
              </w:rPr>
            </w:pPr>
            <w:r>
              <w:rPr>
                <w:rFonts w:ascii="Arial" w:cs="Arial" w:eastAsia="Arial" w:hAnsi="Arial"/>
                <w:sz w:val="18"/>
                <w:szCs w:val="18"/>
                <w:color w:val="auto"/>
                <w:w w:val="91"/>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2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660" w:hanging="652"/>
        <w:spacing w:after="0" w:line="275" w:lineRule="auto"/>
        <w:tabs>
          <w:tab w:leader="none" w:pos="64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PAA’s fixed-rate senior notes had a face value of approximately $8.0 billion and $8.4 billion as of September 30, 2023 and December 31, 2022, respectively. We estimated the aggregate fair value of these notes as of September 30, 2023 and December 31, 2022 to be approximately $7.1 billion and $7.6 billion, respectively. PAA’s fixed-rate senior notes are traded among institutions, and these trades are routinely published by a reporting service. Our determination of fair value is based on reported trading activity near the end of the reporting period. The fair value estimate for PAA’s senior notes is based upon observable market data and is classified in Level 2 of the fair value hierarchy.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2023, PAA extended the maturity dates of its senior secured hedged inventory facility and senior unsecured revolving credit facility by one year to August 2026 and August 2028, respectively, for each extending lender. The maturity date with respect to the non-extending lender under PAA’s senior unsecured revolving credit facility (which represents a commitment of approximately $64 million out of total commitments of $1.35 billion from all lenders) remains August 2027.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2023 and 2022 were approximately $4.9 billion and $19.3 billion, respectively. Total repayments under the PAA credit facilities and commercial paper program were approximately $4.9 billion and $19.3 billion for the nine months ended September 30, 2023 and 2022,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January 31, 2023, PAA redeemed its 2.85%, $400 million senior notes due January 2023. On October 16, 2023, PAA redeemed its 3.85%, $700 million senior notes due October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2023 and December 31, 2022, we had outstanding letters of credit of $147 million and $102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194,407,642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46,205,947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528,442,538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 (2)</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388,839</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35,508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March 31, 2023</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194,407,642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46,412,870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528,659,962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1,554,000</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(1,554,000)</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Outstanding at June 30, 2023</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195,961,642</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44,798,516</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528,720,316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315,768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(315,768)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(1,892,538)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1,892,538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2023</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196,416,760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42,590,210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533,076,010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194,192,777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46,645,514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534,596,831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205,024</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Repurchase and cancellation of common units by a subsidiary under the Common Equity</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53,023</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Repurchase and cancellation of common units by a subsidiary under the Common Equity</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147,830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46,855,904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527,557,194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21,874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(21,874)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194,286,066</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46,834,030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527,914,218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left="20" w:right="320" w:hanging="11"/>
        <w:spacing w:after="0" w:line="277" w:lineRule="auto"/>
        <w:rPr>
          <w:sz w:val="20"/>
          <w:szCs w:val="20"/>
          <w:color w:val="auto"/>
        </w:rPr>
      </w:pPr>
      <w:r>
        <w:rPr>
          <w:rFonts w:ascii="Arial" w:cs="Arial" w:eastAsia="Arial" w:hAnsi="Arial"/>
          <w:sz w:val="18"/>
          <w:szCs w:val="18"/>
          <w:color w:val="auto"/>
        </w:rPr>
        <w:t>See Note 12 to our Consolidated Financial Statements included in Part IV of our 2022 Annual Report on Form 10-K for information regarding conversions of AAP Management Units, Exchange Rights and Redemption Rights.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Following this conversion, no AAP Management Units remain outstanding.</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2023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jc w:val="right"/>
              <w:ind w:right="63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140" w:type="dxa"/>
            <w:vAlign w:val="bottom"/>
            <w:gridSpan w:val="2"/>
            <w:vMerge w:val="continue"/>
          </w:tcPr>
          <w:p>
            <w:pPr>
              <w:spacing w:after="0"/>
              <w:rPr>
                <w:sz w:val="16"/>
                <w:szCs w:val="16"/>
                <w:color w:val="auto"/>
              </w:rPr>
            </w:pPr>
          </w:p>
        </w:tc>
        <w:tc>
          <w:tcPr>
            <w:tcW w:w="2060" w:type="dxa"/>
            <w:vAlign w:val="bottom"/>
          </w:tcPr>
          <w:p>
            <w:pPr>
              <w:jc w:val="right"/>
              <w:ind w:right="76"/>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3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9"/>
        </w:trPr>
        <w:tc>
          <w:tcPr>
            <w:tcW w:w="60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November 14,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August 14, 2023</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2023</w:t>
            </w:r>
          </w:p>
        </w:tc>
        <w:tc>
          <w:tcPr>
            <w:tcW w:w="2060" w:type="dxa"/>
            <w:vAlign w:val="bottom"/>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February 14, 2023</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9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Payable to shareholders of record at the close of business on October 31, 2023 for the period from July 1, 2023 through September 30,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2023, noncontrolling interests in our subsidiaries consisted of (i) limited partner interests in PAA including a 69% interest in PAA’s common units and PAA’s Series A preferred units combined and 100% of PAA’s Series B preferred units, (ii) an approximate 18% limited partner interest in AAP, (iii) a 35% interest in Plains Oryx Permian Basin LLC (the “Permian JV”), (iv) a 30% interest in Cactus II Pipeline LLC (“Cactus II”) and (v) a 33% interest in Red River Pipeline Company LLC (“Red River”).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PAA Series A Preferred Unit Distributions</w:t>
      </w:r>
      <w:r>
        <w:rPr>
          <w:rFonts w:ascii="Arial" w:cs="Arial" w:eastAsia="Arial" w:hAnsi="Arial"/>
          <w:sz w:val="17"/>
          <w:szCs w:val="17"/>
          <w:color w:val="auto"/>
        </w:rPr>
        <w:t>. After the fifth anniversary of the January 28, 2016 issuance date of PAA’s Series A preferred units,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 The following table details distributions to PAA’s Series A preferred unitholders paid during or pertaining to the first nine months of 2023 (in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Arial" w:cs="Arial" w:eastAsia="Arial" w:hAnsi="Arial"/>
                <w:sz w:val="14"/>
                <w:szCs w:val="14"/>
                <w:b w:val="1"/>
                <w:bCs w:val="1"/>
                <w:color w:val="auto"/>
              </w:rPr>
              <w:t>Series A Preferred Unitholders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November 14,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August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15,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February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4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31, 2023 for the period from July 1, 2023 through September 30, 2023. At September 30, 2023,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accumulate and are payable quarterly in arrears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15th day of February, May, August and November. From November 15, 2022 through August 14, 2023, distributions on PAA’s Series B preferred units accumulated for each distribution period at a percentage of the liquidation preference of $1,000 per unit equal to the applicable three-month LIBOR plus a spread of 4.11% per annum. Beginning August 15, 2023, distributions on PAA’s Series B preferred units accumulate based on the applicable three-month SOFR, plus a credit spread adjustment of 0.26121%, plus 4.11% per annum. The following table details distributions paid or to be paid to PAA’s Series B preferred unitholders (in millions, except per unit data):</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Arial" w:cs="Arial" w:eastAsia="Arial" w:hAnsi="Arial"/>
                <w:sz w:val="14"/>
                <w:szCs w:val="14"/>
                <w:b w:val="1"/>
                <w:bCs w:val="1"/>
                <w:color w:val="auto"/>
              </w:rPr>
              <w:t>Series B Preferred Unitholders</w:t>
            </w:r>
          </w:p>
        </w:tc>
        <w:tc>
          <w:tcPr>
            <w:tcW w:w="0" w:type="dxa"/>
            <w:vAlign w:val="bottom"/>
          </w:tcPr>
          <w:p>
            <w:pPr>
              <w:spacing w:after="0"/>
              <w:rPr>
                <w:sz w:val="1"/>
                <w:szCs w:val="1"/>
                <w:color w:val="auto"/>
              </w:rPr>
            </w:pPr>
          </w:p>
        </w:tc>
      </w:tr>
      <w:tr>
        <w:trPr>
          <w:trHeight w:val="26"/>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30" w:lineRule="exact"/>
              <w:rPr>
                <w:sz w:val="20"/>
                <w:szCs w:val="20"/>
                <w:color w:val="auto"/>
              </w:rPr>
            </w:pPr>
            <w:r>
              <w:rPr>
                <w:rFonts w:ascii="Arial" w:cs="Arial" w:eastAsia="Arial" w:hAnsi="Arial"/>
                <w:sz w:val="18"/>
                <w:szCs w:val="18"/>
                <w:color w:val="auto"/>
              </w:rPr>
              <w:t xml:space="preserve">November 15,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Arial" w:cs="Arial" w:eastAsia="Arial" w:hAnsi="Arial"/>
                <w:sz w:val="18"/>
                <w:szCs w:val="18"/>
                <w:color w:val="auto"/>
              </w:rPr>
              <w:t>August 15,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Arial" w:cs="Arial" w:eastAsia="Arial" w:hAnsi="Arial"/>
                <w:sz w:val="18"/>
                <w:szCs w:val="18"/>
                <w:color w:val="auto"/>
              </w:rPr>
              <w:t>February 15,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44" w:lineRule="exact"/>
        <w:rPr>
          <w:sz w:val="20"/>
          <w:szCs w:val="20"/>
          <w:color w:val="auto"/>
        </w:rPr>
      </w:pPr>
    </w:p>
    <w:p>
      <w:pPr>
        <w:ind w:left="660" w:right="160" w:hanging="652"/>
        <w:spacing w:after="0" w:line="234"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November 1, 2023 for the period from August 15, 2023 through November 14, 2023. At September 30, 2023, approximately $10 million of accrued distributions payable to PAA’s Series B preferred unitholders was included in “Other current liabilities” on our Condensed Consolidated Balance Sheet.</w:t>
      </w:r>
    </w:p>
    <w:p>
      <w:pPr>
        <w:spacing w:after="0" w:line="23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2023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Cash Distribution per</w:t>
            </w:r>
          </w:p>
        </w:tc>
      </w:tr>
      <w:tr>
        <w:trPr>
          <w:trHeight w:val="196"/>
        </w:trPr>
        <w:tc>
          <w:tcPr>
            <w:tcW w:w="4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Public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56"/>
              <w:spacing w:after="0"/>
              <w:rPr>
                <w:sz w:val="20"/>
                <w:szCs w:val="20"/>
                <w:color w:val="auto"/>
              </w:rPr>
            </w:pPr>
            <w:r>
              <w:rPr>
                <w:rFonts w:ascii="Arial" w:cs="Arial" w:eastAsia="Arial" w:hAnsi="Arial"/>
                <w:sz w:val="14"/>
                <w:szCs w:val="14"/>
                <w:b w:val="1"/>
                <w:bCs w:val="1"/>
                <w:color w:val="auto"/>
              </w:rPr>
              <w:t>Common Unit</w:t>
            </w:r>
          </w:p>
        </w:tc>
      </w:tr>
      <w:tr>
        <w:trPr>
          <w:trHeight w:val="229"/>
        </w:trPr>
        <w:tc>
          <w:tcPr>
            <w:tcW w:w="40" w:type="dxa"/>
            <w:vAlign w:val="bottom"/>
          </w:tcPr>
          <w:p>
            <w:pPr>
              <w:spacing w:after="0"/>
              <w:rPr>
                <w:sz w:val="19"/>
                <w:szCs w:val="19"/>
                <w:color w:val="auto"/>
              </w:rPr>
            </w:pPr>
          </w:p>
        </w:tc>
        <w:tc>
          <w:tcPr>
            <w:tcW w:w="4400" w:type="dxa"/>
            <w:vAlign w:val="bottom"/>
            <w:tcBorders>
              <w:top w:val="single" w:sz="8" w:color="auto"/>
            </w:tcBorders>
            <w:gridSpan w:val="2"/>
            <w:shd w:val="clear" w:color="auto" w:fill="CCEEFF"/>
          </w:tcPr>
          <w:p>
            <w:pPr>
              <w:spacing w:after="0" w:line="229" w:lineRule="exact"/>
              <w:rPr>
                <w:sz w:val="20"/>
                <w:szCs w:val="20"/>
                <w:color w:val="auto"/>
              </w:rPr>
            </w:pPr>
            <w:r>
              <w:rPr>
                <w:rFonts w:ascii="Arial" w:cs="Arial" w:eastAsia="Arial" w:hAnsi="Arial"/>
                <w:sz w:val="18"/>
                <w:szCs w:val="18"/>
                <w:color w:val="auto"/>
              </w:rPr>
              <w:t xml:space="preserve">November 14, 2023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0.2675</w:t>
            </w:r>
          </w:p>
        </w:tc>
      </w:tr>
      <w:tr>
        <w:trPr>
          <w:trHeight w:val="230"/>
        </w:trPr>
        <w:tc>
          <w:tcPr>
            <w:tcW w:w="4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August 14, 2023</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76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0.2675</w:t>
            </w:r>
          </w:p>
        </w:tc>
      </w:tr>
      <w:tr>
        <w:trPr>
          <w:trHeight w:val="230"/>
        </w:trPr>
        <w:tc>
          <w:tcPr>
            <w:tcW w:w="40" w:type="dxa"/>
            <w:vAlign w:val="bottom"/>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15, 2023</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r>
      <w:tr>
        <w:trPr>
          <w:trHeight w:val="230"/>
        </w:trPr>
        <w:tc>
          <w:tcPr>
            <w:tcW w:w="4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February 14, 2023</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0.2675</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31, 2023 for the period from July 1, 2023 through September 30, 2023.</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nine months of 2023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6"/>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7"/>
                <w:szCs w:val="17"/>
                <w:color w:val="auto"/>
              </w:rPr>
            </w:pPr>
          </w:p>
        </w:tc>
        <w:tc>
          <w:tcPr>
            <w:tcW w:w="172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Noncontrolling Interests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7"/>
                <w:szCs w:val="17"/>
                <w:color w:val="auto"/>
              </w:rPr>
            </w:pPr>
          </w:p>
        </w:tc>
        <w:tc>
          <w:tcPr>
            <w:tcW w:w="17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9"/>
        </w:trPr>
        <w:tc>
          <w:tcPr>
            <w:tcW w:w="5240" w:type="dxa"/>
            <w:vAlign w:val="bottom"/>
            <w:tcBorders>
              <w:top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November 14, 2023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August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February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31, 2023 for the period from July 1, 2023 through September 30, 2023.</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Consolidated Joint Venture Distributions. </w:t>
      </w:r>
      <w:r>
        <w:rPr>
          <w:rFonts w:ascii="Arial" w:cs="Arial" w:eastAsia="Arial" w:hAnsi="Arial"/>
          <w:sz w:val="18"/>
          <w:szCs w:val="18"/>
          <w:color w:val="auto"/>
        </w:rPr>
        <w:t>The following table details distributions paid to noncontrolling interests in consolidated joint ventures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Permian JV</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4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Cactus II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River</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3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5" w:lineRule="exact"/>
        <w:rPr>
          <w:sz w:val="20"/>
          <w:szCs w:val="20"/>
          <w:color w:val="auto"/>
        </w:rPr>
      </w:pPr>
    </w:p>
    <w:p>
      <w:pPr>
        <w:ind w:left="660" w:right="160" w:hanging="652"/>
        <w:spacing w:after="0" w:line="269"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the normal course of our operations, we purchase and sell commodities. We use derivatives to manage the associated risks and to optimize profits. As of September 30, 2023, net derivative positions related to these activities included:</w:t>
      </w:r>
    </w:p>
    <w:p>
      <w:pPr>
        <w:spacing w:after="0" w:line="170" w:lineRule="exact"/>
        <w:rPr>
          <w:sz w:val="20"/>
          <w:szCs w:val="20"/>
          <w:color w:val="auto"/>
        </w:rPr>
      </w:pPr>
    </w:p>
    <w:p>
      <w:pPr>
        <w:ind w:left="980" w:right="1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6.3 million barrels associated with our crude oil purchases, which was unwound ratably during October 2023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6.7 million barrels, which hedges a portion of our anticipated crude oil lease gathering purchases through January 2025.</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1.7 million barrels at multiple locations through November 2024.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15.1 million barrels through December 2024 related to anticipated net sales of crude oil and NGL inventory.</w:t>
      </w:r>
    </w:p>
    <w:p>
      <w:pPr>
        <w:spacing w:after="0" w:line="23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5"/>
        </w:trPr>
        <w:tc>
          <w:tcPr>
            <w:tcW w:w="67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82.1 Bcf</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2025</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(14.2)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(4.1)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(3.8)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2025</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3.5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2.2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0"/>
        </w:trPr>
        <w:tc>
          <w:tcPr>
            <w:tcW w:w="5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6"/>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20" w:type="dxa"/>
        <w:tblCellMar>
          <w:top w:w="0" w:type="dxa"/>
          <w:left w:w="0" w:type="dxa"/>
          <w:bottom w:w="0" w:type="dxa"/>
          <w:right w:w="0" w:type="dxa"/>
        </w:tblCellMar>
      </w:tblPr>
      <w:tr>
        <w:trPr>
          <w:trHeight w:val="145"/>
        </w:trPr>
        <w:tc>
          <w:tcPr>
            <w:tcW w:w="8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116"/>
              <w:spacing w:after="0" w:line="145" w:lineRule="exact"/>
              <w:rPr>
                <w:sz w:val="20"/>
                <w:szCs w:val="20"/>
                <w:color w:val="auto"/>
              </w:rPr>
            </w:pPr>
            <w:r>
              <w:rPr>
                <w:rFonts w:ascii="Arial" w:cs="Arial" w:eastAsia="Arial" w:hAnsi="Arial"/>
                <w:sz w:val="14"/>
                <w:szCs w:val="14"/>
                <w:b w:val="1"/>
                <w:bCs w:val="1"/>
                <w:color w:val="auto"/>
                <w:w w:val="96"/>
              </w:rPr>
              <w:t>December 31,</w:t>
            </w:r>
          </w:p>
        </w:tc>
      </w:tr>
      <w:tr>
        <w:trPr>
          <w:trHeight w:val="196"/>
        </w:trPr>
        <w:tc>
          <w:tcPr>
            <w:tcW w:w="8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83"/>
        </w:trPr>
        <w:tc>
          <w:tcPr>
            <w:tcW w:w="8580" w:type="dxa"/>
            <w:vAlign w:val="bottom"/>
          </w:tcPr>
          <w:p>
            <w:pPr>
              <w:ind w:left="20"/>
              <w:spacing w:after="0"/>
              <w:rPr>
                <w:sz w:val="20"/>
                <w:szCs w:val="20"/>
                <w:color w:val="auto"/>
              </w:rPr>
            </w:pPr>
            <w:r>
              <w:rPr>
                <w:rFonts w:ascii="Arial" w:cs="Arial" w:eastAsia="Arial" w:hAnsi="Arial"/>
                <w:sz w:val="18"/>
                <w:szCs w:val="18"/>
                <w:color w:val="auto"/>
              </w:rPr>
              <w:t>Variation margin returned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1"/>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96"/>
        </w:trPr>
        <w:tc>
          <w:tcPr>
            <w:tcW w:w="2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Arial" w:cs="Arial" w:eastAsia="Arial" w:hAnsi="Arial"/>
                <w:sz w:val="13"/>
                <w:szCs w:val="13"/>
                <w:b w:val="1"/>
                <w:bCs w:val="1"/>
                <w:color w:val="auto"/>
                <w:w w:val="98"/>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Arial" w:cs="Arial" w:eastAsia="Arial" w:hAnsi="Arial"/>
                <w:sz w:val="13"/>
                <w:szCs w:val="13"/>
                <w:b w:val="1"/>
                <w:bCs w:val="1"/>
                <w:color w:val="auto"/>
                <w:w w:val="98"/>
              </w:rPr>
              <w:t>the Balance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5"/>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line="189"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2023 (notional amounts in millions):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1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920" w:type="dxa"/>
            <w:vAlign w:val="bottom"/>
            <w:gridSpan w:val="2"/>
            <w:vMerge w:val="continue"/>
          </w:tcPr>
          <w:p>
            <w:pPr>
              <w:spacing w:after="0"/>
              <w:rPr>
                <w:sz w:val="16"/>
                <w:szCs w:val="16"/>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Derivatives Employed</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Termination Date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Locked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5"/>
        </w:trPr>
        <w:tc>
          <w:tcPr>
            <w:tcW w:w="28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2"/>
              </w:rPr>
              <w:t>6/15/2026</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0"/>
              </w:rPr>
              <w:t>3.09%</w:t>
            </w: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4 forward starting swaps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0"/>
              </w:rPr>
              <w:t>0.74%</w:t>
            </w:r>
          </w:p>
        </w:tc>
        <w:tc>
          <w:tcPr>
            <w:tcW w:w="12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2023, we terminated $200 million of notional interest hedging instruments previously expected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terminate in June 2023 for proceeds of $80 million, of which $73 million was recorded in AOCI. As of September 30, 2023, there was a net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$59 million deferred in AOCI. The deferred net loss recorded in AOCI is expected to be reclassified to future earnings contemporaneously with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accruals associated with underlying debt instruments. We estimate that substantially all of the remaining deferred loss will be reclassified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through 2056 as the underlying hedged transactions impact earnings. A portion of these amounts is based on market prices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2023; thus, actual amounts to be reclassified will differ and could vary materially as a result of changes in market conditions.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4"/>
              </w:rPr>
              <w:t>Nine Months Ended</w:t>
            </w:r>
          </w:p>
        </w:tc>
      </w:tr>
      <w:tr>
        <w:trPr>
          <w:trHeight w:val="196"/>
        </w:trPr>
        <w:tc>
          <w:tcPr>
            <w:tcW w:w="58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310"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At September 30, 2023, the net fair value of our interest rate hedges, which were included in “Other current assets” and “Other long-term assets, net” on our Condensed Consolidated Balance Sheet, totaled $57 million and $23 million, respectively. At December 31, 2022, the net fair value of these hedges totaled $75 million and $45 million, which were included in “Other current assets” and “Other long-term assets, net”,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September 30, 2022, we recognized a loss of $49 million. For the nine months ended September 30, 2023 and 2022, we recognized a gain of $58 million and a net loss of $196 million, respectively. See Note 6 for additional information regarding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20" w:type="dxa"/>
            <w:vAlign w:val="bottom"/>
          </w:tcPr>
          <w:p>
            <w:pPr>
              <w:spacing w:after="0"/>
              <w:rPr>
                <w:sz w:val="16"/>
                <w:szCs w:val="16"/>
                <w:color w:val="auto"/>
              </w:rPr>
            </w:pPr>
          </w:p>
        </w:tc>
        <w:tc>
          <w:tcPr>
            <w:tcW w:w="3340" w:type="dxa"/>
            <w:vAlign w:val="bottom"/>
            <w:gridSpan w:val="12"/>
          </w:tcPr>
          <w:p>
            <w:pPr>
              <w:ind w:left="380"/>
              <w:spacing w:after="0"/>
              <w:rPr>
                <w:sz w:val="20"/>
                <w:szCs w:val="20"/>
                <w:color w:val="auto"/>
              </w:rPr>
            </w:pPr>
            <w:r>
              <w:rPr>
                <w:rFonts w:ascii="Arial" w:cs="Arial" w:eastAsia="Arial" w:hAnsi="Arial"/>
                <w:sz w:val="14"/>
                <w:szCs w:val="14"/>
                <w:b w:val="1"/>
                <w:bCs w:val="1"/>
                <w:color w:val="auto"/>
              </w:rPr>
              <w:t>Fair Value as of September 30, 2023</w:t>
            </w:r>
          </w:p>
        </w:tc>
        <w:tc>
          <w:tcPr>
            <w:tcW w:w="120" w:type="dxa"/>
            <w:vAlign w:val="bottom"/>
          </w:tcPr>
          <w:p>
            <w:pPr>
              <w:spacing w:after="0"/>
              <w:rPr>
                <w:sz w:val="16"/>
                <w:szCs w:val="16"/>
                <w:color w:val="auto"/>
              </w:rPr>
            </w:pPr>
          </w:p>
        </w:tc>
        <w:tc>
          <w:tcPr>
            <w:tcW w:w="2580" w:type="dxa"/>
            <w:vAlign w:val="bottom"/>
            <w:gridSpan w:val="9"/>
          </w:tcPr>
          <w:p>
            <w:pPr>
              <w:ind w:left="420"/>
              <w:spacing w:after="0"/>
              <w:rPr>
                <w:sz w:val="20"/>
                <w:szCs w:val="20"/>
                <w:color w:val="auto"/>
              </w:rPr>
            </w:pPr>
            <w:r>
              <w:rPr>
                <w:rFonts w:ascii="Arial" w:cs="Arial" w:eastAsia="Arial" w:hAnsi="Arial"/>
                <w:sz w:val="14"/>
                <w:szCs w:val="14"/>
                <w:b w:val="1"/>
                <w:bCs w:val="1"/>
                <w:color w:val="auto"/>
                <w:w w:val="91"/>
              </w:rPr>
              <w:t>Fair Value as of December 31, 2022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44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86"/>
              </w:rPr>
              <w:t>222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center"/>
              <w:ind w:left="34"/>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Distribution Rate Reset Option</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(189)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center"/>
              <w:ind w:left="34"/>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170"/>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4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40"/>
        <w:spacing w:after="0" w:line="296"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the Preferred Distribution Rate Reset Option contained in PAA’s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75"/>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8"/>
        </w:trPr>
        <w:tc>
          <w:tcPr>
            <w:tcW w:w="5860" w:type="dxa"/>
            <w:vAlign w:val="bottom"/>
          </w:tcPr>
          <w:p>
            <w:pPr>
              <w:ind w:left="20"/>
              <w:spacing w:after="0" w:line="189" w:lineRule="exact"/>
              <w:rPr>
                <w:sz w:val="20"/>
                <w:szCs w:val="20"/>
                <w:color w:val="auto"/>
              </w:rPr>
            </w:pPr>
            <w:r>
              <w:rPr>
                <w:rFonts w:ascii="Arial" w:cs="Arial" w:eastAsia="Arial" w:hAnsi="Arial"/>
                <w:sz w:val="18"/>
                <w:szCs w:val="18"/>
                <w:color w:val="auto"/>
                <w:w w:val="97"/>
              </w:rPr>
              <w:t>Change in unrealized gains/(losses) included in earnings relating to Level 3</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tcPr>
          <w:p>
            <w:pPr>
              <w:jc w:val="right"/>
              <w:ind w:right="617"/>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2022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During the three and nine months ended September 30, 2023 and 2022,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r>
      <w:tr>
        <w:trPr>
          <w:trHeight w:val="192"/>
        </w:trPr>
        <w:tc>
          <w:tcPr>
            <w:tcW w:w="5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5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274</w:t>
            </w:r>
          </w:p>
        </w:tc>
      </w:tr>
    </w:tbl>
    <w:p>
      <w:pPr>
        <w:spacing w:after="0" w:line="32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88" w:lineRule="exact"/>
        <w:rPr>
          <w:sz w:val="20"/>
          <w:szCs w:val="20"/>
          <w:color w:val="auto"/>
        </w:rPr>
      </w:pPr>
    </w:p>
    <w:p>
      <w:pPr>
        <w:ind w:left="660" w:right="360" w:hanging="652"/>
        <w:spacing w:after="0" w:line="238" w:lineRule="auto"/>
        <w:tabs>
          <w:tab w:leader="none" w:pos="64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Includes amounts related to transportation and storage services, amounts owed to us or advanced to us related to investment capital projects of equity method investees where we serve as construction manager and amounts related to crude oil purchases and sales.</w:t>
      </w:r>
    </w:p>
    <w:p>
      <w:pPr>
        <w:spacing w:after="0" w:line="41" w:lineRule="exact"/>
        <w:rPr>
          <w:rFonts w:ascii="Arial" w:cs="Arial" w:eastAsia="Arial" w:hAnsi="Arial"/>
          <w:sz w:val="22"/>
          <w:szCs w:val="22"/>
          <w:color w:val="auto"/>
          <w:vertAlign w:val="superscript"/>
        </w:rPr>
      </w:pPr>
    </w:p>
    <w:p>
      <w:pPr>
        <w:ind w:left="660" w:right="20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At September 30, 2023, our estimated undiscounted reserve for environmental liabilities (excluding liabilities related to the Line 901 incident, as discussed further below) totaled $57 million, of which $12 million was classified as short-term and $45 million was classified as long-term. At December 31, 2022, our estimated undiscounted reserve for environmental liabilities (excluding liabilities related to the Line 901 incident) totaled $55 million, of which $10 million was classified as short-term and $45 million was classified as long-term. Such short-term liabilities are reflected in “Other current liabilities” and long-term liabilities are reflected in “Other long-term liabilities and deferred credits” on our Condensed Consolidated Balance Sheets. At both September 30, 2023 and December 31, 2022, we had recorded receivables (excluding receivables related to the Line 901 incident) totaling $4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spacing w:after="0" w:line="19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the alleged diminished value of their properties due to the stigma of the oil spill. We are vigorously defending against these stigma damages claims.</w:t>
      </w:r>
    </w:p>
    <w:p>
      <w:pPr>
        <w:spacing w:after="0" w:line="20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September 30,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have initiated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pacing w:after="0" w:line="21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we have made adjustments to our total estimated Line 901 costs and the portion of such costs that we believe are probable of recovery from insurance carriers, net of deductibles. Effective as of September 30,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nine months ended September 30, 2022, we recognized costs, net of amounts probable of recovery from insurance carriers, of $85 million. We did not recognize any such costs during the nine months ended September 30, 2023. As of September 30, 2023, we had a remaining undiscounted gross liability of approximately $94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September 30, 2023, our incurred costs for the Line 901 incident have exceeded our insurance coverage limit of</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$500 million related to our 2015 insurance program applicable to the Line 901 incident by $240 million. Through September 30,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September 30,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1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10—Segment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spacing w:after="0" w:line="21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2023</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34,726</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43,390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34"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6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30"/>
        </w:trPr>
        <w:tc>
          <w:tcPr>
            <w:tcW w:w="2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9"/>
        </w:trPr>
        <w:tc>
          <w:tcPr>
            <w:tcW w:w="20" w:type="dxa"/>
            <w:vAlign w:val="bottom"/>
          </w:tcPr>
          <w:p>
            <w:pPr>
              <w:spacing w:after="0"/>
              <w:rPr>
                <w:sz w:val="19"/>
                <w:szCs w:val="19"/>
                <w:color w:val="auto"/>
              </w:rPr>
            </w:pPr>
          </w:p>
        </w:tc>
        <w:tc>
          <w:tcPr>
            <w:tcW w:w="5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20" w:type="dxa"/>
            <w:vAlign w:val="bottom"/>
          </w:tcPr>
          <w:p>
            <w:pPr>
              <w:spacing w:after="0"/>
              <w:rPr>
                <w:sz w:val="19"/>
                <w:szCs w:val="19"/>
                <w:color w:val="auto"/>
              </w:rPr>
            </w:pPr>
          </w:p>
        </w:tc>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Derivative activities and inventory valuation 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(196)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19"/>
                <w:szCs w:val="19"/>
                <w:color w:val="auto"/>
              </w:rPr>
            </w:pPr>
          </w:p>
        </w:tc>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19"/>
                <w:szCs w:val="19"/>
                <w:color w:val="auto"/>
              </w:rPr>
            </w:pPr>
          </w:p>
        </w:tc>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20" w:type="dxa"/>
            <w:vAlign w:val="bottom"/>
          </w:tcPr>
          <w:p>
            <w:pPr>
              <w:spacing w:after="0"/>
              <w:rPr>
                <w:sz w:val="19"/>
                <w:szCs w:val="19"/>
                <w:color w:val="auto"/>
              </w:rPr>
            </w:pPr>
          </w:p>
        </w:tc>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Transaction-related expenses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20" w:type="dxa"/>
            <w:vAlign w:val="bottom"/>
          </w:tcPr>
          <w:p>
            <w:pPr>
              <w:spacing w:after="0"/>
              <w:rPr>
                <w:sz w:val="15"/>
                <w:szCs w:val="15"/>
                <w:color w:val="auto"/>
              </w:rPr>
            </w:pPr>
          </w:p>
        </w:tc>
        <w:tc>
          <w:tcPr>
            <w:tcW w:w="58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840" w:type="dxa"/>
            <w:vAlign w:val="bottom"/>
            <w:gridSpan w:val="2"/>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19"/>
                <w:szCs w:val="19"/>
                <w:color w:val="auto"/>
              </w:rPr>
            </w:pPr>
          </w:p>
        </w:tc>
        <w:tc>
          <w:tcPr>
            <w:tcW w:w="5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(11)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2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Income before tax</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2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2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3"/>
        </w:trPr>
        <w:tc>
          <w:tcPr>
            <w:tcW w:w="2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88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and impairments) of unconsolidated entities.</w:t>
      </w:r>
    </w:p>
    <w:p>
      <w:pPr>
        <w:spacing w:after="0" w:line="62"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2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hanging="652"/>
        <w:spacing w:after="0" w:line="279"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rFonts w:ascii="Arial" w:cs="Arial" w:eastAsia="Arial" w:hAnsi="Arial"/>
          <w:sz w:val="21"/>
          <w:szCs w:val="21"/>
          <w:color w:val="auto"/>
          <w:vertAlign w:val="superscript"/>
        </w:rPr>
      </w:pPr>
    </w:p>
    <w:p>
      <w:pPr>
        <w:ind w:left="660" w:hanging="652"/>
        <w:spacing w:after="0" w:line="243"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2022 Annual Report on Form 10-K for a discussion regarding our equity-indexed compensation plans.</w:t>
      </w:r>
    </w:p>
    <w:p>
      <w:pPr>
        <w:spacing w:after="0" w:line="94" w:lineRule="exact"/>
        <w:rPr>
          <w:rFonts w:ascii="Arial" w:cs="Arial" w:eastAsia="Arial" w:hAnsi="Arial"/>
          <w:sz w:val="23"/>
          <w:szCs w:val="23"/>
          <w:color w:val="auto"/>
          <w:vertAlign w:val="superscript"/>
        </w:rPr>
      </w:pPr>
    </w:p>
    <w:p>
      <w:pPr>
        <w:ind w:left="660" w:hanging="652"/>
        <w:spacing w:after="0" w:line="269"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2" w:lineRule="exact"/>
        <w:rPr>
          <w:rFonts w:ascii="Arial" w:cs="Arial" w:eastAsia="Arial" w:hAnsi="Arial"/>
          <w:sz w:val="21"/>
          <w:szCs w:val="21"/>
          <w:color w:val="auto"/>
          <w:vertAlign w:val="superscript"/>
        </w:rPr>
      </w:pPr>
    </w:p>
    <w:p>
      <w:pPr>
        <w:ind w:left="660" w:right="100" w:hanging="652"/>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9 for additional information regarding the Line 901 incident.</w:t>
      </w:r>
    </w:p>
    <w:p>
      <w:pPr>
        <w:sectPr>
          <w:pgSz w:w="11900" w:h="16838" w:orient="portrait"/>
          <w:cols w:equalWidth="0" w:num="1">
            <w:col w:w="11240"/>
          </w:cols>
          <w:pgMar w:left="320" w:top="125"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Includes expenses associated with the Rattler Permian Transaction. See Note 11 for information regarding this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117" w:lineRule="exact"/>
        <w:rPr>
          <w:sz w:val="20"/>
          <w:szCs w:val="20"/>
          <w:color w:val="auto"/>
        </w:rPr>
      </w:pPr>
    </w:p>
    <w:p>
      <w:pPr>
        <w:sectPr>
          <w:pgSz w:w="11900" w:h="16838" w:orient="portrait"/>
          <w:cols w:equalWidth="0" w:num="2">
            <w:col w:w="200" w:space="440"/>
            <w:col w:w="10600"/>
          </w:cols>
          <w:pgMar w:left="320" w:top="125" w:right="339" w:bottom="1440" w:gutter="0" w:footer="0" w:header="0"/>
          <w:type w:val="continuous"/>
        </w:sectPr>
      </w:pPr>
    </w:p>
    <w:p>
      <w:pPr>
        <w:ind w:left="660" w:right="320" w:hanging="652"/>
        <w:spacing w:after="0" w:line="227"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general and administrative expenses incremental to those of PAA, which are not allocated to our reporting segments in determining 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Rattler Permian Transaction. </w:t>
      </w:r>
      <w:r>
        <w:rPr>
          <w:rFonts w:ascii="Arial" w:cs="Arial" w:eastAsia="Arial" w:hAnsi="Arial"/>
          <w:sz w:val="18"/>
          <w:szCs w:val="18"/>
          <w:color w:val="auto"/>
        </w:rPr>
        <w:t>In the third quarter of 2023, we completed the “Rattler Permian Transaction” where the Permian JV acquired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43% interest in OMOG JV Holdings LLC (“OMOG”) and certain gathering assets in the Southern Delaware basin from Rattler Midstream Operating LLC (“Rattler”). The transaction had an aggregate purchase price of $294 million ($191 million net to PAA’s 65% interest in the Permian JV). As a result of the transaction, the Permian JV now owns 100% of OMOG and its subsidiaries and such entities are reflected as consolidated subsidiaries in our Condensed Consolidated Financial Statements. Prior to this transaction, the Permian JV’s 57% interest in OMOG was accounted for as an equity method investment.</w:t>
      </w:r>
    </w:p>
    <w:p>
      <w:pPr>
        <w:spacing w:after="0" w:line="21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10.85%, based on the estimate of the risk that a theoretical market participant would assign to the business. The remeasurement of the Permian JV’s investment in OMOG to fair value resulted in a gain of $29 million. This gain has been recognized in the line item “Gain on investment in unconsolidated entities” on our Condensed Consolidated Statement of Operations.</w:t>
      </w:r>
    </w:p>
    <w:p>
      <w:pPr>
        <w:spacing w:after="0" w:line="19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determination of the fair value of the assets and liabilities assumed was estimated in accordance with applicable accounting guidance. The analysis was performed based on estimates that are reflective of market participant assumptions. While the purchase price for the Rattler Permian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preliminary determination of the fair value of the Rattler Permian Transaction assets and liabilities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 Useful Lives</w:t>
            </w:r>
          </w:p>
        </w:tc>
        <w:tc>
          <w:tcPr>
            <w:tcW w:w="300" w:type="dxa"/>
            <w:vAlign w:val="bottom"/>
          </w:tcPr>
          <w:p>
            <w:pPr>
              <w:spacing w:after="0"/>
              <w:rPr>
                <w:sz w:val="14"/>
                <w:szCs w:val="14"/>
                <w:color w:val="auto"/>
              </w:rPr>
            </w:pPr>
          </w:p>
        </w:tc>
        <w:tc>
          <w:tcPr>
            <w:tcW w:w="19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Recognized Amount</w:t>
            </w:r>
          </w:p>
        </w:tc>
        <w:tc>
          <w:tcPr>
            <w:tcW w:w="0" w:type="dxa"/>
            <w:vAlign w:val="bottom"/>
          </w:tcPr>
          <w:p>
            <w:pPr>
              <w:spacing w:after="0"/>
              <w:rPr>
                <w:sz w:val="1"/>
                <w:szCs w:val="1"/>
                <w:color w:val="auto"/>
              </w:rPr>
            </w:pPr>
          </w:p>
        </w:tc>
      </w:tr>
      <w:tr>
        <w:trPr>
          <w:trHeight w:val="192"/>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2220" w:type="dxa"/>
            <w:vAlign w:val="bottom"/>
          </w:tcPr>
          <w:p>
            <w:pPr>
              <w:jc w:val="right"/>
              <w:ind w:right="937"/>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21.1% to 22.9%,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$2 million during the three months ended September 30, 2023, and the future amortization expense for the fourth quarter of 2023 through 2027 is estimated as follows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8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2024</w:t>
            </w:r>
          </w:p>
        </w:tc>
        <w:tc>
          <w:tcPr>
            <w:tcW w:w="48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2026</w:t>
            </w:r>
          </w:p>
        </w:tc>
        <w:tc>
          <w:tcPr>
            <w:tcW w:w="48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Northern Delaware Basin Gathering Acquisition. </w:t>
      </w:r>
      <w:r>
        <w:rPr>
          <w:rFonts w:ascii="Arial" w:cs="Arial" w:eastAsia="Arial" w:hAnsi="Arial"/>
          <w:sz w:val="18"/>
          <w:szCs w:val="18"/>
          <w:color w:val="auto"/>
        </w:rPr>
        <w:t>On November 1, 2023, we acquired a crude oil gathering system in the Northern Delaware Basin</w:t>
      </w:r>
      <w:r>
        <w:rPr>
          <w:rFonts w:ascii="Arial" w:cs="Arial" w:eastAsia="Arial" w:hAnsi="Arial"/>
          <w:sz w:val="18"/>
          <w:szCs w:val="18"/>
          <w:i w:val="1"/>
          <w:iCs w:val="1"/>
          <w:color w:val="auto"/>
        </w:rPr>
        <w:t xml:space="preserve"> </w:t>
      </w:r>
      <w:r>
        <w:rPr>
          <w:rFonts w:ascii="Arial" w:cs="Arial" w:eastAsia="Arial" w:hAnsi="Arial"/>
          <w:sz w:val="18"/>
          <w:szCs w:val="18"/>
          <w:color w:val="auto"/>
        </w:rPr>
        <w:t>from a subsidiary of LM Energy Partners for approximately $135 million (approximately $88 million net to PAA’s 65% interest in the Permian JV), subject to certain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Keyera Fort Saskatchewan Divestiture. </w:t>
      </w:r>
      <w:r>
        <w:rPr>
          <w:rFonts w:ascii="Arial" w:cs="Arial" w:eastAsia="Arial" w:hAnsi="Arial"/>
          <w:sz w:val="18"/>
          <w:szCs w:val="18"/>
          <w:color w:val="auto"/>
        </w:rPr>
        <w:t>In February 2023, we sold our 21% non-operated/undivided joint interest in the Keyera Fort Saskatchewan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are a Delaware limited partnership that has elected to be taxed as a corporation for United States federal income tax purposes. As of September 30, 2023, our sole cash-generating assets consisted of an approximate 82% limited partner interest in AAP. We also own a 100% managing member interest in GP LLC, which holds the non-economic general partner interest in AAP. As of September 30, 2023, AAP directly owned a limited partner interest in PAA through its ownership of approximately 239.0 million PAA common units (approximately 31% of PAA’s total outstanding common units and Series A preferred units combined). AAP is the sole member of PAA GP, which holds the non-economic general partner interest in PAA.</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and transportation corridors and at major market hubs in the United States and Canada. PAA’s assets and the services it provides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first nine months of 2023, we recognized net income of $1,044 million compared to $868 million during the first nine months of 2022. Our results include the benefit of higher tariff volumes and tariff escalations on our crude oil pipelines. In addition, the 2022 comparative period was impacted by an increase in the accrual for estimated costs associated with the Line 901 incident.</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Additionally, net income for the first nine months of 2023 compared to the first nine months of 2022 includes more favorable impacts from gains on asset sales and the mark-to-market adjustment of the Preferred Distribution Rate Reset Option, partially offset by unfavorable variances related to derivative mark-to-market valuations associated with our NGL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11,581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Gain on investment in unconsolidated entities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3420" w:type="dxa"/>
            <w:vAlign w:val="bottom"/>
          </w:tcPr>
          <w:p>
            <w:pPr>
              <w:ind w:left="180"/>
              <w:spacing w:after="0" w:line="176" w:lineRule="exact"/>
              <w:rPr>
                <w:sz w:val="20"/>
                <w:szCs w:val="20"/>
                <w:color w:val="auto"/>
              </w:rPr>
            </w:pPr>
            <w:r>
              <w:rPr>
                <w:rFonts w:ascii="Arial" w:cs="Arial" w:eastAsia="Arial" w:hAnsi="Arial"/>
                <w:sz w:val="18"/>
                <w:szCs w:val="18"/>
                <w:color w:val="auto"/>
                <w:w w:val="99"/>
              </w:rPr>
              <w:t>Net income attributable to noncontrolling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and diluted net income per Class A</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w w:val="96"/>
              </w:rPr>
              <w:t>Basic and diluted weighted average Class 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21"/>
                <w:szCs w:val="21"/>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 and Purchases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majority of our sales and purchases are indexed to WTI. The following table presents the range of NYMEX WTI benchmark prices of crude oil (in dollars per barrel):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7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24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7"/>
                <w:szCs w:val="17"/>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Average</w:t>
            </w:r>
          </w:p>
        </w:tc>
      </w:tr>
      <w:tr>
        <w:trPr>
          <w:trHeight w:val="23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September 30, 2022</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Nine Months Ended September 30, 2023</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bl>
    <w:p>
      <w:pPr>
        <w:spacing w:after="0" w:line="323"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Product sales revenues and purchases decreased for the three and nine months ended September 30, 2023 compared to the same periods in 2022 primarily due to lower commodity prices in the 2023 periods.</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Revenues from services increased for the three and nine months ended September 30, 2023 compared to the same periods in 2022 primarily due to higher volumes and tariff escalations in the 2023 periods, as well as the impact of acquisitions.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further discussion of our net revenues (revenues less purchases and related costs) in the “—Analysis of Operating Segments” section below.</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increase in general and administrative expenses for the three and nine months ended September 30, 2023 compared to the same periods in 2022 was primarily due to (i) higher information systems costs due to ongoing systems integration work and (ii) higher employee-related costs, including an increase in equity-indexed compensation expense (a portion of which is excluded in the calculation of Adjusted EBITDA and Segment Adjusted EBITDA), partially offset by (iii) lower transition costs associated with the formation of the Permian JV and (iv) the impact of exchange rate fluctuations.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The net gains on asset sales and asset impairments for the nine months ended September 30, 2023 was primarily comprised of a gain of approximately $140 million related to the sale of our Keyera Fort Saskatchewan facility in the first quarter of 2023. See Note 11 to our Condensed Consolidated Financial Statements for additional discussion of this transaction.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2023 compared to the same periods in 2022 was largely driven by acquisitions.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The decrease in interest expense for the nine months ended September 30, 2023 compared to the nine months ended September 30, 2022 was primarily due to a lower weighted average debt balance during the 2023 period largely driven by the repayment of $750 million of PAA senior notes in March 2022 and $400 million of PAA senior notes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r>
      <w:tr>
        <w:trPr>
          <w:trHeight w:val="162"/>
        </w:trPr>
        <w:tc>
          <w:tcPr>
            <w:tcW w:w="20" w:type="dxa"/>
            <w:vAlign w:val="bottom"/>
          </w:tcPr>
          <w:p>
            <w:pPr>
              <w:spacing w:after="0"/>
              <w:rPr>
                <w:sz w:val="14"/>
                <w:szCs w:val="14"/>
                <w:color w:val="auto"/>
              </w:rPr>
            </w:pPr>
          </w:p>
        </w:tc>
        <w:tc>
          <w:tcPr>
            <w:tcW w:w="58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w w:val="93"/>
              </w:rPr>
              <w:t>Gain/(loss) on mark-to-market adjustment of Preferred Distribution Rate Reset</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Option embedded derivative </w:t>
            </w:r>
            <w:r>
              <w:rPr>
                <w:rFonts w:ascii="Arial" w:cs="Arial" w:eastAsia="Arial" w:hAnsi="Arial"/>
                <w:sz w:val="23"/>
                <w:szCs w:val="23"/>
                <w:color w:val="auto"/>
                <w:vertAlign w:val="superscript"/>
              </w:rPr>
              <w:t>(1)</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20" w:type="dxa"/>
            <w:vAlign w:val="bottom"/>
          </w:tcPr>
          <w:p>
            <w:pPr>
              <w:spacing w:after="0"/>
              <w:rPr>
                <w:sz w:val="19"/>
                <w:szCs w:val="19"/>
                <w:color w:val="auto"/>
              </w:rPr>
            </w:pPr>
          </w:p>
        </w:tc>
        <w:tc>
          <w:tcPr>
            <w:tcW w:w="5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820" w:type="dxa"/>
            <w:vAlign w:val="bottom"/>
          </w:tcPr>
          <w:p>
            <w:pPr>
              <w:spacing w:after="0"/>
              <w:rPr>
                <w:sz w:val="19"/>
                <w:szCs w:val="19"/>
                <w:color w:val="auto"/>
              </w:rPr>
            </w:pPr>
          </w:p>
        </w:tc>
        <w:tc>
          <w:tcPr>
            <w:tcW w:w="440" w:type="dxa"/>
            <w:vAlign w:val="bottom"/>
          </w:tcPr>
          <w:p>
            <w:pPr>
              <w:jc w:val="center"/>
              <w:ind w:left="14"/>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19"/>
                <w:szCs w:val="19"/>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7 to our Condensed Consolidated Financial Statements for additional information.</w:t>
      </w:r>
    </w:p>
    <w:p>
      <w:pPr>
        <w:spacing w:after="0" w:line="63"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USD to CAD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net favorable income tax variance for the three and nine months ended September 30, 2023, compared to the same periods in 2022 was primarily a result of lower year-over-year income within our Canadian operations as impacted by fluctuations of the derivative mark-to-market valuations. This favorable variance was partially offset for the nine-month period by the tax impact of the Keyera Fort Saskatchewan divestiture in the first quarter of 2023.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which excludes the portion of Adjusted EBITDA attributable to noncontrolling interests in consolidated joint venture entities.</w:t>
      </w:r>
    </w:p>
    <w:p>
      <w:pPr>
        <w:spacing w:after="0" w:line="21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w:t>
      </w:r>
    </w:p>
    <w:p>
      <w:pPr>
        <w:spacing w:after="0" w:line="17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Adjusted EBITDA attributable to PAA to Net Income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5"/>
              </w:rPr>
              <w:t>Gain on investment in unconsolidated entities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120"/>
              <w:spacing w:after="0" w:line="176" w:lineRule="exact"/>
              <w:rPr>
                <w:sz w:val="20"/>
                <w:szCs w:val="20"/>
                <w:color w:val="auto"/>
              </w:rPr>
            </w:pPr>
            <w:r>
              <w:rPr>
                <w:rFonts w:ascii="Arial" w:cs="Arial" w:eastAsia="Arial" w:hAnsi="Arial"/>
                <w:sz w:val="18"/>
                <w:szCs w:val="18"/>
                <w:color w:val="auto"/>
                <w:w w:val="97"/>
              </w:rPr>
              <w:t>Derivative activities and inventory valuation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10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Foreign currency revaluation</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Line 901 incident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00"/>
              <w:spacing w:after="0"/>
              <w:rPr>
                <w:sz w:val="20"/>
                <w:szCs w:val="20"/>
                <w:color w:val="auto"/>
              </w:rPr>
            </w:pPr>
            <w:r>
              <w:rPr>
                <w:rFonts w:ascii="Arial" w:cs="Arial" w:eastAsia="Arial" w:hAnsi="Arial"/>
                <w:sz w:val="18"/>
                <w:szCs w:val="18"/>
                <w:color w:val="auto"/>
              </w:rPr>
              <w:t>Transaction-related expenses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00" w:type="dxa"/>
            <w:vAlign w:val="bottom"/>
          </w:tcPr>
          <w:p>
            <w:pPr>
              <w:ind w:left="120"/>
              <w:spacing w:after="0" w:line="176" w:lineRule="exact"/>
              <w:rPr>
                <w:sz w:val="20"/>
                <w:szCs w:val="20"/>
                <w:color w:val="auto"/>
              </w:rPr>
            </w:pPr>
            <w:r>
              <w:rPr>
                <w:rFonts w:ascii="Arial" w:cs="Arial" w:eastAsia="Arial" w:hAnsi="Arial"/>
                <w:sz w:val="18"/>
                <w:szCs w:val="18"/>
                <w:color w:val="auto"/>
              </w:rPr>
              <w:t>Mark-to-market adjustment of Preferred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Pr>
          <w:p>
            <w:pPr>
              <w:ind w:left="320"/>
              <w:spacing w:after="0" w:line="182" w:lineRule="exact"/>
              <w:rPr>
                <w:sz w:val="20"/>
                <w:szCs w:val="20"/>
                <w:color w:val="auto"/>
              </w:rPr>
            </w:pPr>
            <w:r>
              <w:rPr>
                <w:rFonts w:ascii="Arial" w:cs="Arial" w:eastAsia="Arial" w:hAnsi="Arial"/>
                <w:sz w:val="18"/>
                <w:szCs w:val="18"/>
                <w:color w:val="auto"/>
                <w:w w:val="94"/>
              </w:rPr>
              <w:t>Distribution Rate Reset Option embedded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320"/>
              <w:spacing w:after="0" w:line="235" w:lineRule="exact"/>
              <w:rPr>
                <w:sz w:val="20"/>
                <w:szCs w:val="20"/>
                <w:color w:val="auto"/>
              </w:rPr>
            </w:pPr>
            <w:r>
              <w:rPr>
                <w:rFonts w:ascii="Arial" w:cs="Arial" w:eastAsia="Arial" w:hAnsi="Arial"/>
                <w:sz w:val="18"/>
                <w:szCs w:val="18"/>
                <w:color w:val="auto"/>
              </w:rPr>
              <w:t xml:space="preserve">derivative </w:t>
            </w:r>
            <w:r>
              <w:rPr>
                <w:rFonts w:ascii="Arial" w:cs="Arial" w:eastAsia="Arial" w:hAnsi="Arial"/>
                <w:sz w:val="23"/>
                <w:szCs w:val="23"/>
                <w:color w:val="auto"/>
                <w:vertAlign w:val="superscript"/>
              </w:rPr>
              <w:t>(4)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(5)</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8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55"/>
        </w:trPr>
        <w:tc>
          <w:tcPr>
            <w:tcW w:w="3500" w:type="dxa"/>
            <w:vAlign w:val="bottom"/>
          </w:tcPr>
          <w:p>
            <w:pPr>
              <w:ind w:left="100"/>
              <w:spacing w:after="0" w:line="156" w:lineRule="exact"/>
              <w:rPr>
                <w:sz w:val="20"/>
                <w:szCs w:val="20"/>
                <w:color w:val="auto"/>
              </w:rPr>
            </w:pPr>
            <w:r>
              <w:rPr>
                <w:rFonts w:ascii="Arial" w:cs="Arial" w:eastAsia="Arial" w:hAnsi="Arial"/>
                <w:sz w:val="18"/>
                <w:szCs w:val="18"/>
                <w:color w:val="auto"/>
              </w:rPr>
              <w:t>Adjusted EBITDA attributable to</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tcPr>
          <w:p>
            <w:pPr>
              <w:ind w:left="260"/>
              <w:spacing w:after="0" w:line="182" w:lineRule="exact"/>
              <w:rPr>
                <w:sz w:val="20"/>
                <w:szCs w:val="20"/>
                <w:color w:val="auto"/>
              </w:rPr>
            </w:pPr>
            <w:r>
              <w:rPr>
                <w:rFonts w:ascii="Arial" w:cs="Arial" w:eastAsia="Arial" w:hAnsi="Arial"/>
                <w:sz w:val="18"/>
                <w:szCs w:val="18"/>
                <w:color w:val="auto"/>
              </w:rPr>
              <w:t>noncontrolling interests in consolidated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tcPr>
          <w:p>
            <w:pPr>
              <w:ind w:left="260"/>
              <w:spacing w:after="0" w:line="235"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(7)</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660" w:hanging="652"/>
        <w:spacing w:after="0" w:line="230" w:lineRule="auto"/>
        <w:tabs>
          <w:tab w:leader="none" w:pos="64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94" w:lineRule="exact"/>
        <w:rPr>
          <w:rFonts w:ascii="Arial" w:cs="Arial" w:eastAsia="Arial" w:hAnsi="Arial"/>
          <w:sz w:val="22"/>
          <w:szCs w:val="22"/>
          <w:color w:val="auto"/>
          <w:vertAlign w:val="superscript"/>
        </w:rPr>
      </w:pPr>
    </w:p>
    <w:p>
      <w:pPr>
        <w:ind w:left="660" w:right="320" w:hanging="652"/>
        <w:spacing w:after="0" w:line="238" w:lineRule="auto"/>
        <w:tabs>
          <w:tab w:leader="none" w:pos="64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62" w:lineRule="exact"/>
        <w:rPr>
          <w:sz w:val="20"/>
          <w:szCs w:val="20"/>
          <w:color w:val="auto"/>
        </w:rPr>
      </w:pPr>
    </w:p>
    <w:p>
      <w:pPr>
        <w:jc w:val="both"/>
        <w:ind w:left="20" w:right="8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spacing w:after="0" w:line="79"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ind w:left="20" w:right="500" w:hanging="11"/>
        <w:spacing w:after="0" w:line="342" w:lineRule="auto"/>
        <w:rPr>
          <w:sz w:val="20"/>
          <w:szCs w:val="20"/>
          <w:color w:val="auto"/>
        </w:rPr>
      </w:pPr>
      <w:r>
        <w:rPr>
          <w:rFonts w:ascii="Arial" w:cs="Arial" w:eastAsia="Arial" w:hAnsi="Arial"/>
          <w:sz w:val="16"/>
          <w:szCs w:val="16"/>
          <w:color w:val="auto"/>
        </w:rPr>
        <w:t>Other income/(expense), net on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20 to our Consolidated Financial Statements included in Part IV of our 2022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7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16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9"/>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9"/>
          </w:tcPr>
          <w:p>
            <w:pPr>
              <w:ind w:left="3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(11,069)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(12,938)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(32,499)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(40,495)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3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Segment general and administrative expenses</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ind w:left="30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Derivative activities and inventory</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valuation adjustments</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Transaction-related expenses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Adjusted EBITDA attributable to</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4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noncontrolling interests in consolidated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joint ventures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9"/>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Volumes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340" w:type="dxa"/>
            <w:vAlign w:val="bottom"/>
            <w:tcBorders>
              <w:top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pipeline tariff (by region) </w:t>
            </w:r>
            <w:r>
              <w:rPr>
                <w:rFonts w:ascii="Arial" w:cs="Arial" w:eastAsia="Arial" w:hAnsi="Arial"/>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Total crude oil pipeline tariff</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360" w:type="dxa"/>
            <w:vAlign w:val="bottom"/>
            <w:gridSpan w:val="2"/>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7"/>
              </w:rPr>
              <w:t xml:space="preserve">Commercial crude oil storage capacity </w:t>
            </w:r>
            <w:r>
              <w:rPr>
                <w:rFonts w:ascii="Arial" w:cs="Arial" w:eastAsia="Arial" w:hAnsi="Arial"/>
                <w:sz w:val="23"/>
                <w:szCs w:val="23"/>
                <w:color w:val="auto"/>
                <w:w w:val="97"/>
                <w:vertAlign w:val="superscript"/>
              </w:rPr>
              <w:t>(5)(6)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5"/>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459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81"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62" w:lineRule="exact"/>
        <w:rPr>
          <w:sz w:val="20"/>
          <w:szCs w:val="20"/>
          <w:color w:val="auto"/>
        </w:rPr>
      </w:pPr>
    </w:p>
    <w:p>
      <w:pPr>
        <w:jc w:val="both"/>
        <w:ind w:left="20" w:right="180" w:hanging="11"/>
        <w:spacing w:after="0" w:line="311" w:lineRule="auto"/>
        <w:rPr>
          <w:sz w:val="20"/>
          <w:szCs w:val="20"/>
          <w:color w:val="auto"/>
        </w:rPr>
      </w:pPr>
      <w:r>
        <w:rPr>
          <w:rFonts w:ascii="Arial" w:cs="Arial" w:eastAsia="Arial" w:hAnsi="Arial"/>
          <w:sz w:val="16"/>
          <w:szCs w:val="16"/>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Average monthly capacity in millions of barrels calculated as total volumes for the period divided by the number of months in the period.</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Crude Oil Segment Adjusted EBITDA increased for the three and nine months ended September 30, 2023 compared to the same periods in 2022 primarily due to higher tariff volumes, tariff escalations and contributions from acquisitions. These items were partially offset by fewer market-based opportunities.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three and nine months ended September 30, 2023 compared to the same periods in 2022.</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i w:val="1"/>
          <w:iCs w:val="1"/>
          <w:color w:val="auto"/>
        </w:rPr>
        <w:t xml:space="preserve">Net Revenues and Equity Earnings. </w:t>
      </w:r>
      <w:r>
        <w:rPr>
          <w:rFonts w:ascii="Arial" w:cs="Arial" w:eastAsia="Arial" w:hAnsi="Arial"/>
          <w:sz w:val="18"/>
          <w:szCs w:val="18"/>
          <w:color w:val="auto"/>
        </w:rPr>
        <w:t>Our results were favorably impacted by (i) higher volumes across our pipeline systems,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production and new well connections, (ii) tariff escalations and (iii) contributions from acquisitions. These benefits were partially offset by the impact of minimum volume commitment deficiency payments received in 2022.</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results for the three months ended September 30, 2023 reflect fewer crude oil market-based opportunities compared to the three months ended September 30, 2022. For the full nine months of 2023 compared to 2022, more favorable results from Canadian crude oil market-based opportunities in 2023 were offset by the favorable impact to the 2022 period of the sale of excess linefill in a higher crude oil price environment.</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For the three and nine months ended September 30, 2023 compared to the same periods in 2022, we had higher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(i) utilities costs due to a combination of higher volumes and prices and an increase in the amount of drag reducing agents used, (ii) incremental consolidated operating costs in connection with acquisitions, (iii) employee-related costs primarily resulting from higher average headcount and salaries, (iv) chemical treatment costs and (v) unrealized mark-to-market losses on power hedges for the three- and nine-month period (which impact our field operating costs but are excluded from Segment Adjusted EBITDA and thus are reflected as an “Adjustment” in the table above). The unfavorable variance for the nine months ended September 30, 2023 compared to 2022 was partially offset by the recognition of additional estimated costs associated with the Line 901 incident in the first quarter of 2022 (which impact field operating costs but are excluded from Segment Adjusted EBITDA and thus are reflected as an “Adjustment” in the table above).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Maintenance Capital</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increase in maintenance capital spending for the three and nine months ended September 30, 2023 compared to the same periods in 2022 was primarily due to timing of routine integrity and tank maintenance, as well as vehicle lease buyouts.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spacing w:after="0" w:line="211"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48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34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Derivative activities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gridSpan w:val="4"/>
          </w:tcPr>
          <w:p>
            <w:pPr>
              <w:ind w:left="8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gridSpan w:val="4"/>
          </w:tcPr>
          <w:p>
            <w:pPr>
              <w:ind w:left="80"/>
              <w:spacing w:after="0"/>
              <w:rPr>
                <w:sz w:val="20"/>
                <w:szCs w:val="20"/>
                <w:color w:val="auto"/>
              </w:rPr>
            </w:pPr>
            <w:r>
              <w:rPr>
                <w:rFonts w:ascii="Arial" w:cs="Arial" w:eastAsia="Arial" w:hAnsi="Arial"/>
                <w:sz w:val="18"/>
                <w:szCs w:val="18"/>
                <w:color w:val="auto"/>
              </w:rPr>
              <w:t>Foreign currency revaluation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11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46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Average Volumes</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480" w:type="dxa"/>
            <w:vAlign w:val="bottom"/>
            <w:gridSpan w:val="4"/>
          </w:tcPr>
          <w:p>
            <w:pPr>
              <w:ind w:left="20"/>
              <w:spacing w:after="0" w:line="243" w:lineRule="exact"/>
              <w:rPr>
                <w:sz w:val="20"/>
                <w:szCs w:val="20"/>
                <w:color w:val="auto"/>
              </w:rPr>
            </w:pPr>
            <w:r>
              <w:rPr>
                <w:rFonts w:ascii="Arial" w:cs="Arial" w:eastAsia="Arial" w:hAnsi="Arial"/>
                <w:sz w:val="14"/>
                <w:szCs w:val="14"/>
                <w:b w:val="1"/>
                <w:bCs w:val="1"/>
                <w:color w:val="auto"/>
              </w:rPr>
              <w:t>(in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160" w:type="dxa"/>
            <w:vAlign w:val="bottom"/>
          </w:tcPr>
          <w:p>
            <w:pPr>
              <w:spacing w:after="0"/>
              <w:rPr>
                <w:sz w:val="21"/>
                <w:szCs w:val="21"/>
                <w:color w:val="auto"/>
              </w:rPr>
            </w:pPr>
          </w:p>
        </w:tc>
        <w:tc>
          <w:tcPr>
            <w:tcW w:w="6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60" w:hanging="11"/>
        <w:spacing w:after="0" w:line="277" w:lineRule="auto"/>
        <w:rPr>
          <w:sz w:val="20"/>
          <w:szCs w:val="20"/>
          <w:color w:val="auto"/>
        </w:rPr>
      </w:pPr>
      <w:r>
        <w:rPr>
          <w:rFonts w:ascii="Arial" w:cs="Arial" w:eastAsia="Arial" w:hAnsi="Arial"/>
          <w:sz w:val="18"/>
          <w:szCs w:val="18"/>
          <w:color w:val="auto"/>
        </w:rPr>
        <w:t>Average daily volumes are calculated as total volumes (attributable to our interest for assets owned through undivided joint interests) for the period divided by the number of days in the period.</w:t>
      </w:r>
    </w:p>
    <w:p>
      <w:pPr>
        <w:spacing w:after="0" w:line="62" w:lineRule="exact"/>
        <w:rPr>
          <w:sz w:val="20"/>
          <w:szCs w:val="20"/>
          <w:color w:val="auto"/>
        </w:rPr>
      </w:pPr>
    </w:p>
    <w:p>
      <w:pPr>
        <w:ind w:right="20" w:hanging="11"/>
        <w:spacing w:after="0" w:line="259" w:lineRule="auto"/>
        <w:rPr>
          <w:sz w:val="20"/>
          <w:szCs w:val="20"/>
          <w:color w:val="auto"/>
        </w:rPr>
      </w:pPr>
      <w:r>
        <w:rPr>
          <w:rFonts w:ascii="Arial" w:cs="Arial" w:eastAsia="Arial" w:hAnsi="Arial"/>
          <w:sz w:val="18"/>
          <w:szCs w:val="18"/>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NGL Segment Adjusted EBITDA increased for the three months ended September 30, 2023 compared to the same period in 2022 primarily due to</w:t>
      </w:r>
    </w:p>
    <w:p>
      <w:pPr>
        <w:spacing w:after="0" w:line="46" w:lineRule="exact"/>
        <w:rPr>
          <w:sz w:val="20"/>
          <w:szCs w:val="20"/>
          <w:color w:val="auto"/>
        </w:rPr>
      </w:pPr>
    </w:p>
    <w:p>
      <w:pPr>
        <w:ind w:right="120" w:firstLine="8"/>
        <w:spacing w:after="0" w:line="260"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NGL basis differentials and spot opportunities, partially offset by (ii) the impact of lower propane sales volumes as a result of deferring sales due to market structure, and (iii) increased field operating costs.</w:t>
      </w:r>
    </w:p>
    <w:p>
      <w:pPr>
        <w:spacing w:after="0" w:line="21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These net favorable impacts were more than offset for the nine months ended September 30, 2023 compared to the same period in 2022 by (i) the impact of lower NGL sales volumes during the second quarter of 2023 as a result of turnarounds, (ii) the sale of our ownership interest in the Keyera Fort Saskatchewan facility in the first quarter of 2023, combined with (iii) further increases in field operating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include the impact of derivative activities and long-term inventory costing adjustments, which are excluded from</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Adjusted EBITDA and thus are reflected as an “Adjustment” in the table above. Excluding such impacts, net revenues increased for the three and nine months ended September 30, 2023 compared to the same period in 2022 primarily due to (i) favorable NGL basis differentials and spot opportunities and (ii) higher processing revenues at our Empress straddle plants resulting from a commercial agreement executed in conjunction with the increase in our Empress ownership in the fourth quarter of 2022. This was partially offset by lower propane sales volumes as a result of deferring sales due to market structure, and further for the nine month period by the impact of (i) lower NGL sales volumes during the second quarter of 2023 as a result of turnarounds,</w:t>
      </w:r>
    </w:p>
    <w:p>
      <w:pPr>
        <w:spacing w:after="0" w:line="4" w:lineRule="exact"/>
        <w:rPr>
          <w:sz w:val="20"/>
          <w:szCs w:val="20"/>
          <w:color w:val="auto"/>
        </w:rPr>
      </w:pPr>
    </w:p>
    <w:p>
      <w:pPr>
        <w:ind w:right="320" w:firstLine="8"/>
        <w:spacing w:after="0" w:line="260"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gains at certain of our NGL facilities in 2022, and (iii) the sale of our ownership interest in the Keyera Fort Saskatchewan facility in the first quarter of 2023.</w:t>
      </w:r>
    </w:p>
    <w:p>
      <w:pPr>
        <w:spacing w:after="0" w:line="21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for the three and nine months ended September 30, 2023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in 2022 was primarily due to (i) an increase in unrealized mark-to-market losses on power hedges (which impact our field operating costs but are excluded from Segment Adjusted EBITDA and thus are reflected as an “Adjustment” in the table above), (ii) increased utilities-related costs largely as a result of higher prices, and the increase in our Empress ownership in the fourth quarter of 2022, along with (iii) higher regulatory costs. The increase in utilities-related costs was partially offset by the benefit to net revenues of operating cost recoveries realized through commercial agreements.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Maintenance Capital</w:t>
      </w:r>
    </w:p>
    <w:p>
      <w:pPr>
        <w:spacing w:after="0" w:line="25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decrease in maintenance capital spending for the three and nine months ended September 30, 2023 compared to the same periods in 2022 was primarily due to a scheduled turnaround at our Empress, Alberta facility during 2022, partially offset by an increase in routine integrity activities.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2" w:lineRule="exact"/>
        <w:rPr>
          <w:sz w:val="20"/>
          <w:szCs w:val="20"/>
          <w:color w:val="auto"/>
        </w:rPr>
      </w:pPr>
    </w:p>
    <w:p>
      <w:pPr>
        <w:jc w:val="both"/>
        <w:ind w:right="220" w:firstLine="8"/>
        <w:spacing w:after="0" w:line="295"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18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As of September 30, 2023, although we had a working capital deficit of $275 million, we had approximately $2.8 billion of liquidity available to meet our ongoing operating, investing and financing needs, subject to continued covenant compliance, as noted below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September 30, 2023</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30"/>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2,553</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20"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credit facilities.</w:t>
      </w:r>
    </w:p>
    <w:p>
      <w:pPr>
        <w:spacing w:after="0" w:line="62"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$78 million and $69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Excludes restricted cash of $2 million.</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August 2023, PAA extended the maturity dates of its senior secured hedged inventory facility and senior unsecured revolving credit facility by one year to August 2026 and August 2028, respectively, for each extending lender. The maturity date with respect to the non-extending lender under PAA’s senior unsecured revolving credit facility (which represents a commitment of approximately $64 million out of total commitments of $1.35 billion from all lenders) remains August 2027.</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2022 Annual Report on Form 10-K for further discussion regarding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Net cash provided by operating activities for the first nine months of 2023 and 2022 was $1.712 billion and $2.070 billion, respectively, and primarily resulted from earnings from our operations. However, the 2023 period was impacted by net negative changes in working capital items, largely associated with higher margin balances required as part of our hedging activities during the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w:t>
      </w:r>
    </w:p>
    <w:p>
      <w:pPr>
        <w:spacing w:after="0" w:line="24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jc w:val="both"/>
        <w:ind w:left="660" w:right="260" w:hanging="652"/>
        <w:spacing w:after="0" w:line="234"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94" w:lineRule="exact"/>
        <w:rPr>
          <w:rFonts w:ascii="Arial" w:cs="Arial" w:eastAsia="Arial" w:hAnsi="Arial"/>
          <w:sz w:val="23"/>
          <w:szCs w:val="23"/>
          <w:color w:val="auto"/>
          <w:vertAlign w:val="superscript"/>
        </w:rPr>
      </w:pPr>
    </w:p>
    <w:p>
      <w:pPr>
        <w:ind w:left="660" w:right="240" w:hanging="652"/>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94" w:lineRule="exact"/>
        <w:rPr>
          <w:rFonts w:ascii="Arial" w:cs="Arial" w:eastAsia="Arial" w:hAnsi="Arial"/>
          <w:sz w:val="23"/>
          <w:szCs w:val="23"/>
          <w:color w:val="auto"/>
          <w:vertAlign w:val="superscript"/>
        </w:rPr>
      </w:pPr>
    </w:p>
    <w:p>
      <w:pPr>
        <w:ind w:left="660" w:right="420" w:hanging="652"/>
        <w:spacing w:after="0" w:line="234"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Investment capital and maintenance capital, net to our interest, was approximately $221 million and $158 million, respectively, for the nine months ended September 30, 2023, and approximately $212 million and $140 million, respectively, for the nine months ended September 30, 2022.</w:t>
      </w:r>
    </w:p>
    <w:p>
      <w:pPr>
        <w:spacing w:after="0" w:line="94" w:lineRule="exact"/>
        <w:rPr>
          <w:rFonts w:ascii="Arial" w:cs="Arial" w:eastAsia="Arial" w:hAnsi="Arial"/>
          <w:sz w:val="23"/>
          <w:szCs w:val="23"/>
          <w:color w:val="auto"/>
          <w:vertAlign w:val="superscript"/>
        </w:rPr>
      </w:pPr>
    </w:p>
    <w:p>
      <w:pPr>
        <w:ind w:left="660" w:right="100" w:hanging="652"/>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Acquisition capital for the 2023 period primarily includes the Rattler Permian Transaction ($191 million net to PAA’s 65% interest in the Permian JV). See Note 11 to our Condensed Consolidated Financial Statements for additional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2023 Investment and Maintenance Capital. </w:t>
      </w:r>
      <w:r>
        <w:rPr>
          <w:rFonts w:ascii="Arial" w:cs="Arial" w:eastAsia="Arial" w:hAnsi="Arial"/>
          <w:sz w:val="18"/>
          <w:szCs w:val="18"/>
          <w:color w:val="auto"/>
        </w:rPr>
        <w:t>Total investment capital for the year ending December 31, 2023 is projected to be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$420 million ($325 million net to our interest). Approximately half of our projected investment capital expenditures are expected to be invested in the Permian JV assets. Additionally, maintenance capital for 2023 is projected to be $225 million ($210 million net to our interest). We expect to fund our 2023 investment and maintenance capital expenditures primarily with retained cash flow.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nine months of 2023 and 2022 from sales of assets (in millions):</w:t>
      </w:r>
    </w:p>
    <w:p>
      <w:pPr>
        <w:spacing w:after="0" w:line="22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8260" w:val="left"/>
          <w:tab w:leader="none" w:pos="934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286</w:t>
        <w:tab/>
        <w:t>$</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1" w:lineRule="exact"/>
        <w:rPr>
          <w:sz w:val="20"/>
          <w:szCs w:val="20"/>
          <w:color w:val="auto"/>
        </w:rPr>
      </w:pPr>
    </w:p>
    <w:p>
      <w:pPr>
        <w:ind w:left="660" w:right="200" w:hanging="652"/>
        <w:spacing w:after="0" w:line="249" w:lineRule="auto"/>
        <w:tabs>
          <w:tab w:leader="none" w:pos="64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Represents proceeds, including working capital adjustments, net of transaction costs. The proceeds from divestitures for the nine months ended September 30, 2023 are primarily from the sale of our 21% non-operated/undivided joint interest in the Keyera Fort Saskatchewan facility in February 2023. See Note 11 to our Condensed Consolidated Financial Statements for additional discussion of this transaction.</w:t>
      </w:r>
    </w:p>
    <w:p>
      <w:pPr>
        <w:spacing w:after="0" w:line="272"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2022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Agreements</w:t>
      </w:r>
    </w:p>
    <w:p>
      <w:pPr>
        <w:spacing w:after="0" w:line="256"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We had no net borrowings or repayments under the PAA credit facilities or commercial paper program during the nine months ended September 30, 2023 and 2022.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January 31, 2023, PAA redeemed its 2.85%, $400 million senior notes due January 2023. PAA utilized a combination of cash on hand and borrowings under its commercial paper program to repay these senior notes.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October 16, 2023, PAA redeemed its 3.85%, $700 million senior notes due October 2023. PAA utilized a combination of cash on hand and borrowings under its commercial paper program to repay these senior notes.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PAA repurchased 7.3 million common units under the Common Equity Repurchase Program (the “Program”) during the nine months ended September 30, 2022 for a total purchase price of $74 million, including commissions and fees. There were no repurchases under the Program during the nine months ended September 30, 2023. The remaining available capacity under the Program as of September 30, 2023 was $198 million.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up to a specified amount of equity securities (“PAGP Traditional Shelf”). At September 30, 2023,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nine months ended September 30, 2023.</w:t>
      </w:r>
    </w:p>
    <w:p>
      <w:pPr>
        <w:spacing w:after="0" w:line="20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September 30, 2023.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the PAA WKSI Shelf during the nine months ended September 30,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November 14, 2023, we will pay a quarterly cash distribution of $0.2675 per Class A share ($1.07 per Class A share on an annualized basis) to shareholders of record at the close of business on October 31, 2023 for the period from July 1, 2023 through September 30, 2023, which is unchanged from the distribution per share paid in August of 2023. See Note 6 to our Condensed Consolidated Financial Statements for details of distributions paid during the first nine months of 2023.</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September 30, 2023, noncontrolling interests in our subsidiaries consisted of (i) limited partner interests in PAA including a 69% interest in PAA’s common units and PAA’s Series A preferred units combined and 100% of PAA’s Series B preferred units, (ii) an approximate 18% limited partner interest in AAP, (iii) a 35% interest in the Permian JV, (iv) a 30% interest in Cactus II and (v) a 33% interest in Red River.</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14, 2023, PAA will pay a quarterly cash distribution of approximately $0.615 per unit to its Series A preferred unitholders of record at the close of business on October 31, 2023 for the period from July 1, 2023 through September 30, 2023.</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November 15, 2023, PAA will pay a quarterly cash distribution of approximately $24.88 per unit to its Series B preferred unitholders of record at the close of business on November 1, 2023 for the period from August 15, 2023 through November 14, 2023.</w:t>
      </w:r>
    </w:p>
    <w:p>
      <w:pPr>
        <w:spacing w:after="0" w:line="197"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 November 14, 2023, PAA will pay a quarterly cash distribution of $0.2675 per common unit ($1.07 per unit on an annualized basis) to common unitholders of record at the close of business on October 31, 2023 for the period from July 1, 2023 through September 30, 2023, which is unchanged from the distribution per unit paid in August of 2023.</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6 to our Condensed Consolidated Financial Statements for details of distributions paid to noncontrolling interests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Allocation Framework Update</w:t>
      </w:r>
    </w:p>
    <w:p>
      <w:pPr>
        <w:spacing w:after="0" w:line="2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November 3, 2023, we provided updates to our capital allocation framework and announced our intention to recommend to the Board of Directors a $0.20 per unit/share (annualized) increase to our distribution payable to holders of PAA common units and PAGP Class A shares with respect to the fourth quarter of 2023. If approved and declared by the Board of Directors, such increased distribution would be paid in February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9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our best estimate of the amount and timing of these payments as of September 30, 2023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2028 and</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24,223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22,214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20,309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17,857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47,448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139,788</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120" w:hanging="652"/>
        <w:spacing w:after="0" w:line="269" w:lineRule="auto"/>
        <w:tabs>
          <w:tab w:leader="none" w:pos="64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Amounts are primarily based on estimated volumes and market prices based on average activity during September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our merchant activities, we provide certain suppliers with irrevocable standby letters of credit to secure our</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70 days and are terminated upon completion of each transaction. Additionally, we issue letters of credit to support insurance programs, derivative transactions, including hedging-related margin obligations, and construction activities. At September 30, 2023 and December 31, 2022, we had outstanding letters of credit of approximately $147 million and $102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340" w:hanging="324"/>
        <w:spacing w:after="0" w:line="277" w:lineRule="auto"/>
        <w:tabs>
          <w:tab w:leader="none" w:pos="975"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our expected receipt of, and amounts of, distributions from Plains AAP, LP, and the effect thereof on our ability to pay distributions to our Class A shareholders;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60" w:hanging="324"/>
        <w:spacing w:after="0" w:line="301"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40" w:hanging="324"/>
        <w:spacing w:after="0" w:line="254"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86"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340" w:hanging="324"/>
        <w:spacing w:after="0" w:line="25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80" w:hanging="324"/>
        <w:spacing w:after="0" w:line="342"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9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1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980" w:hanging="324"/>
        <w:spacing w:after="0"/>
        <w:tabs>
          <w:tab w:leader="none" w:pos="9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1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7 to our Condensed Consolidated Financial Statements for further discussion regarding our hedging strategies and objectives.</w:t>
      </w:r>
    </w:p>
    <w:p>
      <w:pPr>
        <w:spacing w:after="0" w:line="26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2023 that would be expected from a 10% price increase or decrease is shown in the table below (in millions):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Debt</w:t>
      </w:r>
      <w:r>
        <w:rPr>
          <w:rFonts w:ascii="Arial" w:cs="Arial" w:eastAsia="Arial" w:hAnsi="Arial"/>
          <w:sz w:val="16"/>
          <w:szCs w:val="16"/>
          <w:color w:val="auto"/>
        </w:rPr>
        <w:t>. Our use of variable rate debt and any forecasted issuances of fixed rate debt expose us to interest rate risk. Therefore, from time to time, we</w:t>
      </w:r>
      <w:r>
        <w:rPr>
          <w:rFonts w:ascii="Arial" w:cs="Arial" w:eastAsia="Arial" w:hAnsi="Arial"/>
          <w:sz w:val="16"/>
          <w:szCs w:val="16"/>
          <w:i w:val="1"/>
          <w:iCs w:val="1"/>
          <w:color w:val="auto"/>
        </w:rPr>
        <w:t xml:space="preserve"> </w:t>
      </w:r>
      <w:r>
        <w:rPr>
          <w:rFonts w:ascii="Arial" w:cs="Arial" w:eastAsia="Arial" w:hAnsi="Arial"/>
          <w:sz w:val="16"/>
          <w:szCs w:val="16"/>
          <w:color w:val="auto"/>
        </w:rPr>
        <w:t>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September 30, 2023. The average interest rate on variable rate debt that was outstanding during the nine months ended September 30, 2023 was 5.6%, based upon rates in effect during such period. The fair value of our interest rate derivatives was a net asset of $80 million as of September 30, 2023. A 10% increase in the forward SOFR curve as of September 30, 2023 would have resulted in an increase of $19 million to the fair value of our interest rate derivatives. A 10% decrease in the forward SOFR curve as of September 30, 2023 would have resulted in a decrease of $19 million to the fair value of our interest rate derivatives. See Note 7 to our Condensed Consolidated Financial Statements for a discussion of our interest rate risk hedging activities.</w:t>
      </w:r>
    </w:p>
    <w:p>
      <w:pPr>
        <w:spacing w:after="0" w:line="19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i w:val="1"/>
          <w:iCs w:val="1"/>
          <w:color w:val="auto"/>
        </w:rPr>
        <w:t>Series B Preferred Units</w:t>
      </w:r>
      <w:r>
        <w:rPr>
          <w:rFonts w:ascii="Arial" w:cs="Arial" w:eastAsia="Arial" w:hAnsi="Arial"/>
          <w:sz w:val="16"/>
          <w:szCs w:val="16"/>
          <w:color w:val="auto"/>
        </w:rPr>
        <w:t>. Distributions on PAA’s Series B preferred units accumulate and are payable quarterly in arrears on the 15th day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May, August and November. Beginning August 15, 2023, distributions on PAA’s Series B preferred units accumulate based on the applicable three-month SOFR, plus certain adjustments. Based upon the Series B preferred units outstanding at September 30, 2023 and the liquidation preference of $1,000 per unit, a change of 100 basis points in interest rates would increase or decrease the annual distributions on PAA’s Series B preferred units by approximately $8 million. See Note 6 to our Condensed Consolidated Financial Statements for additional information on PAA’s Series B preferred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2023,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2023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9 to our Condensed Consolidated Financial Statements,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80" w:firstLine="8"/>
        <w:spacing w:after="0" w:line="287"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2023, certain Legacy Owners or their permitted transferees exercised the Exchange Right, which resulted in the issuance of 315,768 Class A shares. The issuance of Class A shares in connection with the exercise of the Exchange Right was exempt from the registration requirements of the Securities Act of 1933, as amended, pursuant to Section 4(a)(2)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During the quarter ended September 30, 2023,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ind w:left="260"/>
        <w:spacing w:after="0"/>
        <w:tabs>
          <w:tab w:leader="none" w:pos="6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0" w:lineRule="exact"/>
        <w:rPr>
          <w:sz w:val="20"/>
          <w:szCs w:val="20"/>
          <w:color w:val="auto"/>
        </w:rPr>
      </w:pPr>
    </w:p>
    <w:p>
      <w:pPr>
        <w:ind w:left="1500" w:right="460" w:hanging="1311"/>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Certificate of Limited Partnership of Plains GP Holdings, L.P. (incorporated by reference to Exhibit 3.1 to our Registration</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Statement on Form S-1 (333-190227) filed July 29, 2013).</w:t>
        </w:r>
      </w:hyperlink>
    </w:p>
    <w:p>
      <w:pPr>
        <w:spacing w:after="0" w:line="121" w:lineRule="exact"/>
        <w:rPr>
          <w:sz w:val="20"/>
          <w:szCs w:val="20"/>
          <w:color w:val="auto"/>
        </w:rPr>
      </w:pPr>
    </w:p>
    <w:p>
      <w:pPr>
        <w:ind w:left="1500" w:right="200" w:hanging="1311"/>
        <w:spacing w:after="0" w:line="258"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 xml:space="preserve">— </w:t>
      </w:r>
      <w:hyperlink r:id="rId79">
        <w:r>
          <w:rPr>
            <w:rFonts w:ascii="Arial" w:cs="Arial" w:eastAsia="Arial" w:hAnsi="Arial"/>
            <w:sz w:val="17"/>
            <w:szCs w:val="17"/>
            <w:u w:val="single" w:color="auto"/>
            <w:color w:val="0000FF"/>
          </w:rPr>
          <w:t>Second Amended and Restated Agreement of Limited Partnership of Plains GP Holdings, L.P. dated as of November 15, 2016</w:t>
        </w:r>
      </w:hyperlink>
      <w:r>
        <w:rPr>
          <w:rFonts w:ascii="Arial" w:cs="Arial" w:eastAsia="Arial" w:hAnsi="Arial"/>
          <w:sz w:val="17"/>
          <w:szCs w:val="17"/>
          <w:color w:val="auto"/>
        </w:rPr>
        <w:t xml:space="preserve"> </w:t>
      </w:r>
      <w:hyperlink r:id="rId79">
        <w:r>
          <w:rPr>
            <w:rFonts w:ascii="Arial" w:cs="Arial" w:eastAsia="Arial" w:hAnsi="Arial"/>
            <w:sz w:val="17"/>
            <w:szCs w:val="17"/>
            <w:u w:val="single" w:color="auto"/>
            <w:color w:val="0000FF"/>
          </w:rPr>
          <w:t>(incorporated by reference to Exhibit 3.2 to our Current Report on Form 8-K filed November 21, 2016).</w:t>
        </w:r>
      </w:hyperlink>
    </w:p>
    <w:p>
      <w:pPr>
        <w:spacing w:after="0" w:line="106" w:lineRule="exact"/>
        <w:rPr>
          <w:sz w:val="20"/>
          <w:szCs w:val="20"/>
          <w:color w:val="auto"/>
        </w:rPr>
      </w:pPr>
    </w:p>
    <w:p>
      <w:pPr>
        <w:ind w:left="1500" w:right="300" w:hanging="1311"/>
        <w:spacing w:after="0" w:line="258"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 xml:space="preserve">— </w:t>
      </w:r>
      <w:hyperlink r:id="rId80">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80">
        <w:r>
          <w:rPr>
            <w:rFonts w:ascii="Arial" w:cs="Arial" w:eastAsia="Arial" w:hAnsi="Arial"/>
            <w:sz w:val="17"/>
            <w:szCs w:val="17"/>
            <w:u w:val="single" w:color="auto"/>
            <w:color w:val="0000FF"/>
          </w:rPr>
          <w:t>Holdings, L.P. (incorporated by reference to Exhibit 3.1 to our Current Report on Form 8-K filed April 9, 2020).</w:t>
        </w:r>
      </w:hyperlink>
    </w:p>
    <w:p>
      <w:pPr>
        <w:spacing w:after="0" w:line="106" w:lineRule="exact"/>
        <w:rPr>
          <w:sz w:val="20"/>
          <w:szCs w:val="20"/>
          <w:color w:val="auto"/>
        </w:rPr>
      </w:pPr>
    </w:p>
    <w:p>
      <w:pPr>
        <w:ind w:left="1500" w:right="240" w:hanging="1311"/>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Certificate of Formation of PAA GP Holdings LLC (incorporated by reference to Exhibit 3.3 to our Registration Statement on</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Form S-1 (333-190227) filed July 29, 2013).</w:t>
        </w:r>
      </w:hyperlink>
    </w:p>
    <w:p>
      <w:pPr>
        <w:spacing w:after="0" w:line="106" w:lineRule="exact"/>
        <w:rPr>
          <w:sz w:val="20"/>
          <w:szCs w:val="20"/>
          <w:color w:val="auto"/>
        </w:rPr>
      </w:pPr>
    </w:p>
    <w:p>
      <w:pPr>
        <w:ind w:left="560"/>
        <w:spacing w:after="0"/>
        <w:tabs>
          <w:tab w:leader="none" w:pos="148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w:t>
      </w:r>
      <w:r>
        <w:rPr>
          <w:sz w:val="20"/>
          <w:szCs w:val="20"/>
          <w:color w:val="auto"/>
        </w:rPr>
        <w:tab/>
      </w:r>
      <w:hyperlink r:id="rId82">
        <w:r>
          <w:rPr>
            <w:rFonts w:ascii="Arial" w:cs="Arial" w:eastAsia="Arial" w:hAnsi="Arial"/>
            <w:sz w:val="16"/>
            <w:szCs w:val="16"/>
            <w:u w:val="single" w:color="auto"/>
            <w:color w:val="0000FF"/>
          </w:rPr>
          <w:t>Fourth Amended and Restated Limited Liability Company Agreement of PAA GP Holdings LLC dated effective as of August</w:t>
        </w:r>
      </w:hyperlink>
    </w:p>
    <w:p>
      <w:pPr>
        <w:ind w:left="1860"/>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19, 2021 (incorporated by reference to Exhibit 3.11 to our Annual Report on Form 10-K for the year ended December 31, 2021).</w:t>
        </w:r>
      </w:hyperlink>
    </w:p>
    <w:p>
      <w:pPr>
        <w:spacing w:after="0" w:line="136" w:lineRule="exact"/>
        <w:rPr>
          <w:sz w:val="20"/>
          <w:szCs w:val="20"/>
          <w:color w:val="auto"/>
        </w:rPr>
      </w:pPr>
    </w:p>
    <w:p>
      <w:pPr>
        <w:ind w:left="560"/>
        <w:spacing w:after="0"/>
        <w:tabs>
          <w:tab w:leader="none" w:pos="148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w:t>
      </w:r>
      <w:r>
        <w:rPr>
          <w:sz w:val="20"/>
          <w:szCs w:val="20"/>
          <w:color w:val="auto"/>
        </w:rPr>
        <w:tab/>
      </w:r>
      <w:hyperlink r:id="rId83">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86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2017 (incorporated by reference to Exhibit 3.1 to PAA's Current Report on Form 8-K filed October 12, 2017).</w:t>
        </w:r>
      </w:hyperlink>
    </w:p>
    <w:p>
      <w:pPr>
        <w:spacing w:after="0" w:line="113" w:lineRule="exact"/>
        <w:rPr>
          <w:sz w:val="20"/>
          <w:szCs w:val="20"/>
          <w:color w:val="auto"/>
        </w:rPr>
      </w:pPr>
    </w:p>
    <w:p>
      <w:pPr>
        <w:ind w:left="560"/>
        <w:spacing w:after="0"/>
        <w:tabs>
          <w:tab w:leader="none" w:pos="148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hyperlink r:id="rId84">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86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28" w:lineRule="exact"/>
        <w:rPr>
          <w:sz w:val="20"/>
          <w:szCs w:val="20"/>
          <w:color w:val="auto"/>
        </w:rPr>
      </w:pPr>
    </w:p>
    <w:p>
      <w:pPr>
        <w:ind w:left="1500" w:right="200" w:hanging="1311"/>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reference to Exhibit 3.4 to our Current Report on Form 8-K filed November 21, 2016).</w:t>
        </w:r>
      </w:hyperlink>
    </w:p>
    <w:p>
      <w:pPr>
        <w:spacing w:after="0" w:line="121" w:lineRule="exact"/>
        <w:rPr>
          <w:sz w:val="20"/>
          <w:szCs w:val="20"/>
          <w:color w:val="auto"/>
        </w:rPr>
      </w:pPr>
    </w:p>
    <w:p>
      <w:pPr>
        <w:ind w:left="1500" w:right="340" w:hanging="1311"/>
        <w:spacing w:after="0" w:line="258"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 xml:space="preserve">— </w:t>
      </w:r>
      <w:hyperlink r:id="rId86">
        <w:r>
          <w:rPr>
            <w:rFonts w:ascii="Arial" w:cs="Arial" w:eastAsia="Arial" w:hAnsi="Arial"/>
            <w:sz w:val="17"/>
            <w:szCs w:val="17"/>
            <w:u w:val="single" w:color="auto"/>
            <w:color w:val="0000FF"/>
          </w:rPr>
          <w:t>Amendment No. 1 dated September 26, 2018 to the Eighth Amended and Restated Limited Partnership Agreement of Plains</w:t>
        </w:r>
      </w:hyperlink>
      <w:r>
        <w:rPr>
          <w:rFonts w:ascii="Arial" w:cs="Arial" w:eastAsia="Arial" w:hAnsi="Arial"/>
          <w:sz w:val="17"/>
          <w:szCs w:val="17"/>
          <w:color w:val="auto"/>
        </w:rPr>
        <w:t xml:space="preserve"> </w:t>
      </w:r>
      <w:hyperlink r:id="rId86">
        <w:r>
          <w:rPr>
            <w:rFonts w:ascii="Arial" w:cs="Arial" w:eastAsia="Arial" w:hAnsi="Arial"/>
            <w:sz w:val="17"/>
            <w:szCs w:val="17"/>
            <w:u w:val="single" w:color="auto"/>
            <w:color w:val="0000FF"/>
          </w:rPr>
          <w:t>AAP, L.P. (incorporated by reference to Exhibit 3.1 to our Current Report on Form 8-K filed October 2, 2018).</w:t>
        </w:r>
      </w:hyperlink>
    </w:p>
    <w:p>
      <w:pPr>
        <w:spacing w:after="0" w:line="91" w:lineRule="exact"/>
        <w:rPr>
          <w:sz w:val="20"/>
          <w:szCs w:val="20"/>
          <w:color w:val="auto"/>
        </w:rPr>
      </w:pPr>
    </w:p>
    <w:p>
      <w:pPr>
        <w:ind w:left="500"/>
        <w:spacing w:after="0"/>
        <w:tabs>
          <w:tab w:leader="none" w:pos="148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87">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86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28" w:lineRule="exact"/>
        <w:rPr>
          <w:sz w:val="20"/>
          <w:szCs w:val="20"/>
          <w:color w:val="auto"/>
        </w:rPr>
      </w:pPr>
    </w:p>
    <w:p>
      <w:pPr>
        <w:ind w:left="1500" w:right="160" w:hanging="1352"/>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Amendment No. 3 dated August 17, 2023 to the Eighth Amended and Restated Limited Partnership Agreement of Plains AAP,</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L.P. (incorporated by reference to Exhibit 3.1 to our Current Report on Form 8-K filed August 21, 2023).</w:t>
        </w:r>
      </w:hyperlink>
    </w:p>
    <w:p>
      <w:pPr>
        <w:spacing w:after="0" w:line="121" w:lineRule="exact"/>
        <w:rPr>
          <w:sz w:val="20"/>
          <w:szCs w:val="20"/>
          <w:color w:val="auto"/>
        </w:rPr>
      </w:pPr>
    </w:p>
    <w:p>
      <w:pPr>
        <w:ind w:left="1500" w:right="180" w:hanging="1356"/>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Limited Liability Company Agreement of PAA GP LLC dated December 28, 2007 (incorporated by reference to Exhibit 3.3 to</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PAA’s Current Report on Form 8-K filed January 4, 2008).</w:t>
        </w:r>
      </w:hyperlink>
    </w:p>
    <w:p>
      <w:pPr>
        <w:spacing w:after="0" w:line="121" w:lineRule="exact"/>
        <w:rPr>
          <w:sz w:val="20"/>
          <w:szCs w:val="20"/>
          <w:color w:val="auto"/>
        </w:rPr>
      </w:pPr>
    </w:p>
    <w:p>
      <w:pPr>
        <w:ind w:left="1500" w:right="500" w:hanging="1311"/>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 </w:t>
      </w:r>
      <w:hyperlink r:id="rId90">
        <w:r>
          <w:rPr>
            <w:rFonts w:ascii="Arial" w:cs="Arial" w:eastAsia="Arial" w:hAnsi="Arial"/>
            <w:sz w:val="16"/>
            <w:szCs w:val="16"/>
            <w:u w:val="single" w:color="auto"/>
            <w:color w:val="0000FF"/>
          </w:rPr>
          <w:t>Indenture dated September 25, 2002 among Plains All American Pipeline, L.P., PAA Finance Corp. and Wachovia Bank,</w:t>
        </w:r>
      </w:hyperlink>
      <w:r>
        <w:rPr>
          <w:rFonts w:ascii="Arial" w:cs="Arial" w:eastAsia="Arial" w:hAnsi="Arial"/>
          <w:sz w:val="16"/>
          <w:szCs w:val="16"/>
          <w:color w:val="auto"/>
        </w:rPr>
        <w:t xml:space="preserve"> </w:t>
      </w:r>
      <w:hyperlink r:id="rId90">
        <w:r>
          <w:rPr>
            <w:rFonts w:ascii="Arial" w:cs="Arial" w:eastAsia="Arial" w:hAnsi="Arial"/>
            <w:sz w:val="16"/>
            <w:szCs w:val="16"/>
            <w:u w:val="single" w:color="auto"/>
            <w:color w:val="0000FF"/>
          </w:rPr>
          <w:t>National Association, as trustee (incorporated by reference to Exhibit 4.1 to PAA’s Quarterly Report on Form 10-Q for the</w:t>
        </w:r>
      </w:hyperlink>
    </w:p>
    <w:p>
      <w:pPr>
        <w:ind w:left="186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quarter ended September 30, 2002).</w:t>
        </w:r>
      </w:hyperlink>
    </w:p>
    <w:p>
      <w:pPr>
        <w:spacing w:after="0" w:line="115" w:lineRule="exact"/>
        <w:rPr>
          <w:sz w:val="20"/>
          <w:szCs w:val="20"/>
          <w:color w:val="auto"/>
        </w:rPr>
      </w:pPr>
    </w:p>
    <w:p>
      <w:pPr>
        <w:ind w:left="1500" w:right="440" w:hanging="1311"/>
        <w:spacing w:after="0" w:line="233"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 </w:t>
      </w:r>
      <w:hyperlink r:id="rId91">
        <w:r>
          <w:rPr>
            <w:rFonts w:ascii="Arial" w:cs="Arial" w:eastAsia="Arial" w:hAnsi="Arial"/>
            <w:sz w:val="17"/>
            <w:szCs w:val="17"/>
            <w:u w:val="single" w:color="auto"/>
            <w:color w:val="0000FF"/>
          </w:rPr>
          <w:t>Sixth Supplemental Indenture (Series A and Series B 6.70% Senior Notes due 2036) dated May 12, 2006 among Plains All</w:t>
        </w:r>
      </w:hyperlink>
      <w:r>
        <w:rPr>
          <w:rFonts w:ascii="Arial" w:cs="Arial" w:eastAsia="Arial" w:hAnsi="Arial"/>
          <w:sz w:val="17"/>
          <w:szCs w:val="17"/>
          <w:color w:val="auto"/>
        </w:rPr>
        <w:t xml:space="preserve"> </w:t>
      </w:r>
      <w:hyperlink r:id="rId91">
        <w:r>
          <w:rPr>
            <w:rFonts w:ascii="Arial" w:cs="Arial" w:eastAsia="Arial" w:hAnsi="Arial"/>
            <w:sz w:val="17"/>
            <w:szCs w:val="17"/>
            <w:u w:val="single" w:color="auto"/>
            <w:color w:val="0000FF"/>
          </w:rPr>
          <w:t>American Pipeline, L.P., PAA Finance Corp., the Subsidiary Guarantors named therein and Wachovia Bank, National</w:t>
        </w:r>
      </w:hyperlink>
    </w:p>
    <w:p>
      <w:pPr>
        <w:spacing w:after="0" w:line="1" w:lineRule="exact"/>
        <w:rPr>
          <w:sz w:val="20"/>
          <w:szCs w:val="20"/>
          <w:color w:val="auto"/>
        </w:rPr>
      </w:pPr>
    </w:p>
    <w:p>
      <w:pPr>
        <w:ind w:left="1860"/>
        <w:spacing w:after="0"/>
        <w:rPr>
          <w:rFonts w:ascii="Arial" w:cs="Arial" w:eastAsia="Arial" w:hAnsi="Arial"/>
          <w:sz w:val="17"/>
          <w:szCs w:val="17"/>
          <w:u w:val="single" w:color="auto"/>
          <w:color w:val="0000FF"/>
        </w:rPr>
      </w:pPr>
      <w:hyperlink r:id="rId91">
        <w:r>
          <w:rPr>
            <w:rFonts w:ascii="Arial" w:cs="Arial" w:eastAsia="Arial" w:hAnsi="Arial"/>
            <w:sz w:val="17"/>
            <w:szCs w:val="17"/>
            <w:u w:val="single" w:color="auto"/>
            <w:color w:val="0000FF"/>
          </w:rPr>
          <w:t>Association, as trustee (incorporated by reference to Exhibit 4.1 to PAA’s Current Report on Form 8-K filed May 12, 2006).</w:t>
        </w:r>
      </w:hyperlink>
    </w:p>
    <w:p>
      <w:pPr>
        <w:spacing w:after="0" w:line="126" w:lineRule="exact"/>
        <w:rPr>
          <w:sz w:val="20"/>
          <w:szCs w:val="20"/>
          <w:color w:val="auto"/>
        </w:rPr>
      </w:pPr>
    </w:p>
    <w:p>
      <w:pPr>
        <w:ind w:left="1500" w:right="80" w:hanging="1311"/>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 </w:t>
      </w:r>
      <w:hyperlink r:id="rId92">
        <w:r>
          <w:rPr>
            <w:rFonts w:ascii="Arial" w:cs="Arial" w:eastAsia="Arial" w:hAnsi="Arial"/>
            <w:sz w:val="16"/>
            <w:szCs w:val="16"/>
            <w:u w:val="single" w:color="auto"/>
            <w:color w:val="0000FF"/>
          </w:rPr>
          <w:t>Tenth Supplemental Indenture (Series A and Series B 6.650% Senior Notes due 2037) dated October 30, 2006 among Plains All</w:t>
        </w:r>
      </w:hyperlink>
      <w:r>
        <w:rPr>
          <w:rFonts w:ascii="Arial" w:cs="Arial" w:eastAsia="Arial" w:hAnsi="Arial"/>
          <w:sz w:val="16"/>
          <w:szCs w:val="16"/>
          <w:color w:val="auto"/>
        </w:rPr>
        <w:t xml:space="preserve"> </w:t>
      </w:r>
      <w:hyperlink r:id="rId92">
        <w:r>
          <w:rPr>
            <w:rFonts w:ascii="Arial" w:cs="Arial" w:eastAsia="Arial" w:hAnsi="Arial"/>
            <w:sz w:val="16"/>
            <w:szCs w:val="16"/>
            <w:u w:val="single" w:color="auto"/>
            <w:color w:val="0000FF"/>
          </w:rPr>
          <w:t>American Pipeline, L.P., PAA Finance Corp., the Subsidiary Guarantors named therein and U.S. Bank National Association, as</w:t>
        </w:r>
      </w:hyperlink>
    </w:p>
    <w:p>
      <w:pPr>
        <w:ind w:left="1860"/>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trustee (incorporated by reference to Exhibit 4.2 to PAA’s Current Report on Form 8-K filed October 30, 2006).</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00" w:right="320" w:hanging="1311"/>
        <w:spacing w:after="0" w:line="233"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xml:space="preserve">— </w:t>
      </w:r>
      <w:hyperlink r:id="rId94">
        <w:r>
          <w:rPr>
            <w:rFonts w:ascii="Arial" w:cs="Arial" w:eastAsia="Arial" w:hAnsi="Arial"/>
            <w:sz w:val="17"/>
            <w:szCs w:val="17"/>
            <w:u w:val="single" w:color="auto"/>
            <w:color w:val="0000FF"/>
          </w:rPr>
          <w:t>Twenty-First Supplemental Indenture (5.15% Senior Notes due 2042) dated March 22, 2012 among Plains All American</w:t>
        </w:r>
      </w:hyperlink>
      <w:r>
        <w:rPr>
          <w:rFonts w:ascii="Arial" w:cs="Arial" w:eastAsia="Arial" w:hAnsi="Arial"/>
          <w:sz w:val="17"/>
          <w:szCs w:val="17"/>
          <w:color w:val="auto"/>
        </w:rPr>
        <w:t xml:space="preserve"> </w:t>
      </w:r>
      <w:hyperlink r:id="rId94">
        <w:r>
          <w:rPr>
            <w:rFonts w:ascii="Arial" w:cs="Arial" w:eastAsia="Arial" w:hAnsi="Arial"/>
            <w:sz w:val="17"/>
            <w:szCs w:val="17"/>
            <w:u w:val="single" w:color="auto"/>
            <w:color w:val="0000FF"/>
          </w:rPr>
          <w:t>Pipeline, L.P., PAA Finance Corp and U.S. Bank National Association, as trustee (incorporated by reference to Exhibit 4.3 to</w:t>
        </w:r>
      </w:hyperlink>
    </w:p>
    <w:p>
      <w:pPr>
        <w:spacing w:after="0" w:line="1" w:lineRule="exact"/>
        <w:rPr>
          <w:sz w:val="20"/>
          <w:szCs w:val="20"/>
          <w:color w:val="auto"/>
        </w:rPr>
      </w:pPr>
    </w:p>
    <w:p>
      <w:pPr>
        <w:ind w:left="186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PAA’s Current Report on Form 8-K filed March 26, 2012).</w:t>
        </w:r>
      </w:hyperlink>
    </w:p>
    <w:p>
      <w:pPr>
        <w:spacing w:after="0" w:line="115" w:lineRule="exact"/>
        <w:rPr>
          <w:sz w:val="20"/>
          <w:szCs w:val="20"/>
          <w:color w:val="auto"/>
        </w:rPr>
      </w:pPr>
    </w:p>
    <w:p>
      <w:pPr>
        <w:ind w:left="1500" w:right="480" w:hanging="1311"/>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 </w:t>
      </w:r>
      <w:hyperlink r:id="rId95">
        <w:r>
          <w:rPr>
            <w:rFonts w:ascii="Arial" w:cs="Arial" w:eastAsia="Arial" w:hAnsi="Arial"/>
            <w:sz w:val="16"/>
            <w:szCs w:val="16"/>
            <w:u w:val="single" w:color="auto"/>
            <w:color w:val="0000FF"/>
          </w:rPr>
          <w:t>Twenty-Third Supplemental Indenture (4.30% Senior Notes due 2043) dated December 10, 2012, by and among Plains All</w:t>
        </w:r>
      </w:hyperlink>
      <w:r>
        <w:rPr>
          <w:rFonts w:ascii="Arial" w:cs="Arial" w:eastAsia="Arial" w:hAnsi="Arial"/>
          <w:sz w:val="16"/>
          <w:szCs w:val="16"/>
          <w:color w:val="auto"/>
        </w:rPr>
        <w:t xml:space="preserve"> </w:t>
      </w:r>
      <w:hyperlink r:id="rId95">
        <w:r>
          <w:rPr>
            <w:rFonts w:ascii="Arial" w:cs="Arial" w:eastAsia="Arial" w:hAnsi="Arial"/>
            <w:sz w:val="16"/>
            <w:szCs w:val="16"/>
            <w:u w:val="single" w:color="auto"/>
            <w:color w:val="0000FF"/>
          </w:rPr>
          <w:t>American Pipeline, L.P., PAA Finance Corp. and U.S. Bank National Association, as trustee (incorporated by reference to</w:t>
        </w:r>
      </w:hyperlink>
    </w:p>
    <w:p>
      <w:pPr>
        <w:ind w:left="186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Exhibit 4.3 to PAA’s Current Report on Form 8-K filed December 12, 2012).</w:t>
        </w:r>
      </w:hyperlink>
    </w:p>
    <w:p>
      <w:pPr>
        <w:spacing w:after="0" w:line="115" w:lineRule="exact"/>
        <w:rPr>
          <w:sz w:val="20"/>
          <w:szCs w:val="20"/>
          <w:color w:val="auto"/>
        </w:rPr>
      </w:pPr>
    </w:p>
    <w:p>
      <w:pPr>
        <w:ind w:left="1500" w:right="560" w:hanging="1311"/>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xml:space="preserve">— </w:t>
      </w:r>
      <w:hyperlink r:id="rId96">
        <w:r>
          <w:rPr>
            <w:rFonts w:ascii="Arial" w:cs="Arial" w:eastAsia="Arial" w:hAnsi="Arial"/>
            <w:sz w:val="16"/>
            <w:szCs w:val="16"/>
            <w:u w:val="single" w:color="auto"/>
            <w:color w:val="0000FF"/>
          </w:rPr>
          <w:t>Twenty-Fourth Supplemental Indenture (3.85% Senior Notes due 2023) dated August 15, 2013, by and among Plains All</w:t>
        </w:r>
      </w:hyperlink>
      <w:r>
        <w:rPr>
          <w:rFonts w:ascii="Arial" w:cs="Arial" w:eastAsia="Arial" w:hAnsi="Arial"/>
          <w:sz w:val="16"/>
          <w:szCs w:val="16"/>
          <w:color w:val="auto"/>
        </w:rPr>
        <w:t xml:space="preserve"> </w:t>
      </w:r>
      <w:hyperlink r:id="rId96">
        <w:r>
          <w:rPr>
            <w:rFonts w:ascii="Arial" w:cs="Arial" w:eastAsia="Arial" w:hAnsi="Arial"/>
            <w:sz w:val="16"/>
            <w:szCs w:val="16"/>
            <w:u w:val="single" w:color="auto"/>
            <w:color w:val="0000FF"/>
          </w:rPr>
          <w:t>American Pipeline, L.P., PAA Finance Corp. and U.S. Bank National Association, as trustee (incorporated by reference to</w:t>
        </w:r>
      </w:hyperlink>
    </w:p>
    <w:p>
      <w:pPr>
        <w:ind w:left="186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Exhibit 4.1 to PAA’s Current Report on Form 8-K filed August 15, 2013).</w:t>
        </w:r>
      </w:hyperlink>
    </w:p>
    <w:p>
      <w:pPr>
        <w:spacing w:after="0" w:line="115" w:lineRule="exact"/>
        <w:rPr>
          <w:sz w:val="20"/>
          <w:szCs w:val="20"/>
          <w:color w:val="auto"/>
        </w:rPr>
      </w:pPr>
    </w:p>
    <w:p>
      <w:pPr>
        <w:ind w:left="1500" w:hanging="1311"/>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 </w:t>
      </w:r>
      <w:hyperlink r:id="rId97">
        <w:r>
          <w:rPr>
            <w:rFonts w:ascii="Arial" w:cs="Arial" w:eastAsia="Arial" w:hAnsi="Arial"/>
            <w:sz w:val="16"/>
            <w:szCs w:val="16"/>
            <w:u w:val="single" w:color="auto"/>
            <w:color w:val="0000FF"/>
          </w:rPr>
          <w:t>Twenty-Fifth Supplemental Indenture (4.70% Senior Notes due 2044) dated April 23, 2014, by and among Plains All American</w:t>
        </w:r>
      </w:hyperlink>
      <w:r>
        <w:rPr>
          <w:rFonts w:ascii="Arial" w:cs="Arial" w:eastAsia="Arial" w:hAnsi="Arial"/>
          <w:sz w:val="16"/>
          <w:szCs w:val="16"/>
          <w:color w:val="auto"/>
        </w:rPr>
        <w:t xml:space="preserve"> </w:t>
      </w:r>
      <w:hyperlink r:id="rId97">
        <w:r>
          <w:rPr>
            <w:rFonts w:ascii="Arial" w:cs="Arial" w:eastAsia="Arial" w:hAnsi="Arial"/>
            <w:sz w:val="16"/>
            <w:szCs w:val="16"/>
            <w:u w:val="single" w:color="auto"/>
            <w:color w:val="0000FF"/>
          </w:rPr>
          <w:t>Pipeline, L.P., PAA Finance Corp. and U.S. Bank National Association, as trustee (incorporated by reference to Exhibit 4.1 to our</w:t>
        </w:r>
      </w:hyperlink>
    </w:p>
    <w:p>
      <w:pPr>
        <w:ind w:left="186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Current Report on Form 8-K filed April 29, 2014).</w:t>
        </w:r>
      </w:hyperlink>
    </w:p>
    <w:p>
      <w:pPr>
        <w:spacing w:after="0" w:line="115" w:lineRule="exact"/>
        <w:rPr>
          <w:sz w:val="20"/>
          <w:szCs w:val="20"/>
          <w:color w:val="auto"/>
        </w:rPr>
      </w:pPr>
    </w:p>
    <w:p>
      <w:pPr>
        <w:jc w:val="right"/>
        <w:ind w:left="560" w:right="56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4.8        —  </w:t>
      </w:r>
      <w:hyperlink r:id="rId98">
        <w:r>
          <w:rPr>
            <w:rFonts w:ascii="Arial" w:cs="Arial" w:eastAsia="Arial" w:hAnsi="Arial"/>
            <w:sz w:val="17"/>
            <w:szCs w:val="17"/>
            <w:u w:val="single" w:color="auto"/>
            <w:color w:val="0000FF"/>
          </w:rPr>
          <w:t>Twenty-Sixth Supplemental Indenture (3.60% Senior Notes due 2024) dated September 9, 2014, by and among Plains All</w:t>
        </w:r>
      </w:hyperlink>
      <w:r>
        <w:rPr>
          <w:rFonts w:ascii="Arial" w:cs="Arial" w:eastAsia="Arial" w:hAnsi="Arial"/>
          <w:sz w:val="17"/>
          <w:szCs w:val="17"/>
          <w:color w:val="auto"/>
        </w:rPr>
        <w:t xml:space="preserve"> </w:t>
      </w:r>
      <w:hyperlink r:id="rId98">
        <w:r>
          <w:rPr>
            <w:rFonts w:ascii="Arial" w:cs="Arial" w:eastAsia="Arial" w:hAnsi="Arial"/>
            <w:sz w:val="17"/>
            <w:szCs w:val="17"/>
            <w:u w:val="single" w:color="auto"/>
            <w:color w:val="0000FF"/>
          </w:rPr>
          <w:t>American Pipeline, L.P., PAA Finance Corp. and U.S. Bank National Association, as trustee (incorporated by reference to</w:t>
        </w:r>
      </w:hyperlink>
    </w:p>
    <w:p>
      <w:pPr>
        <w:spacing w:after="0" w:line="1" w:lineRule="exact"/>
        <w:rPr>
          <w:sz w:val="20"/>
          <w:szCs w:val="20"/>
          <w:color w:val="auto"/>
        </w:rPr>
      </w:pPr>
    </w:p>
    <w:p>
      <w:pPr>
        <w:ind w:left="186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Exhibit 4.1 to our Current Report on Form 8-K filed September 11, 2014).</w:t>
        </w:r>
      </w:hyperlink>
    </w:p>
    <w:p>
      <w:pPr>
        <w:spacing w:after="0" w:line="115" w:lineRule="exact"/>
        <w:rPr>
          <w:sz w:val="20"/>
          <w:szCs w:val="20"/>
          <w:color w:val="auto"/>
        </w:rPr>
      </w:pPr>
    </w:p>
    <w:p>
      <w:pPr>
        <w:jc w:val="right"/>
        <w:ind w:left="560" w:right="48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4.9        —  </w:t>
      </w:r>
      <w:hyperlink r:id="rId99">
        <w:r>
          <w:rPr>
            <w:rFonts w:ascii="Arial" w:cs="Arial" w:eastAsia="Arial" w:hAnsi="Arial"/>
            <w:sz w:val="17"/>
            <w:szCs w:val="17"/>
            <w:u w:val="single" w:color="auto"/>
            <w:color w:val="0000FF"/>
          </w:rPr>
          <w:t>Twenty-Eighth Supplemental Indenture (4.90% Senior Notes due 2045) dated December 9, 2014, by and among Plains All</w:t>
        </w:r>
      </w:hyperlink>
      <w:r>
        <w:rPr>
          <w:rFonts w:ascii="Arial" w:cs="Arial" w:eastAsia="Arial" w:hAnsi="Arial"/>
          <w:sz w:val="17"/>
          <w:szCs w:val="17"/>
          <w:color w:val="auto"/>
        </w:rPr>
        <w:t xml:space="preserve"> </w:t>
      </w:r>
      <w:hyperlink r:id="rId99">
        <w:r>
          <w:rPr>
            <w:rFonts w:ascii="Arial" w:cs="Arial" w:eastAsia="Arial" w:hAnsi="Arial"/>
            <w:sz w:val="17"/>
            <w:szCs w:val="17"/>
            <w:u w:val="single" w:color="auto"/>
            <w:color w:val="0000FF"/>
          </w:rPr>
          <w:t>American Pipeline, L.P., PAA Finance Corp., and U.S. Bank National Association, as trustee (incorporated by reference to</w:t>
        </w:r>
      </w:hyperlink>
    </w:p>
    <w:p>
      <w:pPr>
        <w:spacing w:after="0" w:line="1" w:lineRule="exact"/>
        <w:rPr>
          <w:sz w:val="20"/>
          <w:szCs w:val="20"/>
          <w:color w:val="auto"/>
        </w:rPr>
      </w:pPr>
    </w:p>
    <w:p>
      <w:pPr>
        <w:ind w:left="186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Exhibit 4.3 to our Current Report on Form 8-K filed December 11, 2014).</w:t>
        </w:r>
      </w:hyperlink>
    </w:p>
    <w:p>
      <w:pPr>
        <w:spacing w:after="0" w:line="115" w:lineRule="exact"/>
        <w:rPr>
          <w:sz w:val="20"/>
          <w:szCs w:val="20"/>
          <w:color w:val="auto"/>
        </w:rPr>
      </w:pPr>
    </w:p>
    <w:p>
      <w:pPr>
        <w:ind w:left="1500" w:right="500" w:hanging="1356"/>
        <w:spacing w:after="0" w:line="233"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 xml:space="preserve">— </w:t>
      </w:r>
      <w:hyperlink r:id="rId100">
        <w:r>
          <w:rPr>
            <w:rFonts w:ascii="Arial" w:cs="Arial" w:eastAsia="Arial" w:hAnsi="Arial"/>
            <w:sz w:val="17"/>
            <w:szCs w:val="17"/>
            <w:u w:val="single" w:color="auto"/>
            <w:color w:val="0000FF"/>
          </w:rPr>
          <w:t>Twenty-Ninth Supplemental Indenture (4.65% Senior Notes due 2025) dated August 24, 2015, by and among Plains All</w:t>
        </w:r>
      </w:hyperlink>
      <w:r>
        <w:rPr>
          <w:rFonts w:ascii="Arial" w:cs="Arial" w:eastAsia="Arial" w:hAnsi="Arial"/>
          <w:sz w:val="17"/>
          <w:szCs w:val="17"/>
          <w:color w:val="auto"/>
        </w:rPr>
        <w:t xml:space="preserve"> </w:t>
      </w:r>
      <w:hyperlink r:id="rId100">
        <w:r>
          <w:rPr>
            <w:rFonts w:ascii="Arial" w:cs="Arial" w:eastAsia="Arial" w:hAnsi="Arial"/>
            <w:sz w:val="17"/>
            <w:szCs w:val="17"/>
            <w:u w:val="single" w:color="auto"/>
            <w:color w:val="0000FF"/>
          </w:rPr>
          <w:t>American Pipeline, L.P., PAA Finance Corp., and U.S. Bank National Association, as trustee (incorporated by reference to</w:t>
        </w:r>
      </w:hyperlink>
    </w:p>
    <w:p>
      <w:pPr>
        <w:spacing w:after="0" w:line="1" w:lineRule="exact"/>
        <w:rPr>
          <w:sz w:val="20"/>
          <w:szCs w:val="20"/>
          <w:color w:val="auto"/>
        </w:rPr>
      </w:pPr>
    </w:p>
    <w:p>
      <w:pPr>
        <w:ind w:left="1860"/>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Exhibit 4.1 to PAA’s Current Report on Form 8-K filed August 26, 2015).</w:t>
        </w:r>
      </w:hyperlink>
    </w:p>
    <w:p>
      <w:pPr>
        <w:spacing w:after="0" w:line="115" w:lineRule="exact"/>
        <w:rPr>
          <w:sz w:val="20"/>
          <w:szCs w:val="20"/>
          <w:color w:val="auto"/>
        </w:rPr>
      </w:pPr>
    </w:p>
    <w:p>
      <w:pPr>
        <w:ind w:left="1500" w:right="60" w:hanging="1352"/>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 xml:space="preserve">— </w:t>
      </w:r>
      <w:hyperlink r:id="rId101">
        <w:r>
          <w:rPr>
            <w:rFonts w:ascii="Arial" w:cs="Arial" w:eastAsia="Arial" w:hAnsi="Arial"/>
            <w:sz w:val="16"/>
            <w:szCs w:val="16"/>
            <w:u w:val="single" w:color="auto"/>
            <w:color w:val="0000FF"/>
          </w:rPr>
          <w:t>Thirtieth Supplemental Indenture (4.50% Senior Notes due 2026) dated November 22, 2016, by and among Plains All American</w:t>
        </w:r>
      </w:hyperlink>
      <w:r>
        <w:rPr>
          <w:rFonts w:ascii="Arial" w:cs="Arial" w:eastAsia="Arial" w:hAnsi="Arial"/>
          <w:sz w:val="16"/>
          <w:szCs w:val="16"/>
          <w:color w:val="auto"/>
        </w:rPr>
        <w:t xml:space="preserve"> </w:t>
      </w:r>
      <w:hyperlink r:id="rId101">
        <w:r>
          <w:rPr>
            <w:rFonts w:ascii="Arial" w:cs="Arial" w:eastAsia="Arial" w:hAnsi="Arial"/>
            <w:sz w:val="16"/>
            <w:szCs w:val="16"/>
            <w:u w:val="single" w:color="auto"/>
            <w:color w:val="0000FF"/>
          </w:rPr>
          <w:t>Pipeline, L.P., PAA Finance Corp., and U.S. Bank National Association, as trustee (incorporated by reference to Exhibit 4.1 to</w:t>
        </w:r>
      </w:hyperlink>
    </w:p>
    <w:p>
      <w:pPr>
        <w:ind w:left="186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PAA’s Current Report on Form 8-K filed November 29, 2016).</w:t>
        </w:r>
      </w:hyperlink>
    </w:p>
    <w:p>
      <w:pPr>
        <w:spacing w:after="0" w:line="115" w:lineRule="exact"/>
        <w:rPr>
          <w:sz w:val="20"/>
          <w:szCs w:val="20"/>
          <w:color w:val="auto"/>
        </w:rPr>
      </w:pPr>
    </w:p>
    <w:p>
      <w:pPr>
        <w:jc w:val="right"/>
        <w:ind w:left="500" w:right="56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4.12        —  </w:t>
      </w:r>
      <w:hyperlink r:id="rId102">
        <w:r>
          <w:rPr>
            <w:rFonts w:ascii="Arial" w:cs="Arial" w:eastAsia="Arial" w:hAnsi="Arial"/>
            <w:sz w:val="17"/>
            <w:szCs w:val="17"/>
            <w:u w:val="single" w:color="auto"/>
            <w:color w:val="0000FF"/>
          </w:rPr>
          <w:t>Thirty-First Supplemental Indenture (3.55% Senior Notes due 2029) dated September 16, 2019, by and among Plains All</w:t>
        </w:r>
      </w:hyperlink>
      <w:r>
        <w:rPr>
          <w:rFonts w:ascii="Arial" w:cs="Arial" w:eastAsia="Arial" w:hAnsi="Arial"/>
          <w:sz w:val="17"/>
          <w:szCs w:val="17"/>
          <w:color w:val="auto"/>
        </w:rPr>
        <w:t xml:space="preserve"> </w:t>
      </w:r>
      <w:hyperlink r:id="rId102">
        <w:r>
          <w:rPr>
            <w:rFonts w:ascii="Arial" w:cs="Arial" w:eastAsia="Arial" w:hAnsi="Arial"/>
            <w:sz w:val="17"/>
            <w:szCs w:val="17"/>
            <w:u w:val="single" w:color="auto"/>
            <w:color w:val="0000FF"/>
          </w:rPr>
          <w:t>American Pipeline, L.P., PAA Finance Corp. and U.S. Bank National Association, as trustee (incorporated by reference to</w:t>
        </w:r>
      </w:hyperlink>
    </w:p>
    <w:p>
      <w:pPr>
        <w:spacing w:after="0" w:line="1" w:lineRule="exact"/>
        <w:rPr>
          <w:sz w:val="20"/>
          <w:szCs w:val="20"/>
          <w:color w:val="auto"/>
        </w:rPr>
      </w:pPr>
    </w:p>
    <w:p>
      <w:pPr>
        <w:ind w:left="186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Exhibit 4.1 to PAA’s Current Report on Form 8-K filed September 17, 2019).</w:t>
        </w:r>
      </w:hyperlink>
    </w:p>
    <w:p>
      <w:pPr>
        <w:spacing w:after="0" w:line="115" w:lineRule="exact"/>
        <w:rPr>
          <w:sz w:val="20"/>
          <w:szCs w:val="20"/>
          <w:color w:val="auto"/>
        </w:rPr>
      </w:pPr>
    </w:p>
    <w:p>
      <w:pPr>
        <w:ind w:left="1500" w:right="100" w:hanging="1356"/>
        <w:spacing w:after="0" w:line="248" w:lineRule="auto"/>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 xml:space="preserve">— </w:t>
      </w:r>
      <w:hyperlink r:id="rId103">
        <w:r>
          <w:rPr>
            <w:rFonts w:ascii="Arial" w:cs="Arial" w:eastAsia="Arial" w:hAnsi="Arial"/>
            <w:sz w:val="16"/>
            <w:szCs w:val="16"/>
            <w:u w:val="single" w:color="auto"/>
            <w:color w:val="0000FF"/>
          </w:rPr>
          <w:t>Thirty-Second Supplemental Indenture (3.80% Senior Notes due 2030) dated June 11, 2020, by and among Plains All American</w:t>
        </w:r>
      </w:hyperlink>
      <w:r>
        <w:rPr>
          <w:rFonts w:ascii="Arial" w:cs="Arial" w:eastAsia="Arial" w:hAnsi="Arial"/>
          <w:sz w:val="16"/>
          <w:szCs w:val="16"/>
          <w:color w:val="auto"/>
        </w:rPr>
        <w:t xml:space="preserve"> </w:t>
      </w:r>
      <w:hyperlink r:id="rId103">
        <w:r>
          <w:rPr>
            <w:rFonts w:ascii="Arial" w:cs="Arial" w:eastAsia="Arial" w:hAnsi="Arial"/>
            <w:sz w:val="16"/>
            <w:szCs w:val="16"/>
            <w:u w:val="single" w:color="auto"/>
            <w:color w:val="0000FF"/>
          </w:rPr>
          <w:t>Pipeline, L.P., PAA Finance Corp. and U.S. Bank National Association, as trustee (incorporated by reference to Exhibit 4.1 to</w:t>
        </w:r>
      </w:hyperlink>
    </w:p>
    <w:p>
      <w:pPr>
        <w:ind w:left="186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PAA’s Current Report on Form 8-K filed June 11, 2020).</w:t>
        </w:r>
      </w:hyperlink>
    </w:p>
    <w:p>
      <w:pPr>
        <w:spacing w:after="0" w:line="115" w:lineRule="exact"/>
        <w:rPr>
          <w:sz w:val="20"/>
          <w:szCs w:val="20"/>
          <w:color w:val="auto"/>
        </w:rPr>
      </w:pPr>
    </w:p>
    <w:p>
      <w:pPr>
        <w:jc w:val="right"/>
        <w:ind w:left="500" w:right="24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  </w:t>
      </w:r>
      <w:hyperlink r:id="rId104">
        <w:r>
          <w:rPr>
            <w:rFonts w:ascii="Arial" w:cs="Arial" w:eastAsia="Arial" w:hAnsi="Arial"/>
            <w:sz w:val="17"/>
            <w:szCs w:val="17"/>
            <w:u w:val="single" w:color="auto"/>
            <w:color w:val="0000FF"/>
          </w:rPr>
          <w:t>Shareholder and Registration Rights Agreement dated October 21, 2013 by and among Plains GP Holdings, L.P. and the other</w:t>
        </w:r>
      </w:hyperlink>
      <w:r>
        <w:rPr>
          <w:rFonts w:ascii="Arial" w:cs="Arial" w:eastAsia="Arial" w:hAnsi="Arial"/>
          <w:sz w:val="17"/>
          <w:szCs w:val="17"/>
          <w:color w:val="auto"/>
        </w:rPr>
        <w:t xml:space="preserve"> </w:t>
      </w:r>
      <w:hyperlink r:id="rId104">
        <w:r>
          <w:rPr>
            <w:rFonts w:ascii="Arial" w:cs="Arial" w:eastAsia="Arial" w:hAnsi="Arial"/>
            <w:sz w:val="17"/>
            <w:szCs w:val="17"/>
            <w:u w:val="single" w:color="auto"/>
            <w:color w:val="0000FF"/>
          </w:rPr>
          <w:t>parties signatory thereto (incorporated by reference to Exhibit 4.1 to our Current Report on Form 8-K filed October 25, 2013).</w:t>
        </w:r>
      </w:hyperlink>
    </w:p>
    <w:p>
      <w:pPr>
        <w:spacing w:after="0" w:line="106" w:lineRule="exact"/>
        <w:rPr>
          <w:sz w:val="20"/>
          <w:szCs w:val="20"/>
          <w:color w:val="auto"/>
        </w:rPr>
      </w:pPr>
    </w:p>
    <w:p>
      <w:pPr>
        <w:ind w:left="1500" w:right="120" w:hanging="1356"/>
        <w:spacing w:after="0" w:line="23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Description of Our Securities (incorporated by reference to Exhibit 4.16 to our Annual Report on Form 10-K for the year ended</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December 31, 2022).</w:t>
        </w:r>
      </w:hyperlink>
    </w:p>
    <w:p>
      <w:pPr>
        <w:spacing w:after="0" w:line="121" w:lineRule="exact"/>
        <w:rPr>
          <w:sz w:val="20"/>
          <w:szCs w:val="20"/>
          <w:color w:val="auto"/>
        </w:rPr>
      </w:pPr>
    </w:p>
    <w:p>
      <w:pPr>
        <w:ind w:left="400"/>
        <w:spacing w:after="0"/>
        <w:tabs>
          <w:tab w:leader="none" w:pos="1480" w:val="left"/>
          <w:tab w:leader="none" w:pos="18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Form of LTIP Grant Letter dated August 17, 2023 (Named Executive Officers)</w:t>
      </w:r>
    </w:p>
    <w:p>
      <w:pPr>
        <w:spacing w:after="0" w:line="131" w:lineRule="exact"/>
        <w:rPr>
          <w:sz w:val="20"/>
          <w:szCs w:val="20"/>
          <w:color w:val="auto"/>
        </w:rPr>
      </w:pPr>
    </w:p>
    <w:p>
      <w:pPr>
        <w:ind w:left="400"/>
        <w:spacing w:after="0"/>
        <w:tabs>
          <w:tab w:leader="none" w:pos="1480" w:val="left"/>
          <w:tab w:leader="none" w:pos="18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Form of LTIP Grant Letter dated August 17, 2023 (Directors)</w:t>
      </w:r>
    </w:p>
    <w:p>
      <w:pPr>
        <w:spacing w:after="0" w:line="131" w:lineRule="exact"/>
        <w:rPr>
          <w:sz w:val="20"/>
          <w:szCs w:val="20"/>
          <w:color w:val="auto"/>
        </w:rPr>
      </w:pPr>
    </w:p>
    <w:p>
      <w:pPr>
        <w:ind w:left="440"/>
        <w:spacing w:after="0"/>
        <w:tabs>
          <w:tab w:leader="none" w:pos="1480" w:val="left"/>
          <w:tab w:leader="none" w:pos="184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Certification of Principal Executive Officer pursuant to Exchange Act Rules 13a-14(a) and 15d-14(a).</w:t>
      </w:r>
    </w:p>
    <w:p>
      <w:pPr>
        <w:spacing w:after="0" w:line="131" w:lineRule="exact"/>
        <w:rPr>
          <w:sz w:val="20"/>
          <w:szCs w:val="20"/>
          <w:color w:val="auto"/>
        </w:rPr>
      </w:pPr>
    </w:p>
    <w:p>
      <w:pPr>
        <w:ind w:left="440"/>
        <w:spacing w:after="0"/>
        <w:tabs>
          <w:tab w:leader="none" w:pos="1480" w:val="left"/>
          <w:tab w:leader="none" w:pos="184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Certification of Principal Financial Officer pursuant to Exchange Act Rules 13a-14(a) and 15d-14(a).</w:t>
      </w:r>
    </w:p>
    <w:p>
      <w:pPr>
        <w:spacing w:after="0" w:line="131" w:lineRule="exact"/>
        <w:rPr>
          <w:sz w:val="20"/>
          <w:szCs w:val="20"/>
          <w:color w:val="auto"/>
        </w:rPr>
      </w:pPr>
    </w:p>
    <w:p>
      <w:pPr>
        <w:ind w:left="400"/>
        <w:spacing w:after="0"/>
        <w:tabs>
          <w:tab w:leader="none" w:pos="1480" w:val="left"/>
          <w:tab w:leader="none" w:pos="184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Certification of Principal Executive Officer pursuant to 18 U.S.C.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80" w:type="dxa"/>
            <w:vAlign w:val="bottom"/>
          </w:tcPr>
          <w:p>
            <w:pPr>
              <w:jc w:val="center"/>
              <w:ind w:right="230"/>
              <w:spacing w:after="0"/>
              <w:rPr>
                <w:sz w:val="20"/>
                <w:szCs w:val="20"/>
                <w:color w:val="auto"/>
              </w:rPr>
            </w:pPr>
            <w:r>
              <w:rPr>
                <w:rFonts w:ascii="Arial" w:cs="Arial" w:eastAsia="Arial" w:hAnsi="Arial"/>
                <w:sz w:val="18"/>
                <w:szCs w:val="18"/>
                <w:color w:val="auto"/>
                <w:w w:val="89"/>
              </w:rPr>
              <w:t>32.2 ††</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18 U.S.C. 1350.</w:t>
            </w:r>
          </w:p>
        </w:tc>
      </w:tr>
      <w:tr>
        <w:trPr>
          <w:trHeight w:val="20"/>
        </w:trPr>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04"/>
        </w:trPr>
        <w:tc>
          <w:tcPr>
            <w:tcW w:w="24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101.INS†</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w w:val="91"/>
              </w:rPr>
              <w:t>—  XBRL Instance Document - the instance document does not appear in the Interactive Data File because its XBRL tags are</w:t>
            </w:r>
          </w:p>
        </w:tc>
      </w:tr>
      <w:tr>
        <w:trPr>
          <w:trHeight w:val="230"/>
        </w:trPr>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0"/>
        </w:trPr>
        <w:tc>
          <w:tcPr>
            <w:tcW w:w="2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101.SCH†</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2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101.CAL†</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101.DEF†</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101.LAB†</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101.PRE†</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240" w:type="dxa"/>
            <w:vAlign w:val="bottom"/>
          </w:tcPr>
          <w:p>
            <w:pPr>
              <w:spacing w:after="0"/>
              <w:rPr>
                <w:sz w:val="24"/>
                <w:szCs w:val="24"/>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104†</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r>
        <w:trPr>
          <w:trHeight w:val="175"/>
        </w:trPr>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40"/>
              <w:spacing w:after="0"/>
              <w:rPr>
                <w:sz w:val="20"/>
                <w:szCs w:val="20"/>
                <w:color w:val="auto"/>
              </w:rPr>
            </w:pPr>
            <w:r>
              <w:rPr>
                <w:rFonts w:ascii="Arial" w:cs="Arial" w:eastAsia="Arial" w:hAnsi="Arial"/>
                <w:sz w:val="18"/>
                <w:szCs w:val="18"/>
                <w:color w:val="auto"/>
                <w:w w:val="95"/>
              </w:rPr>
              <w:t>Filed herewith.</w:t>
            </w: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Furnished herewith.</w:t>
            </w:r>
          </w:p>
        </w:tc>
      </w:tr>
    </w:tbl>
    <w:p>
      <w:pPr>
        <w:spacing w:after="0" w:line="9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4"/>
              </w:rPr>
              <w:t>Chairman of the Board and Chief Executive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November 7, 2023</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7, 2023</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7, 2023</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3175</wp:posOffset>
            </wp:positionV>
            <wp:extent cx="2768600" cy="796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27686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2023 Regular Annual LTIP Grant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Section 16 Officers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17,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1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«Amount»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86" w:lineRule="exact"/>
        <w:rPr>
          <w:sz w:val="20"/>
          <w:szCs w:val="20"/>
          <w:color w:val="auto"/>
        </w:rPr>
      </w:pPr>
    </w:p>
    <w:p>
      <w:pPr>
        <w:jc w:val="both"/>
        <w:ind w:left="1060" w:hanging="404"/>
        <w:spacing w:after="0" w:line="250" w:lineRule="auto"/>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2026 Distribution Date.</w:t>
      </w:r>
    </w:p>
    <w:p>
      <w:pPr>
        <w:spacing w:after="0" w:line="3" w:lineRule="exact"/>
        <w:rPr>
          <w:rFonts w:ascii="Arial" w:cs="Arial" w:eastAsia="Arial" w:hAnsi="Arial"/>
          <w:sz w:val="22"/>
          <w:szCs w:val="22"/>
          <w:color w:val="auto"/>
        </w:rPr>
      </w:pPr>
    </w:p>
    <w:p>
      <w:pPr>
        <w:ind w:left="1620" w:right="20" w:hanging="316"/>
        <w:spacing w:after="0" w:line="249" w:lineRule="auto"/>
        <w:tabs>
          <w:tab w:leader="none" w:pos="16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spacing w:after="0" w:line="1" w:lineRule="exact"/>
        <w:rPr>
          <w:rFonts w:ascii="Arial" w:cs="Arial" w:eastAsia="Arial" w:hAnsi="Arial"/>
          <w:sz w:val="22"/>
          <w:szCs w:val="22"/>
          <w:color w:val="auto"/>
        </w:rPr>
      </w:pPr>
    </w:p>
    <w:p>
      <w:pPr>
        <w:ind w:left="1620" w:hanging="316"/>
        <w:spacing w:after="0" w:line="243" w:lineRule="auto"/>
        <w:tabs>
          <w:tab w:leader="none" w:pos="1608" w:val="left"/>
        </w:tabs>
        <w:numPr>
          <w:ilvl w:val="1"/>
          <w:numId w:val="40"/>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ind w:left="1620" w:right="20" w:hanging="316"/>
        <w:spacing w:after="0" w:line="246" w:lineRule="auto"/>
        <w:tabs>
          <w:tab w:leader="none" w:pos="16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2026 Distribution Date shall expire effective as of such date.</w:t>
      </w:r>
    </w:p>
    <w:p>
      <w:pPr>
        <w:spacing w:after="0" w:line="97"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21" w:lineRule="exact"/>
        <w:rPr>
          <w:rFonts w:ascii="Arial" w:cs="Arial" w:eastAsia="Arial" w:hAnsi="Arial"/>
          <w:sz w:val="22"/>
          <w:szCs w:val="22"/>
          <w:color w:val="auto"/>
        </w:rPr>
      </w:pPr>
    </w:p>
    <w:p>
      <w:pPr>
        <w:jc w:val="both"/>
        <w:ind w:left="1620" w:hanging="316"/>
        <w:spacing w:after="0" w:line="295" w:lineRule="auto"/>
        <w:tabs>
          <w:tab w:leader="none" w:pos="1608"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2023 Distribution Date and will continue to accrue until the August 2024 Distribution Date, on which date such accrued but unpaid DERs will vest and be paid in a lump sum. Beginning on the November 2024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98"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August 17,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620" w:hanging="316"/>
        <w:spacing w:after="0" w:line="290" w:lineRule="auto"/>
        <w:tabs>
          <w:tab w:leader="none" w:pos="162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2023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2023 Distribution Date. All accrued and unpaid DERs associated with Tranche 2 and Tranche 3 shall be paid on the August 2026 Distribution Date or as soon thereafter as is administratively practicable.</w:t>
      </w:r>
    </w:p>
    <w:p>
      <w:pPr>
        <w:spacing w:after="0" w:line="52" w:lineRule="exact"/>
        <w:rPr>
          <w:rFonts w:ascii="Arial" w:cs="Arial" w:eastAsia="Arial" w:hAnsi="Arial"/>
          <w:sz w:val="19"/>
          <w:szCs w:val="19"/>
          <w:color w:val="auto"/>
        </w:rPr>
      </w:pPr>
    </w:p>
    <w:p>
      <w:pPr>
        <w:jc w:val="both"/>
        <w:ind w:left="980" w:hanging="324"/>
        <w:spacing w:after="0" w:line="254" w:lineRule="auto"/>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76"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90" w:lineRule="exact"/>
        <w:rPr>
          <w:rFonts w:ascii="Arial" w:cs="Arial" w:eastAsia="Arial" w:hAnsi="Arial"/>
          <w:sz w:val="22"/>
          <w:szCs w:val="22"/>
          <w:color w:val="auto"/>
        </w:rPr>
      </w:pPr>
    </w:p>
    <w:p>
      <w:pPr>
        <w:jc w:val="both"/>
        <w:ind w:left="980" w:hanging="324"/>
        <w:spacing w:after="0" w:line="259" w:lineRule="auto"/>
        <w:tabs>
          <w:tab w:leader="none" w:pos="9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2026 Distribution Date (1,093). If the resulting amount includes a fraction, it will be rounded down to the nearest whole number.</w:t>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August 17,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980" w:hanging="324"/>
        <w:spacing w:after="0" w:line="286" w:lineRule="auto"/>
        <w:tabs>
          <w:tab w:leader="none" w:pos="9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jc w:val="both"/>
        <w:ind w:left="980"/>
        <w:spacing w:after="0" w:line="264" w:lineRule="auto"/>
        <w:tabs>
          <w:tab w:leader="none" w:pos="1325"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2" w:lineRule="exact"/>
        <w:rPr>
          <w:rFonts w:ascii="Arial" w:cs="Arial" w:eastAsia="Arial" w:hAnsi="Arial"/>
          <w:sz w:val="21"/>
          <w:szCs w:val="21"/>
          <w:color w:val="auto"/>
        </w:rPr>
      </w:pPr>
    </w:p>
    <w:p>
      <w:pPr>
        <w:jc w:val="both"/>
        <w:ind w:left="980" w:hanging="324"/>
        <w:spacing w:after="0" w:line="294" w:lineRule="auto"/>
        <w:tabs>
          <w:tab w:leader="none" w:pos="9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of a Change in Status, (i) all of your then outstanding Phantom Units (which shall be equal to the target number of Phantom Units specified in the first paragraph hereof, except that in connection with a Change in Status that involves a Change of Control,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180"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August 17,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34" w:lineRule="auto"/>
        <w:tabs>
          <w:tab w:leader="none" w:pos="157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580" w:hanging="924"/>
        <w:spacing w:after="0" w:line="243" w:lineRule="auto"/>
        <w:tabs>
          <w:tab w:leader="none" w:pos="1577"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9" w:lineRule="auto"/>
        <w:tabs>
          <w:tab w:leader="none" w:pos="15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44" w:lineRule="auto"/>
        <w:tabs>
          <w:tab w:leader="none" w:pos="157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firstLine="8"/>
        <w:spacing w:after="0" w:line="204" w:lineRule="auto"/>
        <w:tabs>
          <w:tab w:leader="none" w:pos="157" w:val="left"/>
        </w:tabs>
        <w:numPr>
          <w:ilvl w:val="0"/>
          <w:numId w:val="45"/>
        </w:numPr>
        <w:rPr>
          <w:rFonts w:ascii="Arial" w:cs="Arial" w:eastAsia="Arial" w:hAnsi="Arial"/>
          <w:sz w:val="28"/>
          <w:szCs w:val="28"/>
          <w:color w:val="auto"/>
          <w:vertAlign w:val="superscript"/>
        </w:rPr>
      </w:pPr>
      <w:r>
        <w:rPr>
          <w:rFonts w:ascii="Arial" w:cs="Arial" w:eastAsia="Arial" w:hAnsi="Arial"/>
          <w:sz w:val="22"/>
          <w:szCs w:val="22"/>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w:t>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August 17,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567"/>
        <w:spacing w:after="0" w:line="251"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as it may be amended from time to time,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August 17,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85"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Jim Tillis</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3651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Target Number of Phantom Units: </w:t>
      </w:r>
      <w:r>
        <w:rPr>
          <w:rFonts w:ascii="Arial" w:cs="Arial" w:eastAsia="Arial" w:hAnsi="Arial"/>
          <w:sz w:val="22"/>
          <w:szCs w:val="22"/>
          <w:u w:val="single" w:color="auto"/>
          <w:color w:val="auto"/>
        </w:rPr>
        <w:t>«Amount»</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4114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Beneficiary Designation</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5360" w:type="dxa"/>
            <w:vAlign w:val="bottom"/>
            <w:tcBorders>
              <w:top w:val="single" w:sz="8" w:color="auto"/>
              <w:left w:val="single" w:sz="8" w:color="auto"/>
              <w:bottom w:val="single" w:sz="8" w:color="C0C0C0"/>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50"/>
        </w:trPr>
        <w:tc>
          <w:tcPr>
            <w:tcW w:w="5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336"/>
        </w:trPr>
        <w:tc>
          <w:tcPr>
            <w:tcW w:w="5360" w:type="dxa"/>
            <w:vAlign w:val="bottom"/>
            <w:tcBorders>
              <w:left w:val="single" w:sz="8" w:color="auto"/>
              <w:bottom w:val="single" w:sz="8" w:color="C0C0C0"/>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10"/>
        </w:trPr>
        <w:tc>
          <w:tcPr>
            <w:tcW w:w="53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362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6"/>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73" w:lineRule="exact"/>
        <w:rPr>
          <w:sz w:val="20"/>
          <w:szCs w:val="20"/>
          <w:color w:val="auto"/>
        </w:rPr>
      </w:pPr>
    </w:p>
    <w:p>
      <w:pPr>
        <w:ind w:left="2240" w:hanging="241"/>
        <w:spacing w:after="0"/>
        <w:tabs>
          <w:tab w:leader="none" w:pos="2240" w:val="left"/>
        </w:tabs>
        <w:numPr>
          <w:ilvl w:val="0"/>
          <w:numId w:val="46"/>
        </w:numPr>
        <w:rPr>
          <w:rFonts w:ascii="MS PGothic" w:cs="MS PGothic" w:eastAsia="MS PGothic" w:hAnsi="MS PGothic"/>
          <w:sz w:val="22"/>
          <w:szCs w:val="22"/>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60"/>
          </w:cols>
          <w:pgMar w:left="320" w:top="118" w:right="319" w:bottom="1440" w:gutter="0" w:footer="0" w:header="0"/>
        </w:sectPr>
      </w:pPr>
    </w:p>
    <w:bookmarkStart w:id="67" w:name="page68"/>
    <w:bookmarkEnd w:id="67"/>
    <w:p>
      <w:pPr>
        <w:ind w:left="518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Tranche 2 Vesting Terms</w:t>
      </w:r>
    </w:p>
    <w:p>
      <w:pPr>
        <w:jc w:val="center"/>
        <w:ind w:right="20"/>
        <w:spacing w:after="0"/>
        <w:rPr>
          <w:sz w:val="20"/>
          <w:szCs w:val="20"/>
          <w:color w:val="auto"/>
        </w:rPr>
      </w:pPr>
      <w:r>
        <w:rPr>
          <w:rFonts w:ascii="Arial" w:cs="Arial" w:eastAsia="Arial" w:hAnsi="Arial"/>
          <w:sz w:val="22"/>
          <w:szCs w:val="22"/>
          <w:b w:val="1"/>
          <w:bCs w:val="1"/>
          <w:color w:val="auto"/>
        </w:rPr>
        <w:t>(Total Shareholder Return)</w:t>
      </w:r>
    </w:p>
    <w:p>
      <w:pPr>
        <w:spacing w:after="0" w:line="195" w:lineRule="exact"/>
        <w:rPr>
          <w:sz w:val="20"/>
          <w:szCs w:val="20"/>
          <w:color w:val="auto"/>
        </w:rPr>
      </w:pPr>
    </w:p>
    <w:p>
      <w:pPr>
        <w:jc w:val="both"/>
        <w:ind w:left="660" w:right="20" w:hanging="328"/>
        <w:spacing w:after="0" w:line="26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3" w:lineRule="exact"/>
        <w:rPr>
          <w:rFonts w:ascii="Arial" w:cs="Arial" w:eastAsia="Arial" w:hAnsi="Arial"/>
          <w:sz w:val="16"/>
          <w:szCs w:val="16"/>
          <w:color w:val="auto"/>
        </w:rPr>
      </w:pPr>
    </w:p>
    <w:p>
      <w:pPr>
        <w:jc w:val="both"/>
        <w:ind w:left="660" w:right="2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2026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38"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39"/>
        </w:trPr>
        <w:tc>
          <w:tcPr>
            <w:tcW w:w="3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4"/>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171%</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129%</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20" w:type="dxa"/>
            <w:vAlign w:val="bottom"/>
            <w:tcBorders>
              <w:top w:val="single" w:sz="8" w:color="auto"/>
              <w:left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PAA TSR Ranking vs. PAA Peer Group</w:t>
            </w:r>
          </w:p>
        </w:tc>
        <w:tc>
          <w:tcPr>
            <w:tcW w:w="6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16"/>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50"/>
        </w:trPr>
        <w:tc>
          <w:tcPr>
            <w:tcW w:w="5120" w:type="dxa"/>
            <w:vAlign w:val="bottom"/>
            <w:tcBorders>
              <w:left w:val="single" w:sz="8" w:color="auto"/>
              <w:right w:val="single" w:sz="8" w:color="auto"/>
            </w:tcBorders>
          </w:tcPr>
          <w:p>
            <w:pPr>
              <w:jc w:val="right"/>
              <w:ind w:right="4770"/>
              <w:spacing w:after="0"/>
              <w:rPr>
                <w:sz w:val="20"/>
                <w:szCs w:val="20"/>
                <w:color w:val="auto"/>
              </w:rPr>
            </w:pPr>
            <w:r>
              <w:rPr>
                <w:rFonts w:ascii="Arial" w:cs="Arial" w:eastAsia="Arial" w:hAnsi="Arial"/>
                <w:sz w:val="18"/>
                <w:szCs w:val="18"/>
                <w:color w:val="auto"/>
              </w:rPr>
              <w:t>#1</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200% / 2,000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jc w:val="right"/>
              <w:ind w:right="4770"/>
              <w:spacing w:after="0"/>
              <w:rPr>
                <w:sz w:val="20"/>
                <w:szCs w:val="20"/>
                <w:color w:val="auto"/>
              </w:rPr>
            </w:pPr>
            <w:r>
              <w:rPr>
                <w:rFonts w:ascii="Arial" w:cs="Arial" w:eastAsia="Arial" w:hAnsi="Arial"/>
                <w:sz w:val="18"/>
                <w:szCs w:val="18"/>
                <w:color w:val="auto"/>
              </w:rPr>
              <w:t>#4</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157% / 1,570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20" w:top="139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60"/>
          </w:cols>
          <w:pgMar w:left="320" w:top="1395" w:right="319" w:bottom="1440" w:gutter="0" w:footer="0" w:header="0"/>
          <w:type w:val="continuous"/>
        </w:sectPr>
      </w:pPr>
    </w:p>
    <w:bookmarkStart w:id="68" w:name="page69"/>
    <w:bookmarkEnd w:id="6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 but PAA’s absolute TSR is less than 0%</w:t>
            </w:r>
          </w:p>
        </w:tc>
        <w:tc>
          <w:tcPr>
            <w:tcW w:w="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1"/>
              </w:rPr>
              <w:t>132%</w:t>
            </w:r>
          </w:p>
        </w:tc>
        <w:tc>
          <w:tcPr>
            <w:tcW w:w="5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89"/>
              </w:rPr>
              <w:t>/ 1,320 units (TSR Payout Percentage reduced by 25 gross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114% / 1,140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 but PAA’s absolute TSR is less than 0%</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(TSR Payout Percentage reduced from 114% to 100%)</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43% / 430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(2023-2026 Performance Period)</w:t>
      </w:r>
      <w:r>
        <w:rPr>
          <w:rFonts w:ascii="Arial" w:cs="Arial" w:eastAsia="Arial" w:hAnsi="Arial"/>
          <w:sz w:val="18"/>
          <w:szCs w:val="18"/>
          <w:color w:val="auto"/>
        </w:rPr>
        <w:t>:</w:t>
      </w:r>
    </w:p>
    <w:p>
      <w:pPr>
        <w:spacing w:after="0" w:line="354"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Genesis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GEL</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Crestwood Equity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CEQP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w:t>
      </w:r>
    </w:p>
    <w:p>
      <w:pPr>
        <w:spacing w:after="0" w:line="2"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60"/>
          </w:cols>
          <w:pgMar w:left="320" w:top="1440" w:right="319" w:bottom="1440" w:gutter="0" w:footer="0" w:header="0"/>
        </w:sectPr>
      </w:pPr>
    </w:p>
    <w:bookmarkStart w:id="69" w:name="page70"/>
    <w:bookmarkEnd w:id="69"/>
    <w:p>
      <w:pPr>
        <w:ind w:left="4848"/>
        <w:spacing w:after="0"/>
        <w:rPr>
          <w:sz w:val="20"/>
          <w:szCs w:val="20"/>
          <w:color w:val="auto"/>
        </w:rPr>
      </w:pPr>
      <w:r>
        <w:rPr>
          <w:rFonts w:ascii="Arial" w:cs="Arial" w:eastAsia="Arial" w:hAnsi="Arial"/>
          <w:sz w:val="22"/>
          <w:szCs w:val="22"/>
          <w:b w:val="1"/>
          <w:bCs w:val="1"/>
          <w:color w:val="auto"/>
        </w:rPr>
        <w:t>Exhibit B</w:t>
      </w:r>
    </w:p>
    <w:p>
      <w:pPr>
        <w:spacing w:after="0" w:line="193" w:lineRule="exact"/>
        <w:rPr>
          <w:sz w:val="20"/>
          <w:szCs w:val="20"/>
          <w:color w:val="auto"/>
        </w:rPr>
      </w:pPr>
    </w:p>
    <w:p>
      <w:pPr>
        <w:ind w:left="4148"/>
        <w:spacing w:after="0"/>
        <w:rPr>
          <w:sz w:val="20"/>
          <w:szCs w:val="20"/>
          <w:color w:val="auto"/>
        </w:rPr>
      </w:pPr>
      <w:r>
        <w:rPr>
          <w:rFonts w:ascii="Arial" w:cs="Arial" w:eastAsia="Arial" w:hAnsi="Arial"/>
          <w:sz w:val="22"/>
          <w:szCs w:val="22"/>
          <w:b w:val="1"/>
          <w:bCs w:val="1"/>
          <w:color w:val="auto"/>
        </w:rPr>
        <w:t>Tranche 3 Vesting Terms</w:t>
      </w: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195" w:lineRule="exact"/>
        <w:rPr>
          <w:sz w:val="20"/>
          <w:szCs w:val="20"/>
          <w:color w:val="auto"/>
        </w:rPr>
      </w:pPr>
    </w:p>
    <w:p>
      <w:pPr>
        <w:jc w:val="both"/>
        <w:ind w:left="328" w:hanging="328"/>
        <w:spacing w:after="0" w:line="232" w:lineRule="auto"/>
        <w:tabs>
          <w:tab w:leader="none" w:pos="328" w:val="left"/>
        </w:tabs>
        <w:numPr>
          <w:ilvl w:val="0"/>
          <w:numId w:val="49"/>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54" w:lineRule="exact"/>
        <w:rPr>
          <w:rFonts w:ascii="Arial" w:cs="Arial" w:eastAsia="Arial" w:hAnsi="Arial"/>
          <w:sz w:val="17"/>
          <w:szCs w:val="17"/>
          <w:color w:val="auto"/>
        </w:rPr>
      </w:pPr>
    </w:p>
    <w:p>
      <w:pPr>
        <w:jc w:val="both"/>
        <w:ind w:left="328" w:hanging="328"/>
        <w:spacing w:after="0" w:line="244" w:lineRule="auto"/>
        <w:tabs>
          <w:tab w:leader="none" w:pos="328" w:val="left"/>
        </w:tabs>
        <w:numPr>
          <w:ilvl w:val="0"/>
          <w:numId w:val="49"/>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2026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 “Leverage Modifier”) if PAA’s leverage ratio (long-term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2026 is higher than the leverage ratio that equals the upper end of PAA’s then applicable guidance range (such guidance range is 3.0x to 3.5x as of the date hereof); if PAA’s leverage ratio as of June 30, 2026 is equal to or lower than the leverage ratio that equals the upper end of PAA’s then applicable guidance range, there will be no adjustment to the DCF Payout Percentage.</w:t>
      </w:r>
    </w:p>
    <w:p>
      <w:pPr>
        <w:spacing w:after="0" w:line="342" w:lineRule="exact"/>
        <w:rPr>
          <w:sz w:val="20"/>
          <w:szCs w:val="20"/>
          <w:color w:val="auto"/>
        </w:rPr>
      </w:pPr>
    </w:p>
    <w:tbl>
      <w:tblPr>
        <w:tblLayout w:type="fixed"/>
        <w:tblInd w:w="898" w:type="dxa"/>
        <w:tblCellMar>
          <w:top w:w="0" w:type="dxa"/>
          <w:left w:w="0" w:type="dxa"/>
          <w:bottom w:w="0" w:type="dxa"/>
          <w:right w:w="0" w:type="dxa"/>
        </w:tblCellMar>
      </w:tblPr>
      <w:tr>
        <w:trPr>
          <w:trHeight w:val="265"/>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DCF Payout Percentage</w:t>
            </w:r>
          </w:p>
        </w:tc>
      </w:tr>
      <w:tr>
        <w:trPr>
          <w:trHeight w:val="23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c>
          <w:tcPr>
            <w:tcW w:w="3560" w:type="dxa"/>
            <w:vAlign w:val="bottom"/>
            <w:tcBorders>
              <w:right w:val="single" w:sz="8" w:color="auto"/>
            </w:tcBorders>
          </w:tcPr>
          <w:p>
            <w:pPr>
              <w:spacing w:after="0"/>
              <w:rPr>
                <w:sz w:val="20"/>
                <w:szCs w:val="20"/>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$8.38125 (112.5%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$8.1484375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$7.915625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$7.6828125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$7.45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$7.26375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$7.0775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$6.89125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$6.705 (90%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296" w:lineRule="exact"/>
        <w:rPr>
          <w:sz w:val="20"/>
          <w:szCs w:val="20"/>
          <w:color w:val="auto"/>
        </w:rPr>
      </w:pPr>
    </w:p>
    <w:p>
      <w:pPr>
        <w:ind w:left="328"/>
        <w:spacing w:after="0"/>
        <w:rPr>
          <w:sz w:val="20"/>
          <w:szCs w:val="20"/>
          <w:color w:val="auto"/>
        </w:rPr>
      </w:pPr>
      <w:r>
        <w:rPr>
          <w:rFonts w:ascii="Arial" w:cs="Arial" w:eastAsia="Arial" w:hAnsi="Arial"/>
          <w:sz w:val="16"/>
          <w:szCs w:val="16"/>
          <w:color w:val="auto"/>
        </w:rPr>
        <w:t>Note: Both the cumulative DCF per CUE targets set forth in the table above and the leverage ratio referenced above are based on the Grant Date</w:t>
      </w:r>
    </w:p>
    <w:p>
      <w:pPr>
        <w:spacing w:after="0" w:line="21" w:lineRule="exact"/>
        <w:rPr>
          <w:sz w:val="20"/>
          <w:szCs w:val="20"/>
          <w:color w:val="auto"/>
        </w:rPr>
      </w:pPr>
    </w:p>
    <w:p>
      <w:pPr>
        <w:ind w:left="328"/>
        <w:spacing w:after="0" w:line="226" w:lineRule="auto"/>
        <w:rPr>
          <w:sz w:val="20"/>
          <w:szCs w:val="20"/>
          <w:color w:val="auto"/>
        </w:rPr>
      </w:pPr>
      <w:r>
        <w:rPr>
          <w:rFonts w:ascii="Arial" w:cs="Arial" w:eastAsia="Arial" w:hAnsi="Arial"/>
          <w:sz w:val="18"/>
          <w:szCs w:val="18"/>
          <w:color w:val="auto"/>
        </w:rPr>
        <w:t>Plan, excluding the earnings and leverage impacts of potential asset sales (other than asset sales under contract as of the grant date). Accordingly, when calculating the DCF Payout Percentage, the following adjustments will be made:</w:t>
      </w:r>
    </w:p>
    <w:p>
      <w:pPr>
        <w:spacing w:after="0" w:line="53" w:lineRule="exact"/>
        <w:rPr>
          <w:sz w:val="20"/>
          <w:szCs w:val="20"/>
          <w:color w:val="auto"/>
        </w:rPr>
      </w:pPr>
    </w:p>
    <w:p>
      <w:pPr>
        <w:jc w:val="both"/>
        <w:ind w:left="648" w:hanging="324"/>
        <w:spacing w:after="0" w:line="245" w:lineRule="auto"/>
        <w:tabs>
          <w:tab w:leader="none" w:pos="6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08"/>
          </w:cols>
          <w:pgMar w:left="652" w:top="1395" w:right="339" w:bottom="1440" w:gutter="0" w:footer="0" w:header="0"/>
        </w:sectPr>
      </w:pPr>
    </w:p>
    <w:bookmarkStart w:id="70" w:name="page71"/>
    <w:bookmarkEnd w:id="70"/>
    <w:p>
      <w:pPr>
        <w:ind w:left="980" w:right="20" w:hanging="324"/>
        <w:spacing w:after="0" w:line="258" w:lineRule="auto"/>
        <w:tabs>
          <w:tab w:leader="none" w:pos="9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52" w:lineRule="exact"/>
        <w:rPr>
          <w:sz w:val="20"/>
          <w:szCs w:val="20"/>
          <w:color w:val="auto"/>
        </w:rPr>
      </w:pPr>
    </w:p>
    <w:p>
      <w:pPr>
        <w:jc w:val="both"/>
        <w:ind w:left="660" w:right="20"/>
        <w:spacing w:after="0" w:line="241" w:lineRule="auto"/>
        <w:rPr>
          <w:sz w:val="20"/>
          <w:szCs w:val="20"/>
          <w:color w:val="auto"/>
        </w:rPr>
      </w:pPr>
      <w:r>
        <w:rPr>
          <w:rFonts w:ascii="Arial" w:cs="Arial" w:eastAsia="Arial" w:hAnsi="Arial"/>
          <w:sz w:val="16"/>
          <w:szCs w:val="16"/>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w:t>
      </w:r>
    </w:p>
    <w:p>
      <w:pPr>
        <w:spacing w:after="0" w:line="2" w:lineRule="exact"/>
        <w:rPr>
          <w:sz w:val="20"/>
          <w:szCs w:val="20"/>
          <w:color w:val="auto"/>
        </w:rPr>
      </w:pPr>
    </w:p>
    <w:p>
      <w:pPr>
        <w:jc w:val="both"/>
        <w:ind w:left="660" w:right="20"/>
        <w:spacing w:after="0" w:line="234" w:lineRule="auto"/>
        <w:rPr>
          <w:sz w:val="20"/>
          <w:szCs w:val="20"/>
          <w:color w:val="auto"/>
        </w:rPr>
      </w:pPr>
      <w:r>
        <w:rPr>
          <w:rFonts w:ascii="Arial" w:cs="Arial" w:eastAsia="Arial" w:hAnsi="Arial"/>
          <w:sz w:val="16"/>
          <w:szCs w:val="16"/>
          <w:color w:val="auto"/>
        </w:rPr>
        <w:t>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The number of Tranche 3 Phantom Units vesting will be determined by multiplying your target number of Tranche</w:t>
      </w:r>
    </w:p>
    <w:p>
      <w:pPr>
        <w:spacing w:after="0" w:line="2" w:lineRule="exact"/>
        <w:rPr>
          <w:sz w:val="20"/>
          <w:szCs w:val="20"/>
          <w:color w:val="auto"/>
        </w:rPr>
      </w:pPr>
    </w:p>
    <w:p>
      <w:pPr>
        <w:jc w:val="both"/>
        <w:ind w:left="660" w:right="20"/>
        <w:spacing w:after="0" w:line="226" w:lineRule="auto"/>
        <w:rPr>
          <w:sz w:val="20"/>
          <w:szCs w:val="20"/>
          <w:color w:val="auto"/>
        </w:rPr>
      </w:pPr>
      <w:r>
        <w:rPr>
          <w:rFonts w:ascii="Arial" w:cs="Arial" w:eastAsia="Arial" w:hAnsi="Arial"/>
          <w:sz w:val="18"/>
          <w:szCs w:val="18"/>
          <w:color w:val="auto"/>
        </w:rPr>
        <w:t>3 Phantom Units by the DCF Payout Percentage as certified by the Compensation Committee. If the resulting amount includes a fraction, it will be rounded down to the nearest whole number.</w:t>
      </w:r>
    </w:p>
    <w:p>
      <w:pPr>
        <w:spacing w:after="0" w:line="5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Illustrative Examples (based on an assumed target number of Tranche 3 Phantom Units of 1,000 and based on an assumed leverage ratio of 3.5x, which is the leverage ratio that is equal to the upper end of PAA’s current guidance range of 3.0x to 3.5x):</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Leverage Ratio as of June</w:t>
            </w:r>
          </w:p>
        </w:tc>
        <w:tc>
          <w:tcPr>
            <w:tcW w:w="3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960" w:type="dxa"/>
            <w:vAlign w:val="bottom"/>
            <w:tcBorders>
              <w:top w:val="single" w:sz="8" w:color="auto"/>
              <w:right w:val="single" w:sz="8" w:color="auto"/>
            </w:tcBorders>
            <w:vMerge w:val="restart"/>
          </w:tcPr>
          <w:p>
            <w:pPr>
              <w:jc w:val="center"/>
              <w:ind w:right="430"/>
              <w:spacing w:after="0"/>
              <w:rPr>
                <w:sz w:val="20"/>
                <w:szCs w:val="20"/>
                <w:color w:val="auto"/>
              </w:rPr>
            </w:pPr>
            <w:r>
              <w:rPr>
                <w:rFonts w:ascii="Arial" w:cs="Arial" w:eastAsia="Arial" w:hAnsi="Arial"/>
                <w:sz w:val="18"/>
                <w:szCs w:val="18"/>
                <w:b w:val="1"/>
                <w:bCs w:val="1"/>
                <w:color w:val="auto"/>
                <w:w w:val="90"/>
              </w:rPr>
              <w:t>DCF Payout Percentage / Number of Units Vesting</w:t>
            </w:r>
          </w:p>
        </w:tc>
        <w:tc>
          <w:tcPr>
            <w:tcW w:w="0" w:type="dxa"/>
            <w:vAlign w:val="bottom"/>
          </w:tcPr>
          <w:p>
            <w:pPr>
              <w:spacing w:after="0"/>
              <w:rPr>
                <w:sz w:val="1"/>
                <w:szCs w:val="1"/>
                <w:color w:val="auto"/>
              </w:rPr>
            </w:pPr>
          </w:p>
        </w:tc>
      </w:tr>
      <w:tr>
        <w:trPr>
          <w:trHeight w:val="27"/>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30, 2026</w:t>
            </w: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6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3"/>
              </w:rPr>
              <w:t>(Impact of Leverage Modifier)</w:t>
            </w:r>
          </w:p>
        </w:tc>
        <w:tc>
          <w:tcPr>
            <w:tcW w:w="0" w:type="dxa"/>
            <w:vAlign w:val="bottom"/>
          </w:tcPr>
          <w:p>
            <w:pPr>
              <w:spacing w:after="0"/>
              <w:rPr>
                <w:sz w:val="1"/>
                <w:szCs w:val="1"/>
                <w:color w:val="auto"/>
              </w:rPr>
            </w:pPr>
          </w:p>
        </w:tc>
      </w:tr>
      <w:tr>
        <w:trPr>
          <w:trHeight w:val="254"/>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$8.38125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(no adjustment to DCF Payout Percentage)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$8.38125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175%</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 1,750 units (DCF Payout Percentage reduced by 25 gross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100%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(no adjustment to DCF Payout Percentage)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6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75% / 750 units (DCF Payout Percentage reduced by 25 gross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$6.89125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6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25% / 250 units (no adjustment to DCF Payout Percentage)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$6.89125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0 units (DCF Payout Percentage reduced by 25 gross percentage points)</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 0 units (DCF Payout Percentage equal to zero based on DCF performance)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 0 units (DCF Payout Percentage equal to zero based on DCF performance)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60"/>
          </w:cols>
          <w:pgMar w:left="320" w:top="1408"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3175</wp:posOffset>
            </wp:positionV>
            <wp:extent cx="2305685" cy="557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2023 ANNUAL DIRECTOR GRANT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17,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&lt;Name&gt;</w:t>
      </w:r>
    </w:p>
    <w:p>
      <w:pPr>
        <w:spacing w:after="0"/>
        <w:rPr>
          <w:sz w:val="20"/>
          <w:szCs w:val="20"/>
          <w:color w:val="auto"/>
        </w:rPr>
      </w:pPr>
      <w:r>
        <w:rPr>
          <w:rFonts w:ascii="Arial" w:cs="Arial" w:eastAsia="Arial" w:hAnsi="Arial"/>
          <w:sz w:val="22"/>
          <w:szCs w:val="22"/>
          <w:color w:val="auto"/>
        </w:rPr>
        <w:t>&lt;Address&gt;</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&lt;Name&gt;: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I am pleased to inform you that you have been granted 8,050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6" w:lineRule="exact"/>
        <w:rPr>
          <w:sz w:val="20"/>
          <w:szCs w:val="20"/>
          <w:color w:val="auto"/>
        </w:rPr>
      </w:pPr>
    </w:p>
    <w:p>
      <w:pPr>
        <w:ind w:left="660" w:hanging="328"/>
        <w:spacing w:after="0" w:line="298"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2024 Distribution Date.</w:t>
      </w:r>
    </w:p>
    <w:p>
      <w:pPr>
        <w:spacing w:after="0" w:line="132" w:lineRule="exact"/>
        <w:rPr>
          <w:rFonts w:ascii="Arial" w:cs="Arial" w:eastAsia="Arial" w:hAnsi="Arial"/>
          <w:sz w:val="19"/>
          <w:szCs w:val="19"/>
          <w:color w:val="auto"/>
        </w:rPr>
      </w:pPr>
    </w:p>
    <w:p>
      <w:pPr>
        <w:ind w:left="660" w:hanging="328"/>
        <w:spacing w:after="0" w:line="232"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06" w:lineRule="exact"/>
        <w:rPr>
          <w:rFonts w:ascii="Arial" w:cs="Arial" w:eastAsia="Arial" w:hAnsi="Arial"/>
          <w:sz w:val="22"/>
          <w:szCs w:val="22"/>
          <w:color w:val="auto"/>
        </w:rPr>
      </w:pPr>
    </w:p>
    <w:p>
      <w:pPr>
        <w:jc w:val="both"/>
        <w:ind w:left="660" w:hanging="328"/>
        <w:spacing w:after="0" w:line="218"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187" w:lineRule="exact"/>
        <w:rPr>
          <w:rFonts w:ascii="Arial" w:cs="Arial" w:eastAsia="Arial" w:hAnsi="Arial"/>
          <w:sz w:val="22"/>
          <w:szCs w:val="22"/>
          <w:color w:val="auto"/>
        </w:rPr>
      </w:pPr>
    </w:p>
    <w:p>
      <w:pPr>
        <w:jc w:val="both"/>
        <w:ind w:left="660" w:hanging="328"/>
        <w:spacing w:after="0" w:line="216"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7"/>
          <w:szCs w:val="17"/>
          <w:b w:val="1"/>
          <w:bCs w:val="1"/>
          <w:color w:val="000080"/>
        </w:rPr>
        <w:t>■</w:t>
      </w:r>
      <w:r>
        <w:rPr>
          <w:rFonts w:ascii="Arial" w:cs="Arial" w:eastAsia="Arial" w:hAnsi="Arial"/>
          <w:sz w:val="20"/>
          <w:szCs w:val="20"/>
          <w:color w:val="000080"/>
        </w:rPr>
        <w:t xml:space="preserve"> Houston, Texas 77002 </w:t>
      </w:r>
      <w:r>
        <w:rPr>
          <w:rFonts w:ascii="Arial" w:cs="Arial" w:eastAsia="Arial" w:hAnsi="Arial"/>
          <w:sz w:val="17"/>
          <w:szCs w:val="17"/>
          <w:b w:val="1"/>
          <w:bCs w:val="1"/>
          <w:color w:val="000080"/>
        </w:rPr>
        <w:t>■</w:t>
      </w:r>
      <w:r>
        <w:rPr>
          <w:rFonts w:ascii="Arial" w:cs="Arial" w:eastAsia="Arial" w:hAnsi="Arial"/>
          <w:sz w:val="20"/>
          <w:szCs w:val="20"/>
          <w:color w:val="000080"/>
        </w:rPr>
        <w:t xml:space="preserve"> 713/646-4100 or 800-564-3036</w:t>
      </w:r>
    </w:p>
    <w:p>
      <w:pPr>
        <w:sectPr>
          <w:pgSz w:w="11900" w:h="16838" w:orient="portrait"/>
          <w:cols w:equalWidth="0" w:num="1">
            <w:col w:w="11240"/>
          </w:cols>
          <w:pgMar w:left="320" w:top="98" w:right="339" w:bottom="1440" w:gutter="0" w:footer="0" w:header="0"/>
        </w:sectPr>
      </w:pPr>
    </w:p>
    <w:bookmarkStart w:id="72" w:name="page73"/>
    <w:bookmarkEnd w:id="72"/>
    <w:p>
      <w:pPr>
        <w:jc w:val="center"/>
        <w:ind w:right="-19"/>
        <w:spacing w:after="0"/>
        <w:tabs>
          <w:tab w:leader="none" w:pos="180" w:val="left"/>
          <w:tab w:leader="none" w:pos="200" w:val="left"/>
        </w:tabs>
        <w:rPr>
          <w:sz w:val="20"/>
          <w:szCs w:val="20"/>
          <w:color w:val="auto"/>
        </w:rPr>
      </w:pPr>
      <w:r>
        <w:rPr>
          <w:rFonts w:ascii="Arial" w:cs="Arial" w:eastAsia="Arial" w:hAnsi="Arial"/>
          <w:sz w:val="22"/>
          <w:szCs w:val="22"/>
          <w:color w:val="auto"/>
        </w:rPr>
        <w:t>&lt;Name&gt;</w:t>
        <w:tab/>
        <w:t>- 2 -</w:t>
      </w:r>
      <w:r>
        <w:rPr>
          <w:sz w:val="20"/>
          <w:szCs w:val="20"/>
          <w:color w:val="auto"/>
        </w:rPr>
        <w:tab/>
      </w:r>
      <w:r>
        <w:rPr>
          <w:rFonts w:ascii="Arial" w:cs="Arial" w:eastAsia="Arial" w:hAnsi="Arial"/>
          <w:sz w:val="19"/>
          <w:szCs w:val="19"/>
          <w:color w:val="auto"/>
        </w:rPr>
        <w:t>August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line="298"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ind w:firstLine="296"/>
        <w:spacing w:after="0" w:line="212"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1"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04" w:right="339" w:bottom="1440" w:gutter="0" w:footer="0" w:header="0"/>
        </w:sectPr>
      </w:pPr>
    </w:p>
    <w:bookmarkStart w:id="73" w:name="page74"/>
    <w:bookmarkEnd w:id="73"/>
    <w:p>
      <w:pPr>
        <w:jc w:val="center"/>
        <w:spacing w:after="0"/>
        <w:tabs>
          <w:tab w:leader="none" w:pos="180" w:val="left"/>
          <w:tab w:leader="none" w:pos="200" w:val="left"/>
        </w:tabs>
        <w:rPr>
          <w:sz w:val="20"/>
          <w:szCs w:val="20"/>
          <w:color w:val="auto"/>
        </w:rPr>
      </w:pPr>
      <w:r>
        <w:rPr>
          <w:rFonts w:ascii="Arial" w:cs="Arial" w:eastAsia="Arial" w:hAnsi="Arial"/>
          <w:sz w:val="22"/>
          <w:szCs w:val="22"/>
          <w:color w:val="auto"/>
        </w:rPr>
        <w:t>&lt;Name&gt;</w:t>
        <w:tab/>
        <w:t>- 3 -</w:t>
      </w:r>
      <w:r>
        <w:rPr>
          <w:sz w:val="20"/>
          <w:szCs w:val="20"/>
          <w:color w:val="auto"/>
        </w:rPr>
        <w:tab/>
      </w:r>
      <w:r>
        <w:rPr>
          <w:rFonts w:ascii="Arial" w:cs="Arial" w:eastAsia="Arial" w:hAnsi="Arial"/>
          <w:sz w:val="19"/>
          <w:szCs w:val="19"/>
          <w:color w:val="auto"/>
        </w:rPr>
        <w:t>August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0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&lt;Name&gt;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8,050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4457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3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64"/>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09"/>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10"/>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04"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2023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7, 2023</w:t>
      </w:r>
    </w:p>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2023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7,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5"/>
    </w:lvl>
  </w:abstractNum>
  <w:abstractNum w:abstractNumId="21">
    <w:nsid w:val="6A2342EC"/>
    <w:multiLevelType w:val="hybridMultilevel"/>
    <w:lvl w:ilvl="0">
      <w:lvlJc w:val="left"/>
      <w:lvlText w:val="(%1)"/>
      <w:numFmt w:val="decimal"/>
      <w:start w:val="1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3"/>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lowerRoman"/>
      <w:start w:val="5"/>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Roman"/>
      <w:start w:val="2"/>
    </w:lvl>
  </w:abstractNum>
  <w:abstractNum w:abstractNumId="39">
    <w:nsid w:val="79A1DEAA"/>
    <w:multiLevelType w:val="hybridMultilevel"/>
    <w:lvl w:ilvl="0">
      <w:lvlJc w:val="left"/>
      <w:lvlText w:val="%1."/>
      <w:numFmt w:val="decimal"/>
      <w:start w:val="1"/>
    </w:lvl>
    <w:lvl w:ilvl="1">
      <w:lvlJc w:val="left"/>
      <w:lvlText w:val="%2."/>
      <w:numFmt w:val="lowerLetter"/>
      <w:start w:val="1"/>
    </w:lvl>
  </w:abstractNum>
  <w:abstractNum w:abstractNumId="40">
    <w:nsid w:val="75C6C33A"/>
    <w:multiLevelType w:val="hybridMultilevel"/>
    <w:lvl w:ilvl="0">
      <w:lvlJc w:val="left"/>
      <w:lvlText w:val="%1"/>
      <w:numFmt w:val="decimal"/>
      <w:start w:val="1"/>
    </w:lvl>
    <w:lvl w:ilvl="1">
      <w:lvlJc w:val="left"/>
      <w:lvlText w:val="%2."/>
      <w:numFmt w:val="lowerLetter"/>
      <w:start w:val="2"/>
    </w:lvl>
  </w:abstractNum>
  <w:abstractNum w:abstractNumId="41">
    <w:nsid w:val="12E685FB"/>
    <w:multiLevelType w:val="hybridMultilevel"/>
    <w:lvl w:ilvl="0">
      <w:lvlJc w:val="left"/>
      <w:lvlText w:val="%1."/>
      <w:numFmt w:val="decimal"/>
      <w:start w:val="3"/>
    </w:lvl>
    <w:lvl w:ilvl="1">
      <w:lvlJc w:val="left"/>
      <w:lvlText w:val="%2"/>
      <w:numFmt w:val="lowerLetter"/>
      <w:start w:val="1"/>
    </w:lvl>
  </w:abstractNum>
  <w:abstractNum w:abstractNumId="42">
    <w:nsid w:val="70C6A529"/>
    <w:multiLevelType w:val="hybridMultilevel"/>
    <w:lvl w:ilvl="0">
      <w:lvlJc w:val="left"/>
      <w:lvlText w:val="%1."/>
      <w:numFmt w:val="decimal"/>
      <w:start w:val="6"/>
    </w:lvl>
    <w:lvl w:ilvl="1">
      <w:lvlJc w:val="left"/>
      <w:lvlText w:val="(%2)"/>
      <w:numFmt w:val="lowerLetter"/>
      <w:start w:val="25"/>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1"/>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3"/>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7"/>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3"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jpe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jpe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78" Type="http://schemas.openxmlformats.org/officeDocument/2006/relationships/hyperlink" Target="http://www.sec.gov/Archives/edgar/data/1581990/000104746913007875/a2216069zex-3_1.htm" TargetMode="External"/><Relationship Id="rId79" Type="http://schemas.openxmlformats.org/officeDocument/2006/relationships/hyperlink" Target="http://www.sec.gov/Archives/edgar/data/1581990/000110465916158356/a16-21845_1ex3d2.htm" TargetMode="External"/><Relationship Id="rId80" Type="http://schemas.openxmlformats.org/officeDocument/2006/relationships/hyperlink" Target="http://www.sec.gov/Archives/edgar/data/1581990/000158199020000012/exhibit31.htm" TargetMode="External"/><Relationship Id="rId81" Type="http://schemas.openxmlformats.org/officeDocument/2006/relationships/hyperlink" Target="http://www.sec.gov/Archives/edgar/data/1581990/000104746913007875/a2216069zex-3_3.htm" TargetMode="External"/><Relationship Id="rId82" Type="http://schemas.openxmlformats.org/officeDocument/2006/relationships/hyperlink" Target="https://www.sec.gov/Archives/edgar/data/1581990/000158199022000006/pagp202110-kexhibit311a.htm" TargetMode="External"/><Relationship Id="rId83" Type="http://schemas.openxmlformats.org/officeDocument/2006/relationships/hyperlink" Target="http://www.sec.gov/Archives/edgar/data/1070423/000110465917061889/a17-22685_5ex3d1.htm" TargetMode="External"/><Relationship Id="rId84" Type="http://schemas.openxmlformats.org/officeDocument/2006/relationships/hyperlink" Target="http://www.sec.gov/Archives/edgar/data/1581990/000110465916158356/a16-21845_1ex3d3.htm" TargetMode="External"/><Relationship Id="rId85" Type="http://schemas.openxmlformats.org/officeDocument/2006/relationships/hyperlink" Target="http://www.sec.gov/Archives/edgar/data/1581990/000110465916158356/a16-21845_1ex3d4.htm" TargetMode="External"/><Relationship Id="rId86" Type="http://schemas.openxmlformats.org/officeDocument/2006/relationships/hyperlink" Target="http://www.sec.gov/Archives/edgar/data/1581990/000110465918060012/a18-36197_1ex3d1.htm" TargetMode="External"/><Relationship Id="rId87" Type="http://schemas.openxmlformats.org/officeDocument/2006/relationships/hyperlink" Target="http://www.sec.gov/Archives/edgar/data/1581990/000110465919032813/a19-10857_1ex3d1.htm" TargetMode="External"/><Relationship Id="rId88" Type="http://schemas.openxmlformats.org/officeDocument/2006/relationships/hyperlink" Target="https://www.sec.gov/Archives/edgar/data/1581990/000110465923093996/tm2324102d2_ex3-1.htm" TargetMode="External"/><Relationship Id="rId89" Type="http://schemas.openxmlformats.org/officeDocument/2006/relationships/hyperlink" Target="http://www.sec.gov/Archives/edgar/data/1070423/000095012908000071/h52770exv3w3.htm" TargetMode="External"/><Relationship Id="rId90" Type="http://schemas.openxmlformats.org/officeDocument/2006/relationships/hyperlink" Target="http://www.sec.gov/Archives/edgar/data/1070423/000089924302002834/dex41.txt" TargetMode="External"/><Relationship Id="rId91" Type="http://schemas.openxmlformats.org/officeDocument/2006/relationships/hyperlink" Target="http://www.sec.gov/Archives/edgar/data/1070423/000110465906034368/a06-11663_1ex4d1.htm" TargetMode="External"/><Relationship Id="rId92" Type="http://schemas.openxmlformats.org/officeDocument/2006/relationships/hyperlink" Target="http://www.sec.gov/Archives/edgar/data/1070423/000095012906009235/h40667exv4w2.htm" TargetMode="External"/><Relationship Id="rId94" Type="http://schemas.openxmlformats.org/officeDocument/2006/relationships/hyperlink" Target="http://www.sec.gov/Archives/edgar/data/1070423/000119312512132295/d321017dex43.htm" TargetMode="External"/><Relationship Id="rId95" Type="http://schemas.openxmlformats.org/officeDocument/2006/relationships/hyperlink" Target="http://www.sec.gov/Archives/edgar/data/1070423/000119312512499932/d453762dex43.htm" TargetMode="External"/><Relationship Id="rId96" Type="http://schemas.openxmlformats.org/officeDocument/2006/relationships/hyperlink" Target="http://www.sec.gov/Archives/edgar/data/1070423/000119312513336066/d581734dex41.htm" TargetMode="External"/><Relationship Id="rId97" Type="http://schemas.openxmlformats.org/officeDocument/2006/relationships/hyperlink" Target="http://www.sec.gov/Archives/edgar/data/1581990/000119312514164185/d717953dex41.htm" TargetMode="External"/><Relationship Id="rId98" Type="http://schemas.openxmlformats.org/officeDocument/2006/relationships/hyperlink" Target="http://www.sec.gov/Archives/edgar/data/1581990/000119312514338295/d787197dex41.htm" TargetMode="External"/><Relationship Id="rId99" Type="http://schemas.openxmlformats.org/officeDocument/2006/relationships/hyperlink" Target="http://www.sec.gov/Archives/edgar/data/1581990/000119312514440012/d835488dex43.htm" TargetMode="External"/><Relationship Id="rId100" Type="http://schemas.openxmlformats.org/officeDocument/2006/relationships/hyperlink" Target="http://www.sec.gov/Archives/edgar/data/1070423/000119312515302829/d45393dex41.htm" TargetMode="External"/><Relationship Id="rId101" Type="http://schemas.openxmlformats.org/officeDocument/2006/relationships/hyperlink" Target="http://www.sec.gov/Archives/edgar/data/1070423/000110465916159593/a16-22232_1ex4d1.htm" TargetMode="External"/><Relationship Id="rId102" Type="http://schemas.openxmlformats.org/officeDocument/2006/relationships/hyperlink" Target="http://www.sec.gov/Archives/edgar/data/1070423/000141057819001281/tv529555_ex4-1.htm" TargetMode="External"/><Relationship Id="rId103" Type="http://schemas.openxmlformats.org/officeDocument/2006/relationships/hyperlink" Target="http://www.sec.gov/Archives/edgar/data/1070423/000110465920072270/tm2022235d1_ex4-1.htm" TargetMode="External"/><Relationship Id="rId104" Type="http://schemas.openxmlformats.org/officeDocument/2006/relationships/hyperlink" Target="http://www.sec.gov/Archives/edgar/data/1581990/000110465913078057/a13-22338_2ex4d1.htm" TargetMode="External"/><Relationship Id="rId105" Type="http://schemas.openxmlformats.org/officeDocument/2006/relationships/hyperlink" Target="https://www.sec.gov/Archives/edgar/data/1581990/000158199023000005/pagp202210-kexhibit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2023-11-08T05:22:49Z</dcterms:created>
  <dcterms:modified xsi:type="dcterms:W3CDTF">2023-11-08T05:22:49Z</dcterms:modified>
</cp:coreProperties>
</file>