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4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w:t>
      </w:r>
    </w:p>
    <w:p>
      <w:pPr>
        <w:spacing w:after="0" w:line="1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8"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9"/>
          <w:szCs w:val="9"/>
          <w:b w:val="1"/>
          <w:bCs w:val="1"/>
          <w:color w:val="auto"/>
        </w:rPr>
        <w:t>________________________________________________________________________________________________________________________________</w:t>
      </w:r>
    </w:p>
    <w:p>
      <w:pPr>
        <w:spacing w:after="0" w:line="143" w:lineRule="exact"/>
        <w:rPr>
          <w:sz w:val="24"/>
          <w:szCs w:val="24"/>
          <w:color w:val="auto"/>
        </w:rPr>
      </w:pPr>
    </w:p>
    <w:p>
      <w:pPr>
        <w:ind w:left="3820" w:right="1560" w:hanging="3812"/>
        <w:spacing w:after="0" w:line="409" w:lineRule="auto"/>
        <w:tabs>
          <w:tab w:leader="none" w:pos="475"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98"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3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1-14569</w:t>
      </w:r>
    </w:p>
    <w:p>
      <w:pPr>
        <w:spacing w:after="0" w:line="31"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w:t>
      </w:r>
    </w:p>
    <w:p>
      <w:pPr>
        <w:spacing w:after="0" w:line="2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PLAINS ALL AMERICAN PIPELINE, L.P.</w:t>
      </w:r>
    </w:p>
    <w:p>
      <w:pPr>
        <w:spacing w:after="0" w:line="5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180"/>
          </w:cols>
          <w:pgMar w:left="320" w:top="229" w:right="399" w:bottom="1440" w:gutter="0" w:footer="0" w:header="0"/>
        </w:sectPr>
      </w:pPr>
    </w:p>
    <w:p>
      <w:pPr>
        <w:spacing w:after="0" w:line="26"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76-0582150</w:t>
      </w:r>
    </w:p>
    <w:p>
      <w:pPr>
        <w:spacing w:after="0" w:line="31" w:lineRule="exact"/>
        <w:rPr>
          <w:sz w:val="24"/>
          <w:szCs w:val="24"/>
          <w:color w:val="auto"/>
        </w:rPr>
      </w:pPr>
    </w:p>
    <w:p>
      <w:pPr>
        <w:sectPr>
          <w:pgSz w:w="11900" w:h="16838" w:orient="portrait"/>
          <w:cols w:equalWidth="0" w:num="2">
            <w:col w:w="7220" w:space="720"/>
            <w:col w:w="3240"/>
          </w:cols>
          <w:pgMar w:left="320" w:top="229" w:right="399" w:bottom="1440" w:gutter="0" w:footer="0" w:header="0"/>
          <w:type w:val="continuous"/>
        </w:sectPr>
      </w:pPr>
    </w:p>
    <w:p>
      <w:pPr>
        <w:ind w:left="920"/>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6480" w:space="720"/>
            <w:col w:w="3980"/>
          </w:cols>
          <w:pgMar w:left="320" w:top="229" w:right="399" w:bottom="1440" w:gutter="0" w:footer="0" w:header="0"/>
          <w:type w:val="continuous"/>
        </w:sectPr>
      </w:pPr>
    </w:p>
    <w:p>
      <w:pPr>
        <w:spacing w:after="0" w:line="13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333 Clay Street, Suite 1600</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Houston, Texas 77002</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p>
      <w:pPr>
        <w:spacing w:after="0" w:line="1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(713) 646-4100</w:t>
      </w:r>
    </w:p>
    <w:p>
      <w:pPr>
        <w:spacing w:after="0" w:line="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7"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w:t>
      </w:r>
    </w:p>
    <w:p>
      <w:pPr>
        <w:spacing w:after="0" w:line="4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4" w:lineRule="exact"/>
        <w:rPr>
          <w:sz w:val="24"/>
          <w:szCs w:val="24"/>
          <w:color w:val="auto"/>
        </w:rPr>
      </w:pPr>
    </w:p>
    <w:tbl>
      <w:tblPr>
        <w:tblLayout w:type="fixed"/>
        <w:tblInd w:w="310" w:type="dxa"/>
        <w:tblCellMar>
          <w:top w:w="0" w:type="dxa"/>
          <w:left w:w="0" w:type="dxa"/>
          <w:bottom w:w="0" w:type="dxa"/>
          <w:right w:w="0" w:type="dxa"/>
        </w:tblCellMar>
      </w:tblPr>
      <w:tr>
        <w:trPr>
          <w:trHeight w:val="243"/>
        </w:trPr>
        <w:tc>
          <w:tcPr>
            <w:tcW w:w="39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3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Units</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PAA</w:t>
            </w:r>
          </w:p>
        </w:tc>
        <w:tc>
          <w:tcPr>
            <w:tcW w:w="3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r>
    </w:tbl>
    <w:p>
      <w:pPr>
        <w:spacing w:after="0" w:line="198" w:lineRule="exact"/>
        <w:rPr>
          <w:sz w:val="24"/>
          <w:szCs w:val="24"/>
          <w:color w:val="auto"/>
        </w:rPr>
      </w:pPr>
    </w:p>
    <w:p>
      <w:pPr>
        <w:ind w:firstLine="324"/>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w:t>
      </w:r>
    </w:p>
    <w:p>
      <w:pPr>
        <w:spacing w:after="0" w:line="62" w:lineRule="exact"/>
        <w:rPr>
          <w:sz w:val="24"/>
          <w:szCs w:val="24"/>
          <w:color w:val="auto"/>
        </w:rPr>
      </w:pPr>
    </w:p>
    <w:p>
      <w:pPr>
        <w:ind w:right="120" w:firstLine="369"/>
        <w:spacing w:after="0" w:line="26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w:t>
      </w:r>
    </w:p>
    <w:p>
      <w:pPr>
        <w:spacing w:after="0" w:line="46" w:lineRule="exact"/>
        <w:rPr>
          <w:sz w:val="24"/>
          <w:szCs w:val="24"/>
          <w:color w:val="auto"/>
        </w:rPr>
      </w:pPr>
    </w:p>
    <w:p>
      <w:pPr>
        <w:ind w:right="140" w:firstLine="324"/>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80"/>
          </w:cols>
          <w:pgMar w:left="320" w:top="229" w:right="399" w:bottom="1440" w:gutter="0" w:footer="0" w:header="0"/>
          <w:type w:val="continuous"/>
        </w:sectPr>
      </w:pPr>
    </w:p>
    <w:p>
      <w:pPr>
        <w:spacing w:after="0" w:line="1" w:lineRule="exact"/>
        <w:rPr>
          <w:sz w:val="24"/>
          <w:szCs w:val="24"/>
          <w:color w:val="auto"/>
        </w:rPr>
      </w:pPr>
    </w:p>
    <w:p>
      <w:pPr>
        <w:ind w:left="1860"/>
        <w:spacing w:after="0" w:line="230"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20"/>
          <w:szCs w:val="20"/>
          <w:color w:val="auto"/>
        </w:rPr>
        <w:t>☑</w:t>
      </w:r>
    </w:p>
    <w:p>
      <w:pPr>
        <w:spacing w:after="0" w:line="98" w:lineRule="exact"/>
        <w:rPr>
          <w:sz w:val="24"/>
          <w:szCs w:val="24"/>
          <w:color w:val="auto"/>
        </w:rPr>
      </w:pPr>
    </w:p>
    <w:p>
      <w:pPr>
        <w:ind w:left="1940"/>
        <w:spacing w:after="0" w:line="230"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20"/>
          <w:szCs w:val="20"/>
          <w:color w:val="auto"/>
        </w:rPr>
        <w:t>☐</w:t>
      </w:r>
    </w:p>
    <w:p>
      <w:pPr>
        <w:spacing w:after="0" w:line="20" w:lineRule="exact"/>
        <w:rPr>
          <w:sz w:val="24"/>
          <w:szCs w:val="24"/>
          <w:color w:val="auto"/>
        </w:rPr>
      </w:pPr>
      <w:r>
        <w:rPr>
          <w:sz w:val="24"/>
          <w:szCs w:val="24"/>
          <w:color w:val="auto"/>
        </w:rPr>
        <w:br w:type="column"/>
      </w:r>
    </w:p>
    <w:p>
      <w:pPr>
        <w:ind w:left="760"/>
        <w:spacing w:after="0" w:line="211"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20"/>
          <w:szCs w:val="20"/>
          <w:color w:val="auto"/>
        </w:rPr>
        <w:t>☐</w:t>
      </w:r>
    </w:p>
    <w:p>
      <w:pPr>
        <w:spacing w:after="0" w:line="98" w:lineRule="exact"/>
        <w:rPr>
          <w:sz w:val="24"/>
          <w:szCs w:val="24"/>
          <w:color w:val="auto"/>
        </w:rPr>
      </w:pPr>
    </w:p>
    <w:p>
      <w:pPr>
        <w:spacing w:after="0" w:line="230"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20"/>
          <w:szCs w:val="20"/>
          <w:color w:val="auto"/>
        </w:rPr>
        <w:t>☐</w:t>
      </w:r>
    </w:p>
    <w:p>
      <w:pPr>
        <w:spacing w:after="0" w:line="40" w:lineRule="exact"/>
        <w:rPr>
          <w:sz w:val="24"/>
          <w:szCs w:val="24"/>
          <w:color w:val="auto"/>
        </w:rPr>
      </w:pPr>
    </w:p>
    <w:p>
      <w:pPr>
        <w:spacing w:after="0" w:line="230"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20"/>
          <w:szCs w:val="20"/>
          <w:color w:val="auto"/>
        </w:rPr>
        <w:t>☐</w:t>
      </w:r>
    </w:p>
    <w:p>
      <w:pPr>
        <w:spacing w:after="0" w:line="126" w:lineRule="exact"/>
        <w:rPr>
          <w:sz w:val="24"/>
          <w:szCs w:val="24"/>
          <w:color w:val="auto"/>
        </w:rPr>
      </w:pPr>
    </w:p>
    <w:p>
      <w:pPr>
        <w:sectPr>
          <w:pgSz w:w="11900" w:h="16838" w:orient="portrait"/>
          <w:cols w:equalWidth="0" w:num="2">
            <w:col w:w="6800" w:space="720"/>
            <w:col w:w="3660"/>
          </w:cols>
          <w:pgMar w:left="320" w:top="229" w:right="399" w:bottom="1440" w:gutter="0" w:footer="0" w:header="0"/>
          <w:type w:val="continuous"/>
        </w:sectPr>
      </w:pPr>
    </w:p>
    <w:p>
      <w:pPr>
        <w:ind w:right="100" w:firstLine="351"/>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6" w:lineRule="exact"/>
        <w:rPr>
          <w:sz w:val="24"/>
          <w:szCs w:val="24"/>
          <w:color w:val="auto"/>
        </w:rPr>
      </w:pPr>
    </w:p>
    <w:p>
      <w:pPr>
        <w:ind w:left="340" w:right="1560"/>
        <w:spacing w:after="0" w:line="321"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As of May 1, 2026, there were 705,531,683 Common Units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777240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0200" w:type="dxa"/>
            <w:vAlign w:val="bottom"/>
            <w:gridSpan w:val="34"/>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0200" w:type="dxa"/>
            <w:vAlign w:val="bottom"/>
            <w:gridSpan w:val="34"/>
            <w:vMerge w:val="continue"/>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2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8"/>
              </w:rPr>
              <w:t>Item 1. UNAUDITED CONDENSED CONSOLIDATED FINANCIAL STATEMENTS:</w:t>
            </w:r>
          </w:p>
        </w:tc>
        <w:tc>
          <w:tcPr>
            <w:tcW w:w="3780" w:type="dxa"/>
            <w:vAlign w:val="bottom"/>
            <w:gridSpan w:val="10"/>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1006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March 31, 2026 and December 31, 2025</w:t>
            </w: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1006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months ended March 31, 2026 and 2025</w:t>
            </w: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854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 For the three months ended March 31, 2026 and 2025</w:t>
            </w:r>
          </w:p>
        </w:tc>
        <w:tc>
          <w:tcPr>
            <w:tcW w:w="1520" w:type="dxa"/>
            <w:vAlign w:val="bottom"/>
            <w:gridSpan w:val="4"/>
          </w:tcPr>
          <w:p>
            <w:pPr>
              <w:spacing w:after="0"/>
              <w:rPr>
                <w:sz w:val="18"/>
                <w:szCs w:val="18"/>
                <w:color w:val="auto"/>
              </w:rPr>
            </w:pP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1006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Accumulated Other Comprehensive Income/(Loss): For the three months ended March</w:t>
            </w:r>
          </w:p>
        </w:tc>
        <w:tc>
          <w:tcPr>
            <w:tcW w:w="102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156"/>
        </w:trPr>
        <w:tc>
          <w:tcPr>
            <w:tcW w:w="14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9820" w:type="dxa"/>
            <w:vAlign w:val="bottom"/>
            <w:tcBorders>
              <w:top w:val="single" w:sz="8" w:color="0000FF"/>
            </w:tcBorders>
            <w:gridSpan w:val="31"/>
          </w:tcPr>
          <w:p>
            <w:pPr>
              <w:spacing w:after="0" w:line="142" w:lineRule="exact"/>
              <w:rPr>
                <w:sz w:val="20"/>
                <w:szCs w:val="20"/>
                <w:color w:val="auto"/>
              </w:rPr>
            </w:pPr>
            <w:r>
              <w:rPr>
                <w:rFonts w:ascii="Times New Roman" w:cs="Times New Roman" w:eastAsia="Times New Roman" w:hAnsi="Times New Roman"/>
                <w:sz w:val="16"/>
                <w:szCs w:val="16"/>
                <w:color w:val="0000FF"/>
              </w:rPr>
              <w:t>31, 2026 and 2025</w:t>
            </w:r>
          </w:p>
        </w:tc>
        <w:tc>
          <w:tcPr>
            <w:tcW w:w="100" w:type="dxa"/>
            <w:vAlign w:val="bottom"/>
          </w:tcPr>
          <w:p>
            <w:pPr>
              <w:spacing w:after="0"/>
              <w:rPr>
                <w:sz w:val="13"/>
                <w:szCs w:val="13"/>
                <w:color w:val="auto"/>
              </w:rPr>
            </w:pPr>
          </w:p>
        </w:tc>
        <w:tc>
          <w:tcPr>
            <w:tcW w:w="10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540" w:type="dxa"/>
            <w:vAlign w:val="bottom"/>
            <w:gridSpan w:val="2"/>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560" w:type="dxa"/>
            <w:vAlign w:val="bottom"/>
            <w:gridSpan w:val="2"/>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22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40" w:type="dxa"/>
            <w:vAlign w:val="bottom"/>
          </w:tcPr>
          <w:p>
            <w:pPr>
              <w:spacing w:after="0"/>
              <w:rPr>
                <w:sz w:val="18"/>
                <w:szCs w:val="18"/>
                <w:color w:val="auto"/>
              </w:rPr>
            </w:pPr>
          </w:p>
        </w:tc>
        <w:tc>
          <w:tcPr>
            <w:tcW w:w="1006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March 31, 2026 and 2025</w:t>
            </w: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 w:type="dxa"/>
            <w:vAlign w:val="bottom"/>
          </w:tcPr>
          <w:p>
            <w:pPr>
              <w:spacing w:after="0"/>
              <w:rPr>
                <w:sz w:val="18"/>
                <w:szCs w:val="18"/>
                <w:color w:val="auto"/>
              </w:rPr>
            </w:pPr>
          </w:p>
        </w:tc>
        <w:tc>
          <w:tcPr>
            <w:tcW w:w="1006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Partners’ Capital: For the three months ended March 31, 2026 and 2025</w:t>
            </w: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8880" w:type="dxa"/>
            <w:vAlign w:val="bottom"/>
            <w:tcBorders>
              <w:top w:val="single" w:sz="8" w:color="0000FF"/>
            </w:tcBorders>
            <w:gridSpan w:val="30"/>
          </w:tcPr>
          <w:p>
            <w:pPr>
              <w:spacing w:after="0"/>
              <w:rPr>
                <w:sz w:val="20"/>
                <w:szCs w:val="20"/>
                <w:color w:val="auto"/>
              </w:rPr>
            </w:pPr>
            <w:r>
              <w:rPr>
                <w:rFonts w:ascii="Times New Roman" w:cs="Times New Roman" w:eastAsia="Times New Roman" w:hAnsi="Times New Roman"/>
                <w:sz w:val="18"/>
                <w:szCs w:val="18"/>
                <w:color w:val="0000FF"/>
              </w:rPr>
              <w:t>Notes to the Condensed Consolidated Financial Statements:</w:t>
            </w:r>
          </w:p>
        </w:tc>
        <w:tc>
          <w:tcPr>
            <w:tcW w:w="1180" w:type="dxa"/>
            <w:vAlign w:val="bottom"/>
            <w:gridSpan w:val="3"/>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88"/>
              </w:rPr>
              <w:t>1.</w:t>
            </w:r>
          </w:p>
        </w:tc>
        <w:tc>
          <w:tcPr>
            <w:tcW w:w="4200" w:type="dxa"/>
            <w:vAlign w:val="bottom"/>
            <w:gridSpan w:val="19"/>
          </w:tcPr>
          <w:p>
            <w:pPr>
              <w:ind w:left="20"/>
              <w:spacing w:after="0"/>
              <w:rPr>
                <w:sz w:val="20"/>
                <w:szCs w:val="20"/>
                <w:color w:val="auto"/>
              </w:rPr>
            </w:pPr>
            <w:r>
              <w:rPr>
                <w:rFonts w:ascii="Times New Roman" w:cs="Times New Roman" w:eastAsia="Times New Roman" w:hAnsi="Times New Roman"/>
                <w:sz w:val="18"/>
                <w:szCs w:val="18"/>
                <w:color w:val="0000FF"/>
                <w:w w:val="99"/>
              </w:rPr>
              <w:t>Organization and Basis of Consolidation and Presentation</w:t>
            </w:r>
          </w:p>
        </w:tc>
        <w:tc>
          <w:tcPr>
            <w:tcW w:w="5520" w:type="dxa"/>
            <w:vAlign w:val="bottom"/>
            <w:gridSpan w:val="11"/>
          </w:tcPr>
          <w:p>
            <w:pPr>
              <w:spacing w:after="0"/>
              <w:rPr>
                <w:sz w:val="18"/>
                <w:szCs w:val="18"/>
                <w:color w:val="auto"/>
              </w:rPr>
            </w:pP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gridSpan w:val="3"/>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88"/>
              </w:rPr>
              <w:t>2.</w:t>
            </w:r>
          </w:p>
        </w:tc>
        <w:tc>
          <w:tcPr>
            <w:tcW w:w="4200" w:type="dxa"/>
            <w:vAlign w:val="bottom"/>
            <w:gridSpan w:val="19"/>
          </w:tcPr>
          <w:p>
            <w:pPr>
              <w:ind w:left="20"/>
              <w:spacing w:after="0"/>
              <w:rPr>
                <w:sz w:val="20"/>
                <w:szCs w:val="20"/>
                <w:color w:val="auto"/>
              </w:rPr>
            </w:pPr>
            <w:r>
              <w:rPr>
                <w:rFonts w:ascii="Times New Roman" w:cs="Times New Roman" w:eastAsia="Times New Roman" w:hAnsi="Times New Roman"/>
                <w:sz w:val="18"/>
                <w:szCs w:val="18"/>
                <w:color w:val="0000FF"/>
              </w:rPr>
              <w:t>Discontinued Operations</w:t>
            </w:r>
          </w:p>
        </w:tc>
        <w:tc>
          <w:tcPr>
            <w:tcW w:w="5520" w:type="dxa"/>
            <w:vAlign w:val="bottom"/>
            <w:gridSpan w:val="11"/>
          </w:tcPr>
          <w:p>
            <w:pPr>
              <w:spacing w:after="0"/>
              <w:rPr>
                <w:sz w:val="18"/>
                <w:szCs w:val="18"/>
                <w:color w:val="auto"/>
              </w:rPr>
            </w:pP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11</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gridSpan w:val="3"/>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88"/>
              </w:rPr>
              <w:t>3.</w:t>
            </w:r>
          </w:p>
        </w:tc>
        <w:tc>
          <w:tcPr>
            <w:tcW w:w="9720" w:type="dxa"/>
            <w:vAlign w:val="bottom"/>
            <w:gridSpan w:val="30"/>
          </w:tcPr>
          <w:p>
            <w:pPr>
              <w:ind w:left="20"/>
              <w:spacing w:after="0"/>
              <w:rPr>
                <w:sz w:val="20"/>
                <w:szCs w:val="20"/>
                <w:color w:val="auto"/>
              </w:rPr>
            </w:pPr>
            <w:r>
              <w:rPr>
                <w:rFonts w:ascii="Times New Roman" w:cs="Times New Roman" w:eastAsia="Times New Roman" w:hAnsi="Times New Roman"/>
                <w:sz w:val="18"/>
                <w:szCs w:val="18"/>
                <w:color w:val="0000FF"/>
              </w:rPr>
              <w:t>Revenues and Accounts Receivable</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0" w:type="dxa"/>
            <w:vAlign w:val="bottom"/>
            <w:tcBorders>
              <w:top w:val="single" w:sz="8" w:color="0000FF"/>
              <w:bottom w:val="single" w:sz="8" w:color="0000FF"/>
            </w:tcBorders>
            <w:gridSpan w:val="10"/>
          </w:tcPr>
          <w:p>
            <w:pPr>
              <w:ind w:left="20"/>
              <w:spacing w:after="0"/>
              <w:rPr>
                <w:sz w:val="20"/>
                <w:szCs w:val="20"/>
                <w:color w:val="auto"/>
              </w:rPr>
            </w:pPr>
            <w:r>
              <w:rPr>
                <w:rFonts w:ascii="Times New Roman" w:cs="Times New Roman" w:eastAsia="Times New Roman" w:hAnsi="Times New Roman"/>
                <w:sz w:val="18"/>
                <w:szCs w:val="18"/>
                <w:color w:val="0000FF"/>
                <w:w w:val="98"/>
              </w:rPr>
              <w:t>4. Net Income Per Common Unit</w:t>
            </w:r>
          </w:p>
        </w:tc>
        <w:tc>
          <w:tcPr>
            <w:tcW w:w="360" w:type="dxa"/>
            <w:vAlign w:val="bottom"/>
            <w:tcBorders>
              <w:top w:val="single" w:sz="8" w:color="0000FF"/>
            </w:tcBorders>
            <w:gridSpan w:val="4"/>
          </w:tcPr>
          <w:p>
            <w:pPr>
              <w:spacing w:after="0"/>
              <w:rPr>
                <w:sz w:val="18"/>
                <w:szCs w:val="18"/>
                <w:color w:val="auto"/>
              </w:rPr>
            </w:pPr>
          </w:p>
        </w:tc>
        <w:tc>
          <w:tcPr>
            <w:tcW w:w="7120" w:type="dxa"/>
            <w:vAlign w:val="bottom"/>
            <w:gridSpan w:val="17"/>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3"/>
          </w:tcPr>
          <w:p>
            <w:pPr>
              <w:spacing w:after="0"/>
              <w:rPr>
                <w:sz w:val="18"/>
                <w:szCs w:val="18"/>
                <w:color w:val="auto"/>
              </w:rPr>
            </w:pPr>
          </w:p>
        </w:tc>
        <w:tc>
          <w:tcPr>
            <w:tcW w:w="1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88"/>
              </w:rPr>
              <w:t>5.</w:t>
            </w:r>
          </w:p>
        </w:tc>
        <w:tc>
          <w:tcPr>
            <w:tcW w:w="3220" w:type="dxa"/>
            <w:vAlign w:val="bottom"/>
            <w:tcBorders>
              <w:bottom w:val="single" w:sz="8" w:color="0000FF"/>
            </w:tcBorders>
            <w:gridSpan w:val="15"/>
          </w:tcPr>
          <w:p>
            <w:pPr>
              <w:ind w:left="20"/>
              <w:spacing w:after="0"/>
              <w:rPr>
                <w:sz w:val="20"/>
                <w:szCs w:val="20"/>
                <w:color w:val="auto"/>
              </w:rPr>
            </w:pPr>
            <w:r>
              <w:rPr>
                <w:rFonts w:ascii="Times New Roman" w:cs="Times New Roman" w:eastAsia="Times New Roman" w:hAnsi="Times New Roman"/>
                <w:sz w:val="18"/>
                <w:szCs w:val="18"/>
                <w:color w:val="0000FF"/>
                <w:w w:val="99"/>
              </w:rPr>
              <w:t>Inventory, Linefill and Long-term Inventory</w:t>
            </w:r>
          </w:p>
        </w:tc>
        <w:tc>
          <w:tcPr>
            <w:tcW w:w="6500" w:type="dxa"/>
            <w:vAlign w:val="bottom"/>
            <w:gridSpan w:val="15"/>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3"/>
          </w:tcPr>
          <w:p>
            <w:pPr>
              <w:spacing w:after="0"/>
              <w:rPr>
                <w:sz w:val="18"/>
                <w:szCs w:val="18"/>
                <w:color w:val="auto"/>
              </w:rPr>
            </w:pPr>
          </w:p>
        </w:tc>
        <w:tc>
          <w:tcPr>
            <w:tcW w:w="1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88"/>
              </w:rPr>
              <w:t>6.</w:t>
            </w:r>
          </w:p>
        </w:tc>
        <w:tc>
          <w:tcPr>
            <w:tcW w:w="38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7"/>
              </w:rPr>
              <w:t>Debt</w:t>
            </w:r>
          </w:p>
        </w:tc>
        <w:tc>
          <w:tcPr>
            <w:tcW w:w="9340" w:type="dxa"/>
            <w:vAlign w:val="bottom"/>
            <w:gridSpan w:val="29"/>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3"/>
          </w:tcPr>
          <w:p>
            <w:pPr>
              <w:spacing w:after="0"/>
              <w:rPr>
                <w:sz w:val="18"/>
                <w:szCs w:val="18"/>
                <w:color w:val="auto"/>
              </w:rPr>
            </w:pPr>
          </w:p>
        </w:tc>
        <w:tc>
          <w:tcPr>
            <w:tcW w:w="1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88"/>
              </w:rPr>
              <w:t>7.</w:t>
            </w:r>
          </w:p>
        </w:tc>
        <w:tc>
          <w:tcPr>
            <w:tcW w:w="2580" w:type="dxa"/>
            <w:vAlign w:val="bottom"/>
            <w:tcBorders>
              <w:bottom w:val="single" w:sz="8" w:color="0000FF"/>
            </w:tcBorders>
            <w:gridSpan w:val="12"/>
          </w:tcPr>
          <w:p>
            <w:pPr>
              <w:ind w:left="20"/>
              <w:spacing w:after="0"/>
              <w:rPr>
                <w:sz w:val="20"/>
                <w:szCs w:val="20"/>
                <w:color w:val="auto"/>
              </w:rPr>
            </w:pPr>
            <w:r>
              <w:rPr>
                <w:rFonts w:ascii="Times New Roman" w:cs="Times New Roman" w:eastAsia="Times New Roman" w:hAnsi="Times New Roman"/>
                <w:sz w:val="18"/>
                <w:szCs w:val="18"/>
                <w:color w:val="0000FF"/>
              </w:rPr>
              <w:t>Partners’ Capital and Distributions</w:t>
            </w:r>
          </w:p>
        </w:tc>
        <w:tc>
          <w:tcPr>
            <w:tcW w:w="7140" w:type="dxa"/>
            <w:vAlign w:val="bottom"/>
            <w:gridSpan w:val="18"/>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0" w:type="dxa"/>
            <w:vAlign w:val="bottom"/>
            <w:gridSpan w:val="3"/>
          </w:tcPr>
          <w:p>
            <w:pPr>
              <w:spacing w:after="0"/>
              <w:rPr>
                <w:sz w:val="18"/>
                <w:szCs w:val="18"/>
                <w:color w:val="auto"/>
              </w:rPr>
            </w:pPr>
          </w:p>
        </w:tc>
        <w:tc>
          <w:tcPr>
            <w:tcW w:w="16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88"/>
              </w:rPr>
              <w:t>8.</w:t>
            </w:r>
          </w:p>
        </w:tc>
        <w:tc>
          <w:tcPr>
            <w:tcW w:w="3280" w:type="dxa"/>
            <w:vAlign w:val="bottom"/>
            <w:tcBorders>
              <w:bottom w:val="single" w:sz="8" w:color="0000FF"/>
            </w:tcBorders>
            <w:gridSpan w:val="17"/>
          </w:tcPr>
          <w:p>
            <w:pPr>
              <w:ind w:left="20"/>
              <w:spacing w:after="0"/>
              <w:rPr>
                <w:sz w:val="20"/>
                <w:szCs w:val="20"/>
                <w:color w:val="auto"/>
              </w:rPr>
            </w:pPr>
            <w:r>
              <w:rPr>
                <w:rFonts w:ascii="Times New Roman" w:cs="Times New Roman" w:eastAsia="Times New Roman" w:hAnsi="Times New Roman"/>
                <w:sz w:val="18"/>
                <w:szCs w:val="18"/>
                <w:color w:val="0000FF"/>
                <w:w w:val="99"/>
              </w:rPr>
              <w:t>Derivatives and Risk Management Activities</w:t>
            </w:r>
          </w:p>
        </w:tc>
        <w:tc>
          <w:tcPr>
            <w:tcW w:w="6440" w:type="dxa"/>
            <w:vAlign w:val="bottom"/>
            <w:gridSpan w:val="13"/>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 w:type="dxa"/>
            <w:vAlign w:val="bottom"/>
            <w:gridSpan w:val="3"/>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88"/>
              </w:rPr>
              <w:t>9.</w:t>
            </w:r>
          </w:p>
        </w:tc>
        <w:tc>
          <w:tcPr>
            <w:tcW w:w="9720" w:type="dxa"/>
            <w:vAlign w:val="bottom"/>
            <w:gridSpan w:val="30"/>
          </w:tcPr>
          <w:p>
            <w:pPr>
              <w:ind w:left="20"/>
              <w:spacing w:after="0"/>
              <w:rPr>
                <w:sz w:val="20"/>
                <w:szCs w:val="20"/>
                <w:color w:val="auto"/>
              </w:rPr>
            </w:pPr>
            <w:r>
              <w:rPr>
                <w:rFonts w:ascii="Times New Roman" w:cs="Times New Roman" w:eastAsia="Times New Roman" w:hAnsi="Times New Roman"/>
                <w:sz w:val="18"/>
                <w:szCs w:val="18"/>
                <w:color w:val="0000FF"/>
              </w:rPr>
              <w:t>Related Party Transactions</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80" w:type="dxa"/>
            <w:vAlign w:val="bottom"/>
            <w:tcBorders>
              <w:bottom w:val="single" w:sz="8" w:color="0000FF"/>
            </w:tcBorders>
            <w:gridSpan w:val="12"/>
          </w:tcPr>
          <w:p>
            <w:pPr>
              <w:ind w:left="20"/>
              <w:spacing w:after="0"/>
              <w:rPr>
                <w:sz w:val="20"/>
                <w:szCs w:val="20"/>
                <w:color w:val="auto"/>
              </w:rPr>
            </w:pPr>
            <w:r>
              <w:rPr>
                <w:rFonts w:ascii="Times New Roman" w:cs="Times New Roman" w:eastAsia="Times New Roman" w:hAnsi="Times New Roman"/>
                <w:sz w:val="18"/>
                <w:szCs w:val="18"/>
                <w:color w:val="0000FF"/>
                <w:w w:val="98"/>
              </w:rPr>
              <w:t>10. Commitments and Contingencies</w:t>
            </w:r>
          </w:p>
        </w:tc>
        <w:tc>
          <w:tcPr>
            <w:tcW w:w="7200" w:type="dxa"/>
            <w:vAlign w:val="bottom"/>
            <w:gridSpan w:val="19"/>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80" w:type="dxa"/>
            <w:vAlign w:val="bottom"/>
            <w:gridSpan w:val="31"/>
          </w:tcPr>
          <w:p>
            <w:pPr>
              <w:ind w:left="20"/>
              <w:spacing w:after="0"/>
              <w:rPr>
                <w:sz w:val="20"/>
                <w:szCs w:val="20"/>
                <w:color w:val="auto"/>
              </w:rPr>
            </w:pPr>
            <w:r>
              <w:rPr>
                <w:rFonts w:ascii="Times New Roman" w:cs="Times New Roman" w:eastAsia="Times New Roman" w:hAnsi="Times New Roman"/>
                <w:sz w:val="18"/>
                <w:szCs w:val="18"/>
                <w:color w:val="0000FF"/>
              </w:rPr>
              <w:t>11. Segment Information</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9480" w:type="dxa"/>
            <w:vAlign w:val="bottom"/>
            <w:tcBorders>
              <w:bottom w:val="single" w:sz="8" w:color="0000FF"/>
            </w:tcBorders>
            <w:gridSpan w:val="32"/>
          </w:tcPr>
          <w:p>
            <w:pPr>
              <w:spacing w:after="0"/>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72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70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w w:val="98"/>
              </w:rPr>
              <w:t>Item 3. QUANTITATIVE AND QUALITATIVE DISCLOSURES ABOUT MARKET RISK</w:t>
            </w:r>
          </w:p>
        </w:tc>
        <w:tc>
          <w:tcPr>
            <w:tcW w:w="3500" w:type="dxa"/>
            <w:vAlign w:val="bottom"/>
            <w:gridSpan w:val="7"/>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Item 4. CONTROLS AND PROCEDURES</w:t>
            </w:r>
          </w:p>
        </w:tc>
        <w:tc>
          <w:tcPr>
            <w:tcW w:w="7040" w:type="dxa"/>
            <w:vAlign w:val="bottom"/>
            <w:gridSpan w:val="16"/>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10200" w:type="dxa"/>
            <w:vAlign w:val="bottom"/>
            <w:gridSpan w:val="34"/>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44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Item 1. LEGAL PROCEEDINGS</w:t>
            </w:r>
          </w:p>
        </w:tc>
        <w:tc>
          <w:tcPr>
            <w:tcW w:w="320" w:type="dxa"/>
            <w:vAlign w:val="bottom"/>
            <w:tcBorders>
              <w:top w:val="single" w:sz="8" w:color="0000FF"/>
            </w:tcBorders>
            <w:gridSpan w:val="2"/>
          </w:tcPr>
          <w:p>
            <w:pPr>
              <w:spacing w:after="0"/>
              <w:rPr>
                <w:sz w:val="18"/>
                <w:szCs w:val="18"/>
                <w:color w:val="auto"/>
              </w:rPr>
            </w:pPr>
          </w:p>
        </w:tc>
        <w:tc>
          <w:tcPr>
            <w:tcW w:w="7440" w:type="dxa"/>
            <w:vAlign w:val="bottom"/>
            <w:gridSpan w:val="20"/>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Item 1A. RISK FACTORS</w:t>
            </w:r>
          </w:p>
        </w:tc>
        <w:tc>
          <w:tcPr>
            <w:tcW w:w="8260" w:type="dxa"/>
            <w:vAlign w:val="bottom"/>
            <w:gridSpan w:val="25"/>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tcBorders>
              <w:top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rPr>
              <w:t>Item 3. DEFAULTS UPON SENIOR SECURITIES</w:t>
            </w:r>
          </w:p>
        </w:tc>
        <w:tc>
          <w:tcPr>
            <w:tcW w:w="3580" w:type="dxa"/>
            <w:vAlign w:val="bottom"/>
            <w:gridSpan w:val="8"/>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Item 4. MINE SAFETY DISCLOSURES</w:t>
            </w:r>
          </w:p>
        </w:tc>
        <w:tc>
          <w:tcPr>
            <w:tcW w:w="740" w:type="dxa"/>
            <w:vAlign w:val="bottom"/>
            <w:tcBorders>
              <w:top w:val="single" w:sz="8" w:color="0000FF"/>
            </w:tcBorders>
            <w:gridSpan w:val="5"/>
          </w:tcPr>
          <w:p>
            <w:pPr>
              <w:spacing w:after="0"/>
              <w:rPr>
                <w:sz w:val="18"/>
                <w:szCs w:val="18"/>
                <w:color w:val="auto"/>
              </w:rPr>
            </w:pPr>
          </w:p>
        </w:tc>
        <w:tc>
          <w:tcPr>
            <w:tcW w:w="6460" w:type="dxa"/>
            <w:vAlign w:val="bottom"/>
            <w:gridSpan w:val="14"/>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4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7760" w:type="dxa"/>
            <w:vAlign w:val="bottom"/>
            <w:gridSpan w:val="22"/>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8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8820" w:type="dxa"/>
            <w:vAlign w:val="bottom"/>
            <w:gridSpan w:val="27"/>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UNAUDITED CONDENSED CONSOLIDATED FINANCIAL STATEMENTS</w:t>
      </w:r>
    </w:p>
    <w:p>
      <w:pPr>
        <w:spacing w:after="0" w:line="11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unit data)</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4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1"/>
        </w:trPr>
        <w:tc>
          <w:tcPr>
            <w:tcW w:w="8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4"/>
          </w:tcPr>
          <w:p>
            <w:pPr>
              <w:jc w:val="right"/>
              <w:ind w:right="1035"/>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23"/>
        </w:trPr>
        <w:tc>
          <w:tcPr>
            <w:tcW w:w="8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56"/>
        </w:trPr>
        <w:tc>
          <w:tcPr>
            <w:tcW w:w="8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CURRENT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6"/>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328</w:t>
            </w:r>
          </w:p>
        </w:tc>
      </w:tr>
      <w:tr>
        <w:trPr>
          <w:trHeight w:val="23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Trade accounts receivable and other receivables, net</w:t>
            </w: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3,598</w:t>
            </w:r>
          </w:p>
        </w:tc>
      </w:tr>
      <w:tr>
        <w:trPr>
          <w:trHeight w:val="226"/>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Inventory</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w:t>
            </w:r>
          </w:p>
        </w:tc>
      </w:tr>
      <w:tr>
        <w:trPr>
          <w:trHeight w:val="23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assets of discontinued operations (Note 2)</w:t>
            </w: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479</w:t>
            </w:r>
          </w:p>
        </w:tc>
      </w:tr>
      <w:tr>
        <w:trPr>
          <w:trHeight w:val="226"/>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current assets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w:t>
            </w:r>
          </w:p>
        </w:tc>
      </w:tr>
      <w:tr>
        <w:trPr>
          <w:trHeight w:val="22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6,164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4,733</w:t>
            </w:r>
          </w:p>
        </w:tc>
      </w:tr>
      <w:tr>
        <w:trPr>
          <w:trHeight w:val="240"/>
        </w:trPr>
        <w:tc>
          <w:tcPr>
            <w:tcW w:w="8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PROPERTY AND EQUIPMENT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22,536</w:t>
            </w:r>
          </w:p>
        </w:tc>
      </w:tr>
      <w:tr>
        <w:trPr>
          <w:trHeight w:val="226"/>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Accumulated depreciation</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(5,814)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(5,676)</w:t>
            </w:r>
          </w:p>
        </w:tc>
      </w:tr>
      <w:tr>
        <w:trPr>
          <w:trHeight w:val="22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16,873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16,860</w:t>
            </w:r>
          </w:p>
        </w:tc>
      </w:tr>
      <w:tr>
        <w:trPr>
          <w:trHeight w:val="240"/>
        </w:trPr>
        <w:tc>
          <w:tcPr>
            <w:tcW w:w="8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6"/>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Investments in unconsolidated entities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2,846</w:t>
            </w:r>
          </w:p>
        </w:tc>
      </w:tr>
      <w:tr>
        <w:trPr>
          <w:trHeight w:val="23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1,754</w:t>
            </w:r>
          </w:p>
        </w:tc>
      </w:tr>
      <w:tr>
        <w:trPr>
          <w:trHeight w:val="226"/>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Linefill</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w:t>
            </w:r>
          </w:p>
        </w:tc>
      </w:tr>
      <w:tr>
        <w:trPr>
          <w:trHeight w:val="23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operating lease right-of-use assets, net</w:t>
            </w: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w:t>
            </w:r>
          </w:p>
        </w:tc>
      </w:tr>
      <w:tr>
        <w:trPr>
          <w:trHeight w:val="226"/>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inventory</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w:t>
            </w:r>
          </w:p>
        </w:tc>
      </w:tr>
      <w:tr>
        <w:trPr>
          <w:trHeight w:val="23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assets of discontinued operations (Note 2)</w:t>
            </w: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w:t>
            </w:r>
          </w:p>
        </w:tc>
      </w:tr>
      <w:tr>
        <w:trPr>
          <w:trHeight w:val="226"/>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long-term assets, net</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w:t>
            </w:r>
          </w:p>
        </w:tc>
      </w:tr>
      <w:tr>
        <w:trPr>
          <w:trHeight w:val="252"/>
        </w:trPr>
        <w:tc>
          <w:tcPr>
            <w:tcW w:w="8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assets</w:t>
            </w:r>
          </w:p>
        </w:tc>
        <w:tc>
          <w:tcPr>
            <w:tcW w:w="26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30,169</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PARTNERS’ CAPITAL</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56"/>
        </w:trPr>
        <w:tc>
          <w:tcPr>
            <w:tcW w:w="8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CURRENT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6"/>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Trade accounts payable</w:t>
            </w:r>
          </w:p>
        </w:tc>
        <w:tc>
          <w:tcPr>
            <w:tcW w:w="2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4,929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3,457</w:t>
            </w:r>
          </w:p>
        </w:tc>
      </w:tr>
      <w:tr>
        <w:trPr>
          <w:trHeight w:val="23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Short-term debt</w:t>
            </w: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563</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 of discontinued operations (Note 2)</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w:t>
            </w:r>
          </w:p>
        </w:tc>
      </w:tr>
      <w:tr>
        <w:trPr>
          <w:trHeight w:val="219"/>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6,544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4,931</w:t>
            </w:r>
          </w:p>
        </w:tc>
      </w:tr>
      <w:tr>
        <w:trPr>
          <w:trHeight w:val="240"/>
        </w:trPr>
        <w:tc>
          <w:tcPr>
            <w:tcW w:w="8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28"/>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LONG-TERM LIABILITIES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Senior notes, net</w:t>
            </w: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9,120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9,118</w:t>
            </w:r>
          </w:p>
        </w:tc>
      </w:tr>
      <w:tr>
        <w:trPr>
          <w:trHeight w:val="226"/>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long-term debt, net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1,578</w:t>
            </w:r>
          </w:p>
        </w:tc>
      </w:tr>
      <w:tr>
        <w:trPr>
          <w:trHeight w:val="23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operating lease liabilities</w:t>
            </w: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w:t>
            </w: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liabilities of discontinued operations (Note 2)</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liabilities and deferred credits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654</w:t>
            </w:r>
          </w:p>
        </w:tc>
      </w:tr>
      <w:tr>
        <w:trPr>
          <w:trHeight w:val="219"/>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Total long-term liabilities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12,272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12,158</w:t>
            </w:r>
          </w:p>
        </w:tc>
      </w:tr>
      <w:tr>
        <w:trPr>
          <w:trHeight w:val="240"/>
        </w:trPr>
        <w:tc>
          <w:tcPr>
            <w:tcW w:w="8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28"/>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COMMITMENTS AND CONTINGENCIES (NOTE 10)</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58"/>
        </w:trPr>
        <w:tc>
          <w:tcPr>
            <w:tcW w:w="82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28"/>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PARTNERS’ CAPITAL</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Series A preferred unitholders (58,411,908 and 58,411,908 units outstanding, respectively)</w:t>
            </w: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1,248</w:t>
            </w:r>
          </w:p>
        </w:tc>
      </w:tr>
      <w:tr>
        <w:trPr>
          <w:trHeight w:val="226"/>
        </w:trPr>
        <w:tc>
          <w:tcPr>
            <w:tcW w:w="8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Series B preferred unitholders (800,000 and 800,000 units outstanding, respectively)</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787</w:t>
            </w:r>
          </w:p>
        </w:tc>
      </w:tr>
      <w:tr>
        <w:trPr>
          <w:trHeight w:val="23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Common unitholders (705,531,683 and 705,520,697 units outstanding, respectively)</w:t>
            </w:r>
          </w:p>
        </w:tc>
        <w:tc>
          <w:tcPr>
            <w:tcW w:w="2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7,565</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7,801</w:t>
            </w:r>
          </w:p>
        </w:tc>
      </w:tr>
      <w:tr>
        <w:trPr>
          <w:trHeight w:val="219"/>
        </w:trPr>
        <w:tc>
          <w:tcPr>
            <w:tcW w:w="8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partners’ capital excluding noncontrolling interests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9,836</w:t>
            </w:r>
          </w:p>
        </w:tc>
      </w:tr>
      <w:tr>
        <w:trPr>
          <w:trHeight w:val="23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Noncontrolling interests</w:t>
            </w:r>
          </w:p>
        </w:tc>
        <w:tc>
          <w:tcPr>
            <w:tcW w:w="2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3,219</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3,244</w:t>
            </w:r>
          </w:p>
        </w:tc>
      </w:tr>
      <w:tr>
        <w:trPr>
          <w:trHeight w:val="219"/>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Total partners’ capital</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12,820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13,080</w:t>
            </w:r>
          </w:p>
        </w:tc>
      </w:tr>
      <w:tr>
        <w:trPr>
          <w:trHeight w:val="252"/>
        </w:trPr>
        <w:tc>
          <w:tcPr>
            <w:tcW w:w="8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liabilities and partners’ capital</w:t>
            </w:r>
          </w:p>
        </w:tc>
        <w:tc>
          <w:tcPr>
            <w:tcW w:w="26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30,169</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21"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40"/>
          </w:cols>
          <w:pgMar w:left="320" w:top="121" w:right="339" w:bottom="0" w:gutter="0" w:footer="0" w:header="0"/>
          <w:type w:val="continuous"/>
        </w:sectPr>
      </w:pPr>
    </w:p>
    <w:bookmarkStart w:id="3" w:name="page4"/>
    <w:bookmarkEnd w:id="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unit data)</w:t>
      </w:r>
    </w:p>
    <w:p>
      <w:pPr>
        <w:spacing w:after="0" w:line="376"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26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8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0" w:type="dxa"/>
            <w:vAlign w:val="bottom"/>
          </w:tcPr>
          <w:p>
            <w:pPr>
              <w:spacing w:after="0"/>
              <w:rPr>
                <w:sz w:val="17"/>
                <w:szCs w:val="17"/>
                <w:color w:val="auto"/>
              </w:rPr>
            </w:pP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Product sales revenues</w:t>
            </w:r>
          </w:p>
        </w:tc>
        <w:tc>
          <w:tcPr>
            <w:tcW w:w="900" w:type="dxa"/>
            <w:vAlign w:val="bottom"/>
          </w:tcPr>
          <w:p>
            <w:pPr>
              <w:jc w:val="right"/>
              <w:ind w:right="72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12,026</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11,046</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Services revenues</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w:t>
            </w:r>
          </w:p>
        </w:tc>
      </w:tr>
      <w:tr>
        <w:trPr>
          <w:trHeight w:val="207"/>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revenues</w:t>
            </w:r>
          </w:p>
        </w:tc>
        <w:tc>
          <w:tcPr>
            <w:tcW w:w="9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12,470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11,477</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and related costs</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11,493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10,517</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Field operating costs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r>
      <w:tr>
        <w:trPr>
          <w:trHeight w:val="21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Gains on asset sales and other, net</w:t>
            </w:r>
          </w:p>
        </w:tc>
        <w:tc>
          <w:tcPr>
            <w:tcW w:w="9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2"/>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costs and expenses</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11,121</w:t>
            </w:r>
          </w:p>
        </w:tc>
      </w:tr>
      <w:tr>
        <w:trPr>
          <w:trHeight w:val="214"/>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w:t>
            </w:r>
          </w:p>
        </w:tc>
      </w:tr>
      <w:tr>
        <w:trPr>
          <w:trHeight w:val="21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INCOME/(EXPENSE)</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earnings in unconsolidated entities</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on investments in unconsolidated entities, net</w:t>
            </w:r>
          </w:p>
        </w:tc>
        <w:tc>
          <w:tcPr>
            <w:tcW w:w="9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 of capitalized interest of $2 and $2, respectively)</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07"/>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CONTINUING OPERATIONS BEFORE TAX</w:t>
            </w:r>
          </w:p>
        </w:tc>
        <w:tc>
          <w:tcPr>
            <w:tcW w:w="9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income tax expense from continuing operations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Deferred income tax (expense)/benefit from continuing operations</w:t>
            </w:r>
          </w:p>
        </w:tc>
        <w:tc>
          <w:tcPr>
            <w:tcW w:w="9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INCOME FROM CONTINUING OPERATIONS, NET OF TAX</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w:t>
            </w:r>
          </w:p>
        </w:tc>
      </w:tr>
      <w:tr>
        <w:trPr>
          <w:trHeight w:val="214"/>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INCOME/(LOSS) FROM DISCONTINUED OPERATIONS, NET OF TAX (NOTE 2)</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r>
      <w:tr>
        <w:trPr>
          <w:trHeight w:val="21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w:t>
            </w:r>
          </w:p>
        </w:tc>
      </w:tr>
      <w:tr>
        <w:trPr>
          <w:trHeight w:val="213"/>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9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237"/>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ATTRIBUTABLE TO PAA</w:t>
            </w:r>
          </w:p>
        </w:tc>
        <w:tc>
          <w:tcPr>
            <w:tcW w:w="900" w:type="dxa"/>
            <w:vAlign w:val="bottom"/>
            <w:tcBorders>
              <w:bottom w:val="single" w:sz="8" w:color="auto"/>
            </w:tcBorders>
            <w:shd w:val="clear" w:color="auto" w:fill="CCEEFF"/>
          </w:tcPr>
          <w:p>
            <w:pPr>
              <w:jc w:val="right"/>
              <w:ind w:right="72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8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0" w:type="dxa"/>
            <w:vAlign w:val="bottom"/>
          </w:tcPr>
          <w:p>
            <w:pPr>
              <w:spacing w:after="0"/>
              <w:rPr>
                <w:sz w:val="9"/>
                <w:szCs w:val="9"/>
                <w:color w:val="auto"/>
              </w:rPr>
            </w:pP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INCOME/(LOSS) PER COMMON UNIT (NOTE 4):</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income/(loss) allocated to common unitholders — Basic and Diluted:</w:t>
            </w: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8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Continuing operations</w:t>
            </w:r>
          </w:p>
        </w:tc>
        <w:tc>
          <w:tcPr>
            <w:tcW w:w="900" w:type="dxa"/>
            <w:vAlign w:val="bottom"/>
            <w:shd w:val="clear" w:color="auto" w:fill="CCEEFF"/>
          </w:tcPr>
          <w:p>
            <w:pPr>
              <w:jc w:val="right"/>
              <w:ind w:right="72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r>
      <w:tr>
        <w:trPr>
          <w:trHeight w:val="213"/>
        </w:trPr>
        <w:tc>
          <w:tcPr>
            <w:tcW w:w="82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Discontinued operations</w:t>
            </w:r>
          </w:p>
        </w:tc>
        <w:tc>
          <w:tcPr>
            <w:tcW w:w="9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w:t>
            </w:r>
          </w:p>
        </w:tc>
      </w:tr>
      <w:tr>
        <w:trPr>
          <w:trHeight w:val="237"/>
        </w:trPr>
        <w:tc>
          <w:tcPr>
            <w:tcW w:w="8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 allocated to common unitholders — Basic and Diluted</w:t>
            </w:r>
          </w:p>
        </w:tc>
        <w:tc>
          <w:tcPr>
            <w:tcW w:w="900" w:type="dxa"/>
            <w:vAlign w:val="bottom"/>
            <w:tcBorders>
              <w:bottom w:val="single" w:sz="8" w:color="auto"/>
            </w:tcBorders>
            <w:shd w:val="clear" w:color="auto" w:fill="CCEEFF"/>
          </w:tcPr>
          <w:p>
            <w:pPr>
              <w:jc w:val="right"/>
              <w:ind w:right="72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16"/>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 and diluted weighted average common units outstanding</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w:t>
            </w:r>
          </w:p>
        </w:tc>
      </w:tr>
      <w:tr>
        <w:trPr>
          <w:trHeight w:val="216"/>
        </w:trPr>
        <w:tc>
          <w:tcPr>
            <w:tcW w:w="8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 and diluted net income/(loss) per common unit:</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3"/>
        </w:trPr>
        <w:tc>
          <w:tcPr>
            <w:tcW w:w="82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Continuing operations</w:t>
            </w:r>
          </w:p>
        </w:tc>
        <w:tc>
          <w:tcPr>
            <w:tcW w:w="900" w:type="dxa"/>
            <w:vAlign w:val="bottom"/>
          </w:tcPr>
          <w:p>
            <w:pPr>
              <w:jc w:val="right"/>
              <w:ind w:right="72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0.30</w:t>
            </w:r>
          </w:p>
        </w:tc>
      </w:tr>
      <w:tr>
        <w:trPr>
          <w:trHeight w:val="216"/>
        </w:trPr>
        <w:tc>
          <w:tcPr>
            <w:tcW w:w="8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Discontinued operations</w:t>
            </w:r>
          </w:p>
        </w:tc>
        <w:tc>
          <w:tcPr>
            <w:tcW w:w="9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0.19</w:t>
            </w:r>
          </w:p>
        </w:tc>
      </w:tr>
      <w:tr>
        <w:trPr>
          <w:trHeight w:val="212"/>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 and diluted net income per common unit</w:t>
            </w:r>
          </w:p>
        </w:tc>
        <w:tc>
          <w:tcPr>
            <w:tcW w:w="900" w:type="dxa"/>
            <w:vAlign w:val="bottom"/>
            <w:tcBorders>
              <w:bottom w:val="single" w:sz="8" w:color="auto"/>
            </w:tcBorders>
          </w:tcPr>
          <w:p>
            <w:pPr>
              <w:jc w:val="right"/>
              <w:ind w:right="72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0.49</w:t>
            </w:r>
          </w:p>
        </w:tc>
      </w:tr>
      <w:tr>
        <w:trPr>
          <w:trHeight w:val="20"/>
        </w:trPr>
        <w:tc>
          <w:tcPr>
            <w:tcW w:w="8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340" w:right="2300"/>
        <w:spacing w:after="0" w:line="278" w:lineRule="auto"/>
        <w:rPr>
          <w:sz w:val="20"/>
          <w:szCs w:val="20"/>
          <w:color w:val="auto"/>
        </w:rPr>
      </w:pPr>
      <w:r>
        <w:rPr>
          <w:rFonts w:ascii="Times New Roman" w:cs="Times New Roman" w:eastAsia="Times New Roman" w:hAnsi="Times New Roman"/>
          <w:sz w:val="18"/>
          <w:szCs w:val="18"/>
          <w:b w:val="1"/>
          <w:bCs w:val="1"/>
          <w:color w:val="auto"/>
        </w:rPr>
        <w:t>PLAINS ALL AMERICAN PIPELINE, L.P. AND SUBSIDIARIES CONDENSED CONSOLIDATED STATEMENTS OF COMPREHENSIVE INCOME (in millions)</w:t>
      </w:r>
    </w:p>
    <w:p>
      <w:pPr>
        <w:spacing w:after="0" w:line="200" w:lineRule="exact"/>
        <w:rPr>
          <w:sz w:val="20"/>
          <w:szCs w:val="20"/>
          <w:color w:val="auto"/>
        </w:rPr>
      </w:pPr>
    </w:p>
    <w:p>
      <w:pPr>
        <w:spacing w:after="0" w:line="223"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26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8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0" w:type="dxa"/>
            <w:vAlign w:val="bottom"/>
          </w:tcPr>
          <w:p>
            <w:pPr>
              <w:spacing w:after="0"/>
              <w:rPr>
                <w:sz w:val="17"/>
                <w:szCs w:val="17"/>
                <w:color w:val="auto"/>
              </w:rPr>
            </w:pPr>
          </w:p>
        </w:tc>
      </w:tr>
      <w:tr>
        <w:trPr>
          <w:trHeight w:val="23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income/(loss)</w:t>
            </w: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99"/>
              </w:rPr>
              <w:t>(49)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r>
      <w:tr>
        <w:trPr>
          <w:trHeight w:val="229"/>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99"/>
              </w:rPr>
              <w:t>(79)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PAA</w:t>
            </w:r>
          </w:p>
        </w:tc>
        <w:tc>
          <w:tcPr>
            <w:tcW w:w="98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3"/>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40" w:type="dxa"/>
            <w:vAlign w:val="bottom"/>
          </w:tcPr>
          <w:p>
            <w:pPr>
              <w:spacing w:after="0"/>
              <w:rPr>
                <w:sz w:val="13"/>
                <w:szCs w:val="13"/>
                <w:color w:val="auto"/>
              </w:rPr>
            </w:pPr>
          </w:p>
        </w:tc>
        <w:tc>
          <w:tcPr>
            <w:tcW w:w="110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3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00" w:type="dxa"/>
            <w:vAlign w:val="bottom"/>
            <w:gridSpan w:val="8"/>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10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(29)</w:t>
            </w:r>
          </w:p>
        </w:tc>
        <w:tc>
          <w:tcPr>
            <w:tcW w:w="2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(872)</w:t>
            </w:r>
          </w:p>
        </w:tc>
        <w:tc>
          <w:tcPr>
            <w:tcW w:w="2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adjustments</w:t>
            </w: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100" w:type="dxa"/>
            <w:vAlign w:val="bottom"/>
          </w:tcPr>
          <w:p>
            <w:pPr>
              <w:spacing w:after="0"/>
              <w:rPr>
                <w:sz w:val="19"/>
                <w:szCs w:val="19"/>
                <w:color w:val="auto"/>
              </w:rPr>
            </w:pP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period activity</w:t>
            </w:r>
          </w:p>
        </w:tc>
        <w:tc>
          <w:tcPr>
            <w:tcW w:w="1100" w:type="dxa"/>
            <w:vAlign w:val="bottom"/>
            <w:tcBorders>
              <w:top w:val="single" w:sz="8" w:color="auto"/>
              <w:bottom w:val="single" w:sz="8" w:color="auto"/>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2026</w:t>
            </w:r>
          </w:p>
        </w:tc>
        <w:tc>
          <w:tcPr>
            <w:tcW w:w="110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(28)</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(922)</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0" w:type="dxa"/>
            <w:vAlign w:val="bottom"/>
          </w:tcPr>
          <w:p>
            <w:pPr>
              <w:spacing w:after="0"/>
              <w:rPr>
                <w:sz w:val="1"/>
                <w:szCs w:val="1"/>
                <w:color w:val="auto"/>
              </w:rPr>
            </w:pPr>
          </w:p>
        </w:tc>
      </w:tr>
      <w:tr>
        <w:trPr>
          <w:trHeight w:val="21"/>
        </w:trPr>
        <w:tc>
          <w:tcPr>
            <w:tcW w:w="5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2"/>
        </w:trPr>
        <w:tc>
          <w:tcPr>
            <w:tcW w:w="5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340" w:type="dxa"/>
            <w:vAlign w:val="bottom"/>
          </w:tcPr>
          <w:p>
            <w:pPr>
              <w:spacing w:after="0"/>
              <w:rPr>
                <w:sz w:val="24"/>
                <w:szCs w:val="24"/>
                <w:color w:val="auto"/>
              </w:rPr>
            </w:pPr>
          </w:p>
        </w:tc>
        <w:tc>
          <w:tcPr>
            <w:tcW w:w="1100" w:type="dxa"/>
            <w:vAlign w:val="bottom"/>
            <w:vMerge w:val="restart"/>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adjustments</w:t>
            </w: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loss on hedges</w:t>
            </w: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period activity</w:t>
            </w:r>
          </w:p>
        </w:tc>
        <w:tc>
          <w:tcPr>
            <w:tcW w:w="110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1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68"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26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8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20" w:type="dxa"/>
            <w:vAlign w:val="bottom"/>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0" w:type="dxa"/>
            <w:vAlign w:val="bottom"/>
          </w:tcPr>
          <w:p>
            <w:pPr>
              <w:spacing w:after="0"/>
              <w:rPr>
                <w:sz w:val="17"/>
                <w:szCs w:val="17"/>
                <w:color w:val="auto"/>
              </w:rPr>
            </w:pP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960" w:type="dxa"/>
            <w:vAlign w:val="bottom"/>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Reconciliation of net income to net cash provided by operating activities:</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(Income)/loss from discontinued operations, net of tax</w:t>
            </w:r>
          </w:p>
        </w:tc>
        <w:tc>
          <w:tcPr>
            <w:tcW w:w="9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Gains on asset sales and other, net</w:t>
            </w:r>
          </w:p>
        </w:tc>
        <w:tc>
          <w:tcPr>
            <w:tcW w:w="9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income tax expense/(benefit)</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Equity earnings in unconsolidated entities</w:t>
            </w:r>
          </w:p>
        </w:tc>
        <w:tc>
          <w:tcPr>
            <w:tcW w:w="9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Distributions on earnings from unconsolidated entities</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on investments in unconsolidated entities, net</w:t>
            </w:r>
          </w:p>
        </w:tc>
        <w:tc>
          <w:tcPr>
            <w:tcW w:w="96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3"/>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Changes in assets and liabilities, net of acquisitions</w:t>
            </w:r>
          </w:p>
        </w:tc>
        <w:tc>
          <w:tcPr>
            <w:tcW w:w="9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w:t>
            </w:r>
          </w:p>
        </w:tc>
      </w:tr>
      <w:tr>
        <w:trPr>
          <w:trHeight w:val="212"/>
        </w:trPr>
        <w:tc>
          <w:tcPr>
            <w:tcW w:w="82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Cash provided by operating activities - continuing operations</w:t>
            </w: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w:t>
            </w:r>
          </w:p>
        </w:tc>
      </w:tr>
      <w:tr>
        <w:trPr>
          <w:trHeight w:val="213"/>
        </w:trPr>
        <w:tc>
          <w:tcPr>
            <w:tcW w:w="82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Cash provided by operating activities - discontinued operations</w:t>
            </w:r>
          </w:p>
        </w:tc>
        <w:tc>
          <w:tcPr>
            <w:tcW w:w="9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w:t>
            </w:r>
          </w:p>
        </w:tc>
      </w:tr>
      <w:tr>
        <w:trPr>
          <w:trHeight w:val="212"/>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9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w:t>
            </w:r>
          </w:p>
        </w:tc>
      </w:tr>
      <w:tr>
        <w:trPr>
          <w:trHeight w:val="207"/>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in connection with acquisitions, net of cash acquired</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w:t>
            </w: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Additions to property, equipment and other</w:t>
            </w:r>
          </w:p>
        </w:tc>
        <w:tc>
          <w:tcPr>
            <w:tcW w:w="9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purchases of linefill</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sales of assets</w:t>
            </w:r>
          </w:p>
        </w:tc>
        <w:tc>
          <w:tcPr>
            <w:tcW w:w="9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 in related party notes</w:t>
            </w:r>
          </w:p>
        </w:tc>
        <w:tc>
          <w:tcPr>
            <w:tcW w:w="9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w:t>
            </w:r>
          </w:p>
        </w:tc>
      </w:tr>
      <w:tr>
        <w:trPr>
          <w:trHeight w:val="207"/>
        </w:trPr>
        <w:tc>
          <w:tcPr>
            <w:tcW w:w="8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Cash used in investing activities - continuing operations</w:t>
            </w:r>
          </w:p>
        </w:tc>
        <w:tc>
          <w:tcPr>
            <w:tcW w:w="96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(1,097)</w:t>
            </w:r>
          </w:p>
        </w:tc>
      </w:tr>
      <w:tr>
        <w:trPr>
          <w:trHeight w:val="219"/>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used in investing activities - discontinued operations</w:t>
            </w: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r>
      <w:tr>
        <w:trPr>
          <w:trHeight w:val="207"/>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9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(1,149)</w:t>
            </w:r>
          </w:p>
        </w:tc>
      </w:tr>
      <w:tr>
        <w:trPr>
          <w:trHeight w:val="21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borrowings under commercial paper program (Note 6)</w:t>
            </w:r>
          </w:p>
        </w:tc>
        <w:tc>
          <w:tcPr>
            <w:tcW w:w="9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the issuance of senior notes (Note 6)</w:t>
            </w:r>
          </w:p>
        </w:tc>
        <w:tc>
          <w:tcPr>
            <w:tcW w:w="9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w:t>
            </w: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the issuance of related party notes</w:t>
            </w:r>
          </w:p>
        </w:tc>
        <w:tc>
          <w:tcPr>
            <w:tcW w:w="96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Series A preferred units</w:t>
            </w:r>
          </w:p>
        </w:tc>
        <w:tc>
          <w:tcPr>
            <w:tcW w:w="9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paid to Series A preferred unitholders (Note 7)</w:t>
            </w:r>
          </w:p>
        </w:tc>
        <w:tc>
          <w:tcPr>
            <w:tcW w:w="9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paid to Series B preferred unitholders (Note 7)</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paid to common unitholders (Note 7)</w:t>
            </w:r>
          </w:p>
        </w:tc>
        <w:tc>
          <w:tcPr>
            <w:tcW w:w="9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paid to noncontrolling interests (Note 7)</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Contributions from noncontrolling interests</w:t>
            </w:r>
          </w:p>
        </w:tc>
        <w:tc>
          <w:tcPr>
            <w:tcW w:w="96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financing activities</w:t>
            </w: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183"/>
        </w:trPr>
        <w:tc>
          <w:tcPr>
            <w:tcW w:w="8260" w:type="dxa"/>
            <w:vAlign w:val="bottom"/>
          </w:tcPr>
          <w:p>
            <w:pPr>
              <w:ind w:left="360"/>
              <w:spacing w:after="0" w:line="183" w:lineRule="exact"/>
              <w:rPr>
                <w:sz w:val="20"/>
                <w:szCs w:val="20"/>
                <w:color w:val="auto"/>
              </w:rPr>
            </w:pPr>
            <w:r>
              <w:rPr>
                <w:rFonts w:ascii="Times New Roman" w:cs="Times New Roman" w:eastAsia="Times New Roman" w:hAnsi="Times New Roman"/>
                <w:sz w:val="16"/>
                <w:szCs w:val="16"/>
                <w:color w:val="auto"/>
              </w:rPr>
              <w:t>Net cash provided by/(used in) financing activities</w:t>
            </w:r>
          </w:p>
        </w:tc>
        <w:tc>
          <w:tcPr>
            <w:tcW w:w="9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(339)</w:t>
            </w:r>
          </w:p>
        </w:tc>
        <w:tc>
          <w:tcPr>
            <w:tcW w:w="1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590</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translation adjustment - continuing operations</w:t>
            </w: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increase/(decrease) in cash and cash equivalents and restricted cash</w:t>
            </w:r>
          </w:p>
        </w:tc>
        <w:tc>
          <w:tcPr>
            <w:tcW w:w="9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r>
      <w:tr>
        <w:trPr>
          <w:trHeight w:val="21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beginning of period</w:t>
            </w: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w:t>
            </w:r>
          </w:p>
        </w:tc>
      </w:tr>
      <w:tr>
        <w:trPr>
          <w:trHeight w:val="183"/>
        </w:trPr>
        <w:tc>
          <w:tcPr>
            <w:tcW w:w="826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Cash and cash equivalents and restricted cash, end of period</w:t>
            </w:r>
          </w:p>
        </w:tc>
        <w:tc>
          <w:tcPr>
            <w:tcW w:w="960" w:type="dxa"/>
            <w:vAlign w:val="bottom"/>
            <w:tcBorders>
              <w:bottom w:val="single" w:sz="8" w:color="auto"/>
            </w:tcBorders>
          </w:tcPr>
          <w:p>
            <w:pPr>
              <w:jc w:val="right"/>
              <w:ind w:right="781"/>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171</w:t>
            </w:r>
          </w:p>
        </w:tc>
        <w:tc>
          <w:tcPr>
            <w:tcW w:w="100" w:type="dxa"/>
            <w:vAlign w:val="bottom"/>
          </w:tcPr>
          <w:p>
            <w:pPr>
              <w:spacing w:after="0"/>
              <w:rPr>
                <w:sz w:val="15"/>
                <w:szCs w:val="15"/>
                <w:color w:val="auto"/>
              </w:rPr>
            </w:pPr>
          </w:p>
        </w:tc>
        <w:tc>
          <w:tcPr>
            <w:tcW w:w="440" w:type="dxa"/>
            <w:vAlign w:val="bottom"/>
            <w:tcBorders>
              <w:bottom w:val="single" w:sz="8" w:color="auto"/>
            </w:tcBorders>
          </w:tcPr>
          <w:p>
            <w:pPr>
              <w:jc w:val="right"/>
              <w:ind w:right="25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427</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w:t>
            </w: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3"/>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net of amounts capitalized</w:t>
            </w:r>
          </w:p>
        </w:tc>
        <w:tc>
          <w:tcPr>
            <w:tcW w:w="960" w:type="dxa"/>
            <w:vAlign w:val="bottom"/>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r>
      <w:tr>
        <w:trPr>
          <w:trHeight w:val="21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taxes, net of amounts refunded</w:t>
            </w:r>
          </w:p>
        </w:tc>
        <w:tc>
          <w:tcPr>
            <w:tcW w:w="960" w:type="dxa"/>
            <w:vAlign w:val="bottom"/>
            <w:shd w:val="clear" w:color="auto" w:fill="CCEEFF"/>
          </w:tcPr>
          <w:p>
            <w:pPr>
              <w:jc w:val="right"/>
              <w:ind w:right="781"/>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bl>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PLAINS ALL AMERICAN PIPELINE, L.P. AND SUBSIDIARIES CONDENSED CONSOLIDATED STATEMENTS OF CHANGES IN PARTNERS’ CAPITAL (in millions)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Limited Partners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Partners’</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3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Preferred Unitholders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Capital Excluding</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68"/>
        </w:trPr>
        <w:tc>
          <w:tcPr>
            <w:tcW w:w="316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restart"/>
          </w:tcPr>
          <w:p>
            <w:pPr>
              <w:jc w:val="center"/>
              <w:ind w:right="300"/>
              <w:spacing w:after="0" w:line="122" w:lineRule="exact"/>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5"/>
                <w:szCs w:val="5"/>
                <w:color w:val="auto"/>
              </w:rPr>
            </w:pPr>
          </w:p>
        </w:tc>
        <w:tc>
          <w:tcPr>
            <w:tcW w:w="1220" w:type="dxa"/>
            <w:vAlign w:val="bottom"/>
            <w:gridSpan w:val="2"/>
            <w:vMerge w:val="restart"/>
          </w:tcPr>
          <w:p>
            <w:pPr>
              <w:jc w:val="center"/>
              <w:ind w:right="260"/>
              <w:spacing w:after="0" w:line="122"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40" w:type="dxa"/>
            <w:vAlign w:val="bottom"/>
          </w:tcPr>
          <w:p>
            <w:pPr>
              <w:spacing w:after="0"/>
              <w:rPr>
                <w:sz w:val="5"/>
                <w:szCs w:val="5"/>
                <w:color w:val="auto"/>
              </w:rPr>
            </w:pPr>
          </w:p>
        </w:tc>
        <w:tc>
          <w:tcPr>
            <w:tcW w:w="124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220" w:type="dxa"/>
            <w:vAlign w:val="bottom"/>
          </w:tcPr>
          <w:p>
            <w:pPr>
              <w:spacing w:after="0"/>
              <w:rPr>
                <w:sz w:val="5"/>
                <w:szCs w:val="5"/>
                <w:color w:val="auto"/>
              </w:rPr>
            </w:pPr>
          </w:p>
        </w:tc>
        <w:tc>
          <w:tcPr>
            <w:tcW w:w="1040" w:type="dxa"/>
            <w:vAlign w:val="bottom"/>
            <w:vMerge w:val="restart"/>
          </w:tcPr>
          <w:p>
            <w:pPr>
              <w:jc w:val="center"/>
              <w:ind w:right="135"/>
              <w:spacing w:after="0" w:line="122" w:lineRule="exact"/>
              <w:rPr>
                <w:sz w:val="20"/>
                <w:szCs w:val="20"/>
                <w:color w:val="auto"/>
              </w:rPr>
            </w:pPr>
            <w:r>
              <w:rPr>
                <w:rFonts w:ascii="Times New Roman" w:cs="Times New Roman" w:eastAsia="Times New Roman" w:hAnsi="Times New Roman"/>
                <w:sz w:val="14"/>
                <w:szCs w:val="14"/>
                <w:b w:val="1"/>
                <w:bCs w:val="1"/>
                <w:color w:val="auto"/>
              </w:rPr>
              <w:t>Partners’</w:t>
            </w:r>
          </w:p>
        </w:tc>
        <w:tc>
          <w:tcPr>
            <w:tcW w:w="0" w:type="dxa"/>
            <w:vAlign w:val="bottom"/>
          </w:tcPr>
          <w:p>
            <w:pPr>
              <w:spacing w:after="0"/>
              <w:rPr>
                <w:sz w:val="1"/>
                <w:szCs w:val="1"/>
                <w:color w:val="auto"/>
              </w:rPr>
            </w:pPr>
          </w:p>
        </w:tc>
      </w:tr>
      <w:tr>
        <w:trPr>
          <w:trHeight w:val="34"/>
        </w:trPr>
        <w:tc>
          <w:tcPr>
            <w:tcW w:w="3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880" w:type="dxa"/>
            <w:vAlign w:val="bottom"/>
            <w:vMerge w:val="restart"/>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3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Unitholders</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0" w:type="dxa"/>
            <w:vAlign w:val="bottom"/>
          </w:tcPr>
          <w:p>
            <w:pPr>
              <w:spacing w:after="0"/>
              <w:rPr>
                <w:sz w:val="1"/>
                <w:szCs w:val="1"/>
                <w:color w:val="auto"/>
              </w:rPr>
            </w:pPr>
          </w:p>
        </w:tc>
      </w:tr>
      <w:tr>
        <w:trPr>
          <w:trHeight w:val="195"/>
        </w:trPr>
        <w:tc>
          <w:tcPr>
            <w:tcW w:w="3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4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787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13,080</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1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Distributions (Note 7)</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29"/>
        </w:trPr>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comprehensive loss</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2026</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787</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7,565</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12,820</w:t>
            </w:r>
          </w:p>
        </w:tc>
        <w:tc>
          <w:tcPr>
            <w:tcW w:w="0" w:type="dxa"/>
            <w:vAlign w:val="bottom"/>
          </w:tcPr>
          <w:p>
            <w:pPr>
              <w:spacing w:after="0"/>
              <w:rPr>
                <w:sz w:val="1"/>
                <w:szCs w:val="1"/>
                <w:color w:val="auto"/>
              </w:rPr>
            </w:pPr>
          </w:p>
        </w:tc>
      </w:tr>
      <w:tr>
        <w:trPr>
          <w:trHeight w:val="21"/>
        </w:trPr>
        <w:tc>
          <w:tcPr>
            <w:tcW w:w="3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7"/>
        </w:trPr>
        <w:tc>
          <w:tcPr>
            <w:tcW w:w="3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Limited Partners</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Partners’</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3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Preferred Unitholders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Capital Excluding</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68"/>
        </w:trPr>
        <w:tc>
          <w:tcPr>
            <w:tcW w:w="316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restart"/>
          </w:tcPr>
          <w:p>
            <w:pPr>
              <w:jc w:val="center"/>
              <w:ind w:right="300"/>
              <w:spacing w:after="0" w:line="122" w:lineRule="exact"/>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5"/>
                <w:szCs w:val="5"/>
                <w:color w:val="auto"/>
              </w:rPr>
            </w:pPr>
          </w:p>
        </w:tc>
        <w:tc>
          <w:tcPr>
            <w:tcW w:w="1220" w:type="dxa"/>
            <w:vAlign w:val="bottom"/>
            <w:gridSpan w:val="2"/>
            <w:vMerge w:val="restart"/>
          </w:tcPr>
          <w:p>
            <w:pPr>
              <w:jc w:val="center"/>
              <w:ind w:right="260"/>
              <w:spacing w:after="0" w:line="122"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40" w:type="dxa"/>
            <w:vAlign w:val="bottom"/>
          </w:tcPr>
          <w:p>
            <w:pPr>
              <w:spacing w:after="0"/>
              <w:rPr>
                <w:sz w:val="5"/>
                <w:szCs w:val="5"/>
                <w:color w:val="auto"/>
              </w:rPr>
            </w:pPr>
          </w:p>
        </w:tc>
        <w:tc>
          <w:tcPr>
            <w:tcW w:w="124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220" w:type="dxa"/>
            <w:vAlign w:val="bottom"/>
          </w:tcPr>
          <w:p>
            <w:pPr>
              <w:spacing w:after="0"/>
              <w:rPr>
                <w:sz w:val="5"/>
                <w:szCs w:val="5"/>
                <w:color w:val="auto"/>
              </w:rPr>
            </w:pPr>
          </w:p>
        </w:tc>
        <w:tc>
          <w:tcPr>
            <w:tcW w:w="1040" w:type="dxa"/>
            <w:vAlign w:val="bottom"/>
            <w:vMerge w:val="restart"/>
          </w:tcPr>
          <w:p>
            <w:pPr>
              <w:jc w:val="center"/>
              <w:ind w:right="135"/>
              <w:spacing w:after="0" w:line="122" w:lineRule="exact"/>
              <w:rPr>
                <w:sz w:val="20"/>
                <w:szCs w:val="20"/>
                <w:color w:val="auto"/>
              </w:rPr>
            </w:pPr>
            <w:r>
              <w:rPr>
                <w:rFonts w:ascii="Times New Roman" w:cs="Times New Roman" w:eastAsia="Times New Roman" w:hAnsi="Times New Roman"/>
                <w:sz w:val="14"/>
                <w:szCs w:val="14"/>
                <w:b w:val="1"/>
                <w:bCs w:val="1"/>
                <w:color w:val="auto"/>
              </w:rPr>
              <w:t>Partners’</w:t>
            </w:r>
          </w:p>
        </w:tc>
        <w:tc>
          <w:tcPr>
            <w:tcW w:w="0" w:type="dxa"/>
            <w:vAlign w:val="bottom"/>
          </w:tcPr>
          <w:p>
            <w:pPr>
              <w:spacing w:after="0"/>
              <w:rPr>
                <w:sz w:val="1"/>
                <w:szCs w:val="1"/>
                <w:color w:val="auto"/>
              </w:rPr>
            </w:pPr>
          </w:p>
        </w:tc>
      </w:tr>
      <w:tr>
        <w:trPr>
          <w:trHeight w:val="34"/>
        </w:trPr>
        <w:tc>
          <w:tcPr>
            <w:tcW w:w="3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880" w:type="dxa"/>
            <w:vAlign w:val="bottom"/>
            <w:vMerge w:val="restart"/>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Unitholders</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0" w:type="dxa"/>
            <w:vAlign w:val="bottom"/>
          </w:tcPr>
          <w:p>
            <w:pPr>
              <w:spacing w:after="0"/>
              <w:rPr>
                <w:sz w:val="1"/>
                <w:szCs w:val="1"/>
                <w:color w:val="auto"/>
              </w:rPr>
            </w:pPr>
          </w:p>
        </w:tc>
      </w:tr>
      <w:tr>
        <w:trPr>
          <w:trHeight w:val="196"/>
        </w:trPr>
        <w:tc>
          <w:tcPr>
            <w:tcW w:w="3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4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3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787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13,096</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386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443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Distributions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30"/>
        </w:trPr>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Repurchase of Series A preferred units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175"/>
        </w:trPr>
        <w:tc>
          <w:tcPr>
            <w:tcW w:w="316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Contributions from noncontrolling</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interests</w:t>
            </w:r>
          </w:p>
        </w:tc>
        <w:tc>
          <w:tcPr>
            <w:tcW w:w="24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1"/>
                <w:szCs w:val="21"/>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787</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12,860</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1—Organization and Basis of Consolidation and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229"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Plains All American Pipeline, L.P. (“PAA”) is a publicly-traded Delaware limited partnership formed in 1998. Our operations are conducted directly and indirectly through our primary operating subsidiaries. As used in this Form 10-Q and unless the context indicates otherwise, the terms “Partnership,” “we,” “us,” “our,” “ours” and similar terms refer to PAA and its subsidiaries.</w:t>
      </w:r>
    </w:p>
    <w:p>
      <w:pPr>
        <w:spacing w:after="0" w:line="176"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Our business model integrates large-scale supply aggregation capabilities with the ownership and operation of critical midstream infrastructure systems that connect major producing regions to key demand centers and export terminals. As one of the largest crude oil midstream service providers in North America, we own an extensive network of pipeline transportation, terminalling, storage and gathering assets in key crude oil producing basins (including the Permian Basin) and transportation corridors and at major market hubs in the United States and Canada. Our assets and the services we provide are primarily focused on and conducted through two operating segments: Crude Oil and Natural Gas Liquids (“NGL”). See Note 11 for further discussion of our operating segments.</w:t>
      </w:r>
    </w:p>
    <w:p>
      <w:pPr>
        <w:spacing w:after="0" w:line="187"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Our non-economic general partner interest is held by PAA GP LLC (“PAA GP”), a Delaware limited liability company, whose sole member is Plains AAP, L.P. (“AAP”), a Delaware limited partnership. In addition to its ownership of PAA GP, as of March 31, 2026, AAP also owned a limited partner interest in us through its ownership of approximately 233.0 million of our common units (approximately 31% of our total outstanding common units and Series A preferred units combined). Plains All American GP LLC (“GP LLC”), a Delaware limited liability company, is AAP’s general partner. Plains GP Holdings, L.P. (“PAGP”) is the sole and managing member of GP LLC, and, at March 31, 2026, owned an approximate 85% limited partner interest in AAP. PAA GP Holdings LLC (“PAGP GP”) is the general partner of PAGP.</w:t>
      </w:r>
    </w:p>
    <w:p>
      <w:pPr>
        <w:spacing w:after="0" w:line="18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As the sole member of GP LLC, PAGP has responsibility for conducting our business and managing our operations; however, the board of directors of PAGP GP has ultimate responsibility for managing the business and affairs of PAGP, AAP and us. GP LLC employs our domestic officers and personnel; our Canadian officers and personnel are employed by our subsidiary, Plains Midstream Canada ULC (“PMC ULC”).</w:t>
      </w:r>
    </w:p>
    <w:p>
      <w:pPr>
        <w:spacing w:after="0" w:line="203"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References to our “general partner,” as the context requires, include any or all of PAGP GP, PAGP, GP LLC, AAP and PAA GP. References to “Plains entities,” as the context requires, include us, our subsidiaries and our general partner.</w:t>
      </w:r>
    </w:p>
    <w:p>
      <w:pPr>
        <w:spacing w:after="0" w:line="200" w:lineRule="exact"/>
        <w:rPr>
          <w:sz w:val="20"/>
          <w:szCs w:val="20"/>
          <w:color w:val="auto"/>
        </w:rPr>
      </w:pPr>
    </w:p>
    <w:p>
      <w:pPr>
        <w:spacing w:after="0" w:line="34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 defined terms may be used in this Form 10-Q and shall have the meanings indicated below:</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AOCI</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income/(loss)</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ASC</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Accounting Standards Codification</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ASU</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Accounting Standards Update</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CAD</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Canadian dollar</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CODM</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Chief Operating Decision Maker</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Earnings before interest, taxes, depreciation and amortization</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FASB</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GAAP</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Generally accepted accounting principles in the United States</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ICE</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Intercontinental Exchange</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ISDA</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International Swaps and Derivatives Association</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NGL</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Natural gas liquids, including ethane, propane and butane</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NYMEX</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New York Mercantile Exchange</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SEC</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SOFR</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Secured Overnight Financing Rate</w:t>
            </w: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TWh</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Terawatt hour</w:t>
            </w:r>
          </w:p>
        </w:tc>
      </w:t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USD</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 dollar</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 and Presentation</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interim financial statements and related notes thereto should be read in conjunction with our 2025 Annual Report on Form 10-K. The accompanying condensed consolidated financial statements include the accounts of PAA and all of its wholly-owned subsidiaries and those entities that it controls. Investments in entities over which we have significant influence but not control are accounted for by the equity method. We apply proportionate consolidation for pipelines and other assets in which we own undivided joint interests. Our reporting currency is U.S. dollars, and all references to dollars are U.S. dollars, unless stated otherwise.</w:t>
      </w:r>
    </w:p>
    <w:p>
      <w:pPr>
        <w:spacing w:after="0" w:line="210"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The financial statements have been prepared in accordance with the instructions for interim reporting as set forth by the SEC. The condensed consolidated balance sheet data as of December 31, 2025 was derived from audited financial statements, but does not include all disclosures required by GAAP. The results of operations for the three months ended March 31, 2026 should not be taken as indicative of results to be expected for the entire year. All adjustments (consisting only of normal recurring adjustments) that in the opinion of management were necessary for a fair statement of the results for the interim periods have been reflected. All significant intercompany balances and transactions have been eliminated in consolidation, and certain reclassifications have been made to information from previous years to conform to the current presentation. These reclassifications had no impact on net income or total partners’ capital.</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Pending Sale of Canadian NGL Business</w:t>
      </w:r>
    </w:p>
    <w:p>
      <w:pPr>
        <w:spacing w:after="0" w:line="254"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On June 17, 2025, we entered into a definitive Share Purchase Agreement (“SPA”) with Keyera Corp. (“Keyera”), an Alberta corporation, pursuant to which Keyera agreed to acquire all of the issued and outstanding shares of PMC ULC, our wholly-owned subsidiary that owns substantially all of our NGL business in Canada (the “Canadian NGL Business”), for cash consideration of approximately CAD$5.15 billion (approximately $3.75 billion), subject to certain post-closing adjustments, as defined in the SPA. This transaction is expected to close in May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determined that in conjunction with entering into the SPA, the operations of the Canadian NGL Business meet the criteria for classification as held for sale and for discontinued operations reporting, as the sale will represent a strategic shift that will have a major effect on our operations and financial results. Accordingly, the assets and liabilities of the Canadian NGL Business have been classified as held for sale, and the balance sheet, results of operations and cash flows of the Canadian NGL Business have been presented as discontinued operations in our condensed consolidated financial statements. Unless otherwise indicated, the disclosures included within the accompanying notes to the condensed consolidated financial statements relate to our continuing operations and exclude amounts related to discontinued operations. These changes have been applied retrospectively to all periods presented. Discontinued operations are not presented separately within our Condensed Consolidated Statements of Comprehensive Income, Condensed Consolidated Statements of Changes in Accumulated Other Comprehensive Income/(Loss) or the Condensed Consolidated Statements of Changes in Partners’ Capital. See Note 2 for additional information regarding discontinued operations. All significant intercompany balances and transactions between the Canadian NGL Business and our continuing operations have been eliminated.</w:t>
      </w:r>
    </w:p>
    <w:p>
      <w:pPr>
        <w:spacing w:after="0" w:line="221"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As part of the sale, we will divest the Canadian NGL Business, which includes substantially all of our NGL assets; the NGL assets that we will retain are located in the United States. Prior to its classification as held for sale and presentation as discontinued operations, the Canadian NGL Business was part of our NGL reportable segment.</w:t>
      </w:r>
    </w:p>
    <w:p>
      <w:pPr>
        <w:spacing w:after="0" w:line="203"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In June 2025, we entered into a forward currency instrument to hedge currency exchange risk associated with anticipated proceeds from the pending sale of our Canadian NGL Business. See Note 8 for additional information.</w:t>
      </w:r>
    </w:p>
    <w:p>
      <w:pPr>
        <w:spacing w:after="0" w:line="189" w:lineRule="exact"/>
        <w:rPr>
          <w:sz w:val="20"/>
          <w:szCs w:val="20"/>
          <w:color w:val="auto"/>
        </w:rPr>
      </w:pPr>
    </w:p>
    <w:p>
      <w:pPr>
        <w:ind w:right="120" w:firstLine="648"/>
        <w:spacing w:after="0" w:line="273" w:lineRule="auto"/>
        <w:rPr>
          <w:sz w:val="20"/>
          <w:szCs w:val="20"/>
          <w:color w:val="auto"/>
        </w:rPr>
      </w:pPr>
      <w:r>
        <w:rPr>
          <w:rFonts w:ascii="Times New Roman" w:cs="Times New Roman" w:eastAsia="Times New Roman" w:hAnsi="Times New Roman"/>
          <w:sz w:val="17"/>
          <w:szCs w:val="17"/>
          <w:color w:val="auto"/>
        </w:rPr>
        <w:t>In connection with and contingent upon closing of the pending sale, we and Keyera entered into an agreement for certain hedging arrangements and payments relating to the differential between the price of natural gas and the extracted NGL commodities (“Frac Spread”) for a twelve-month period commencing the first month after the closing date. As a result of this arrangement, we will guarantee a minimum Frac Spread margin on certain volumes. The recognition of an asset or liability will be dependent upon the terms of the specific contracts transferred as part of the sale of the Canadian NGL Business and the market conditions at that time the sale closes. We do not expect any liability we might recognize as a result of this agreement to have a material adverse effect on our consolidated financial condition, results of operations or cash flows; for example, if the sale closed during May 2026, based on existing contracts to be transferred and current market conditions as of March 31, 2026, we would recognize a liability of approximately $15 million.</w:t>
      </w:r>
    </w:p>
    <w:p>
      <w:pPr>
        <w:spacing w:after="0" w:line="198"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Additionally, in connection with the pending Canadian NGL Business divestiture, we have continued to progress certain planning and restructuring activities within our organizational structure. Certain of these activities had income tax consequences that required recognition during the first quarter of 2026. PMC ULC contributed its crude oil assets to a newly formed, wholly-owned subsidiary, Plains Canada Liquid Pipelines ULC (“PCLP”). While this transaction is among entities under common control and recorded at a carry-over basis under GAAP, the applicable Canadian tax law recognizes the transaction at fair value, resulting in a new tax basis to PCLP as of March 31, 2026. Therefore, the transaction creates current tax expense of approximately $216 million as a result of basis recapture and capital gains taxed at the applicable rates. The transaction also created an approximately offsetting deferred tax benefit primarily resulting from the new tax basis in the assets received by PCLP. Since the transaction relates to our crude oil business, the tax impacts are presented in “Current income tax expense from continuing operations” and “Deferred income tax (expense)/benefit from continuing operations,” respectively, on our Condensed Consolidated Statements of Operations. Should the Canadian NGL Business divestiture not close due to unforeseen circumstances, we will evaluate options available to us under Canadian tax law that would materially reverse the current income tax expense and deferred income tax benefit described herein. Plans for certain future activities were finalized in the quarter and required recognition of tax expense that is presented within “Income from Discontinued Operations, Net of Tax” on our Condensed Consolidated Statements of Operations and is further discussed in Note 2.</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Subsequent Events</w:t>
      </w:r>
    </w:p>
    <w:p>
      <w:pPr>
        <w:spacing w:after="0" w:line="256"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Subsequent events have been evaluated through the financial statements issuance date and have been included in the following footnotes where applicable.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Disclosure Rules and Other Legislation</w:t>
      </w:r>
    </w:p>
    <w:p>
      <w:pPr>
        <w:spacing w:after="0" w:line="256"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Except as discussed in our 2025 Annual Report on Form 10-K, there have been no new accounting pronouncements that have become effective or have been issued during the three months ended March 31, 2026 that are of significance or potential significance to us.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Discontinued Operations</w:t>
      </w:r>
    </w:p>
    <w:p>
      <w:pPr>
        <w:spacing w:after="0" w:line="25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operations of the Canadian NGL Business meet the criteria for classification as held for sale and for discontinued operations reporting. The Canadian NGL Business disposal group is recorded at its historical carrying value, as the fair value of the disposal group, less estimated costs to sell, is greater than the carrying value of the Canadian NGL Business disposal group. Depreciation and amortization on the long-lived assets of the Canadian NGL Business disposal group ceased upon meeting the criteria to be classified as assets held for sale. See Note 1 for information regarding the pending sale of the Canadian NGL Business.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carrying amounts of major classes of assets and liabilities of discontinued operations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2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3880" w:type="dxa"/>
            <w:vAlign w:val="bottom"/>
            <w:tcBorders>
              <w:bottom w:val="single" w:sz="8" w:color="CCEEFF"/>
            </w:tcBorders>
          </w:tcPr>
          <w:p>
            <w:pPr>
              <w:spacing w:after="0"/>
              <w:rPr>
                <w:sz w:val="16"/>
                <w:szCs w:val="16"/>
                <w:color w:val="auto"/>
              </w:rPr>
            </w:pPr>
          </w:p>
        </w:tc>
        <w:tc>
          <w:tcPr>
            <w:tcW w:w="43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4"/>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82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Trade accounts receivable and other receivables, net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29"/>
        </w:trPr>
        <w:tc>
          <w:tcPr>
            <w:tcW w:w="82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30"/>
        </w:trPr>
        <w:tc>
          <w:tcPr>
            <w:tcW w:w="82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8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current assets of discontinued operations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r>
      <w:tr>
        <w:trPr>
          <w:trHeight w:val="270"/>
        </w:trPr>
        <w:tc>
          <w:tcPr>
            <w:tcW w:w="3880" w:type="dxa"/>
            <w:vAlign w:val="bottom"/>
            <w:shd w:val="clear" w:color="auto" w:fill="CCEEFF"/>
          </w:tcPr>
          <w:p>
            <w:pPr>
              <w:spacing w:after="0"/>
              <w:rPr>
                <w:sz w:val="23"/>
                <w:szCs w:val="23"/>
                <w:color w:val="auto"/>
              </w:rPr>
            </w:pPr>
          </w:p>
        </w:tc>
        <w:tc>
          <w:tcPr>
            <w:tcW w:w="43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30"/>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Long-term assets: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8260" w:type="dxa"/>
            <w:vAlign w:val="bottom"/>
            <w:gridSpan w:val="2"/>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Property and equipment, net </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w:t>
            </w:r>
          </w:p>
        </w:tc>
      </w:tr>
      <w:tr>
        <w:trPr>
          <w:trHeight w:val="229"/>
        </w:trPr>
        <w:tc>
          <w:tcPr>
            <w:tcW w:w="82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Linefill</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0"/>
        </w:trPr>
        <w:tc>
          <w:tcPr>
            <w:tcW w:w="82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Long-term operating lease right-of-use assets, net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29"/>
        </w:trPr>
        <w:tc>
          <w:tcPr>
            <w:tcW w:w="82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Long-term inventory</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82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long-term assets, net</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23"/>
        </w:trPr>
        <w:tc>
          <w:tcPr>
            <w:tcW w:w="8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long-term assets of discontinued operations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w:t>
            </w:r>
          </w:p>
        </w:tc>
      </w:tr>
      <w:tr>
        <w:trPr>
          <w:trHeight w:val="270"/>
        </w:trPr>
        <w:tc>
          <w:tcPr>
            <w:tcW w:w="3880" w:type="dxa"/>
            <w:vAlign w:val="bottom"/>
            <w:shd w:val="clear" w:color="auto" w:fill="CCEEFF"/>
          </w:tcPr>
          <w:p>
            <w:pPr>
              <w:spacing w:after="0"/>
              <w:rPr>
                <w:sz w:val="23"/>
                <w:szCs w:val="23"/>
                <w:color w:val="auto"/>
              </w:rPr>
            </w:pPr>
          </w:p>
        </w:tc>
        <w:tc>
          <w:tcPr>
            <w:tcW w:w="43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30"/>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8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82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Trade accounts payable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30"/>
        </w:trPr>
        <w:tc>
          <w:tcPr>
            <w:tcW w:w="82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3"/>
        </w:trPr>
        <w:tc>
          <w:tcPr>
            <w:tcW w:w="8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current liabilities of discontinued operations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r>
      <w:tr>
        <w:trPr>
          <w:trHeight w:val="270"/>
        </w:trPr>
        <w:tc>
          <w:tcPr>
            <w:tcW w:w="3880" w:type="dxa"/>
            <w:vAlign w:val="bottom"/>
            <w:shd w:val="clear" w:color="auto" w:fill="CCEEFF"/>
          </w:tcPr>
          <w:p>
            <w:pPr>
              <w:spacing w:after="0"/>
              <w:rPr>
                <w:sz w:val="23"/>
                <w:szCs w:val="23"/>
                <w:color w:val="auto"/>
              </w:rPr>
            </w:pPr>
          </w:p>
        </w:tc>
        <w:tc>
          <w:tcPr>
            <w:tcW w:w="43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30"/>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Long-term liabilities: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82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30"/>
        </w:trPr>
        <w:tc>
          <w:tcPr>
            <w:tcW w:w="826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Other long-term liabilities and deferred credits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w:t>
            </w:r>
          </w:p>
        </w:tc>
      </w:tr>
      <w:tr>
        <w:trPr>
          <w:trHeight w:val="223"/>
        </w:trPr>
        <w:tc>
          <w:tcPr>
            <w:tcW w:w="8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long-term liabilities of discontinued operations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r>
      <w:tr>
        <w:trPr>
          <w:trHeight w:val="175"/>
        </w:trPr>
        <w:tc>
          <w:tcPr>
            <w:tcW w:w="3880" w:type="dxa"/>
            <w:vAlign w:val="bottom"/>
            <w:tcBorders>
              <w:bottom w:val="single" w:sz="8" w:color="auto"/>
            </w:tcBorders>
          </w:tcPr>
          <w:p>
            <w:pPr>
              <w:spacing w:after="0"/>
              <w:rPr>
                <w:sz w:val="15"/>
                <w:szCs w:val="15"/>
                <w:color w:val="auto"/>
              </w:rPr>
            </w:pPr>
          </w:p>
        </w:tc>
        <w:tc>
          <w:tcPr>
            <w:tcW w:w="4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r>
    </w:tbl>
    <w:p>
      <w:pPr>
        <w:spacing w:after="0" w:line="87" w:lineRule="exact"/>
        <w:rPr>
          <w:sz w:val="20"/>
          <w:szCs w:val="20"/>
          <w:color w:val="auto"/>
        </w:rPr>
      </w:pPr>
    </w:p>
    <w:p>
      <w:pPr>
        <w:ind w:left="640" w:hanging="632"/>
        <w:spacing w:after="0"/>
        <w:tabs>
          <w:tab w:leader="none" w:pos="640"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are net of accumulated depreciation of $862 million and $876 million as of March 31, 2026 and December 31, 2025, respectively.</w:t>
      </w:r>
    </w:p>
    <w:p>
      <w:pPr>
        <w:spacing w:after="0" w:line="200" w:lineRule="exact"/>
        <w:rPr>
          <w:rFonts w:ascii="Times New Roman" w:cs="Times New Roman" w:eastAsia="Times New Roman" w:hAnsi="Times New Roman"/>
          <w:sz w:val="23"/>
          <w:szCs w:val="23"/>
          <w:color w:val="auto"/>
          <w:vertAlign w:val="superscript"/>
        </w:rPr>
      </w:pPr>
    </w:p>
    <w:p>
      <w:pPr>
        <w:spacing w:after="0" w:line="375" w:lineRule="exact"/>
        <w:rPr>
          <w:rFonts w:ascii="Times New Roman" w:cs="Times New Roman" w:eastAsia="Times New Roman" w:hAnsi="Times New Roman"/>
          <w:sz w:val="23"/>
          <w:szCs w:val="23"/>
          <w:color w:val="auto"/>
          <w:vertAlign w:val="superscript"/>
        </w:rPr>
      </w:pPr>
    </w:p>
    <w:p>
      <w:pPr>
        <w:ind w:left="55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reconciliation of the line items comprising income/(loss) from discontinued operations before tax to income/(loss)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discontinued operations, net of tax (in millions):</w:t>
      </w:r>
    </w:p>
    <w:p>
      <w:pPr>
        <w:spacing w:after="0" w:line="268"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26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sales</w:t>
            </w:r>
          </w:p>
        </w:tc>
        <w:tc>
          <w:tcPr>
            <w:tcW w:w="94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3"/>
        </w:trPr>
        <w:tc>
          <w:tcPr>
            <w:tcW w:w="8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and Expenses: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2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Field operating costs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0"/>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Losses on asset sales and other, net</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costs and expenses</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Income/(loss) from discontinued operations before tax</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8"/>
        </w:trPr>
        <w:tc>
          <w:tcPr>
            <w:tcW w:w="8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Income/(loss) from discontinued operations, net of tax</w:t>
            </w: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40"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the planning and restructuring activities, we recorded deferred tax expense and a related liability of $77 million associated with the pending Canadian NGL Business divestiture, which is reflected within discontinued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3—Revenues and Accounts Receivable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disaggregate our revenues by segment and type of activity. These categories depict how the nature, amount, timing and uncertainty of revenues and cash flows are affected by economic factors.</w:t>
      </w:r>
    </w:p>
    <w:p>
      <w:pPr>
        <w:spacing w:after="0" w:line="187" w:lineRule="exact"/>
        <w:rPr>
          <w:sz w:val="20"/>
          <w:szCs w:val="20"/>
          <w:color w:val="auto"/>
        </w:rPr>
      </w:pPr>
    </w:p>
    <w:p>
      <w:pPr>
        <w:ind w:right="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Revenues from Contracts with Customers. </w:t>
      </w:r>
      <w:r>
        <w:rPr>
          <w:rFonts w:ascii="Times New Roman" w:cs="Times New Roman" w:eastAsia="Times New Roman" w:hAnsi="Times New Roman"/>
          <w:sz w:val="18"/>
          <w:szCs w:val="18"/>
          <w:color w:val="auto"/>
        </w:rPr>
        <w:t>The following tables present our revenues from contracts with customers disaggregated by segment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type of activity (in millions):</w:t>
      </w:r>
    </w:p>
    <w:p>
      <w:pPr>
        <w:spacing w:after="0" w:line="213"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6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Crude Oil segment revenues from contracts with customers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w:t>
            </w:r>
          </w:p>
        </w:tc>
        <w:tc>
          <w:tcPr>
            <w:tcW w:w="88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12,012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11,008</w:t>
            </w:r>
          </w:p>
        </w:tc>
      </w:tr>
      <w:tr>
        <w:trPr>
          <w:trHeight w:val="229"/>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Transportation</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30"/>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Terminalling, Storage and Other</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Crude Oil segment revenues from contracts with customers</w:t>
            </w: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12,444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30"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260" w:type="dxa"/>
            <w:vAlign w:val="bottom"/>
            <w:tcBorders>
              <w:bottom w:val="single" w:sz="8" w:color="CCEEFF"/>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NGL segment revenues from contracts with customers</w:t>
            </w: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w:t>
            </w:r>
          </w:p>
        </w:tc>
        <w:tc>
          <w:tcPr>
            <w:tcW w:w="1020" w:type="dxa"/>
            <w:vAlign w:val="bottom"/>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Terminalling, Storage and Other</w:t>
            </w:r>
          </w:p>
        </w:tc>
        <w:tc>
          <w:tcPr>
            <w:tcW w:w="10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NGL segment revenues from contracts with customers</w:t>
            </w:r>
          </w:p>
        </w:tc>
        <w:tc>
          <w:tcPr>
            <w:tcW w:w="102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
        </w:trPr>
        <w:tc>
          <w:tcPr>
            <w:tcW w:w="8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right="3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Sales Revenues. </w:t>
      </w:r>
      <w:r>
        <w:rPr>
          <w:rFonts w:ascii="Times New Roman" w:cs="Times New Roman" w:eastAsia="Times New Roman" w:hAnsi="Times New Roman"/>
          <w:sz w:val="18"/>
          <w:szCs w:val="18"/>
          <w:color w:val="auto"/>
        </w:rPr>
        <w:t>Revenues from sales of crude oil and NGL are recognized at the time title to the product sold transfers to the purchaser,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occurs upon delivery of the product to the purchaser or its designee. The consideration received under these contracts is variable based on commodity prices. Inventory exchanges under buy/sell transactions are excluded from sales revenues in our Condensed Consolidated Statements of Operations.</w:t>
      </w:r>
    </w:p>
    <w:p>
      <w:pPr>
        <w:spacing w:after="0" w:line="200"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Transportation Revenues. </w:t>
      </w:r>
      <w:r>
        <w:rPr>
          <w:rFonts w:ascii="Times New Roman" w:cs="Times New Roman" w:eastAsia="Times New Roman" w:hAnsi="Times New Roman"/>
          <w:sz w:val="18"/>
          <w:szCs w:val="18"/>
          <w:color w:val="auto"/>
        </w:rPr>
        <w:t>Transportation revenues include revenues from transporting crude oil on pipelines and trucks. Revenues from pipeline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tariffs and fees are associated with the transportation of crude oil at a published tariff. We primarily recognize pipeline tariff and fee revenues over time as services are rendered, based on the volumes transported. As is common in the pipeline transportation industry, our tariffs incorporate a loss allowance factor. We recognize the allowance volumes collected as part of the transaction price and record this non-cash consideration at fair value, measured as of the contract inception date.</w:t>
      </w:r>
    </w:p>
    <w:p>
      <w:pPr>
        <w:spacing w:after="0" w:line="210"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Terminalling, Storage and Other Revenues. </w:t>
      </w:r>
      <w:r>
        <w:rPr>
          <w:rFonts w:ascii="Times New Roman" w:cs="Times New Roman" w:eastAsia="Times New Roman" w:hAnsi="Times New Roman"/>
          <w:sz w:val="18"/>
          <w:szCs w:val="18"/>
          <w:color w:val="auto"/>
        </w:rPr>
        <w:t>Revenues in this category include (i) fees that are generated when we receive liquids from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connecting source and deliver the applicable product to another connecting carrier, (ii) fees from storage capacity agreements, (iii) fees from loading and unloading services at our terminals and (iv) fees from natural gas and condensate processing services. We generate revenue through a combination of month-to-month and multi-year agreements and processing arrangements. Storage fees are typically recognized in revenue ratably over the term of the contract regardless of the actual storage capacity utilized as our performance obligation is to make available storage capacity for a period of time. Terminal fees (including throughput and loading/unloading fees) are recognized as the liquids enter or exit the terminal and are received from or delivered to the connecting carrier or third-party terminal, as applicable. We recognize loading and unloading fees when the volumes are delivered or received.</w:t>
      </w:r>
    </w:p>
    <w:p>
      <w:pPr>
        <w:spacing w:after="0" w:line="210"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Reconciliation to Total Revenues of Reportable Segments. </w:t>
      </w:r>
      <w:r>
        <w:rPr>
          <w:rFonts w:ascii="Times New Roman" w:cs="Times New Roman" w:eastAsia="Times New Roman" w:hAnsi="Times New Roman"/>
          <w:sz w:val="18"/>
          <w:szCs w:val="18"/>
          <w:color w:val="auto"/>
        </w:rPr>
        <w:t>The following disclosures only include information regarding revenues associated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entities; revenues from entities accounted for by the equity method are not included. The following tables present the reconciliation of our revenues from contracts with customers (as described above for each segment) to total revenues of reportable segments and total revenues as disclosed in our Condensed Consolidated Statements of Operations (in millions):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240" w:type="dxa"/>
            <w:vAlign w:val="bottom"/>
          </w:tcPr>
          <w:p>
            <w:pPr>
              <w:spacing w:after="0"/>
              <w:rPr>
                <w:sz w:val="16"/>
                <w:szCs w:val="16"/>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34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NGL</w:t>
            </w:r>
          </w:p>
        </w:tc>
        <w:tc>
          <w:tcPr>
            <w:tcW w:w="340" w:type="dxa"/>
            <w:vAlign w:val="bottom"/>
          </w:tcPr>
          <w:p>
            <w:pPr>
              <w:spacing w:after="0"/>
              <w:rPr>
                <w:sz w:val="16"/>
                <w:szCs w:val="16"/>
                <w:color w:val="auto"/>
              </w:rPr>
            </w:pPr>
          </w:p>
        </w:tc>
        <w:tc>
          <w:tcPr>
            <w:tcW w:w="11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contracts with customers</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12,485</w:t>
            </w:r>
          </w:p>
        </w:tc>
      </w:tr>
      <w:tr>
        <w:trPr>
          <w:trHeight w:val="229"/>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23"/>
        </w:trPr>
        <w:tc>
          <w:tcPr>
            <w:tcW w:w="674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 of reportable segments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12,589</w:t>
            </w:r>
          </w:p>
        </w:tc>
      </w:tr>
      <w:tr>
        <w:trPr>
          <w:trHeight w:val="223"/>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Intersegment revenues elimination</w:t>
            </w:r>
          </w:p>
        </w:tc>
        <w:tc>
          <w:tcPr>
            <w:tcW w:w="2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48"/>
        </w:trPr>
        <w:tc>
          <w:tcPr>
            <w:tcW w:w="67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12,470</w:t>
            </w:r>
          </w:p>
        </w:tc>
      </w:tr>
      <w:tr>
        <w:trPr>
          <w:trHeight w:val="20"/>
        </w:trPr>
        <w:tc>
          <w:tcPr>
            <w:tcW w:w="674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396"/>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240" w:type="dxa"/>
            <w:vAlign w:val="bottom"/>
          </w:tcPr>
          <w:p>
            <w:pPr>
              <w:spacing w:after="0"/>
              <w:rPr>
                <w:sz w:val="24"/>
                <w:szCs w:val="24"/>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340" w:type="dxa"/>
            <w:vAlign w:val="bottom"/>
          </w:tcPr>
          <w:p>
            <w:pPr>
              <w:spacing w:after="0"/>
              <w:rPr>
                <w:sz w:val="24"/>
                <w:szCs w:val="24"/>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NGL</w:t>
            </w:r>
          </w:p>
        </w:tc>
        <w:tc>
          <w:tcPr>
            <w:tcW w:w="340" w:type="dxa"/>
            <w:vAlign w:val="bottom"/>
          </w:tcPr>
          <w:p>
            <w:pPr>
              <w:spacing w:after="0"/>
              <w:rPr>
                <w:sz w:val="24"/>
                <w:szCs w:val="24"/>
                <w:color w:val="auto"/>
              </w:rPr>
            </w:pPr>
          </w:p>
        </w:tc>
        <w:tc>
          <w:tcPr>
            <w:tcW w:w="11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contracts with customers</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11,449</w:t>
            </w:r>
          </w:p>
        </w:tc>
      </w:tr>
      <w:tr>
        <w:trPr>
          <w:trHeight w:val="229"/>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revenues</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6740" w:type="dxa"/>
            <w:vAlign w:val="bottom"/>
            <w:tcBorders>
              <w:top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 of reportable segments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11,480</w:t>
            </w:r>
          </w:p>
        </w:tc>
      </w:tr>
      <w:tr>
        <w:trPr>
          <w:trHeight w:val="223"/>
        </w:trPr>
        <w:tc>
          <w:tcPr>
            <w:tcW w:w="6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Intersegment revenues elimination</w:t>
            </w:r>
          </w:p>
        </w:tc>
        <w:tc>
          <w:tcPr>
            <w:tcW w:w="24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8"/>
        </w:trPr>
        <w:tc>
          <w:tcPr>
            <w:tcW w:w="67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11,477</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4"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Minimum Volume Commitments. </w:t>
      </w:r>
      <w:r>
        <w:rPr>
          <w:rFonts w:ascii="Times New Roman" w:cs="Times New Roman" w:eastAsia="Times New Roman" w:hAnsi="Times New Roman"/>
          <w:sz w:val="18"/>
          <w:szCs w:val="18"/>
          <w:color w:val="auto"/>
        </w:rPr>
        <w:t>We have certain agreements that require counterparties to transport or throughput a minimum volume over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agreed upon period. The following table presents counterparty deficiencies associated with contracts with customers and buy/sell arrangements that include minimum volume commitments for which we had remaining performance obligations and the customers still had the ability to meet their obligations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Counterparty Deficiencies</w:t>
            </w:r>
          </w:p>
        </w:tc>
        <w:tc>
          <w:tcPr>
            <w:tcW w:w="4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Statement Classification</w:t>
            </w:r>
          </w:p>
        </w:tc>
        <w:tc>
          <w:tcPr>
            <w:tcW w:w="1120" w:type="dxa"/>
            <w:vAlign w:val="bottom"/>
          </w:tcPr>
          <w:p>
            <w:pPr>
              <w:jc w:val="center"/>
              <w:ind w:left="26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4120" w:type="dxa"/>
            <w:vAlign w:val="bottom"/>
            <w:gridSpan w:val="2"/>
            <w:vMerge w:val="continue"/>
          </w:tcPr>
          <w:p>
            <w:pPr>
              <w:spacing w:after="0"/>
              <w:rPr>
                <w:sz w:val="16"/>
                <w:szCs w:val="16"/>
                <w:color w:val="auto"/>
              </w:rPr>
            </w:pPr>
          </w:p>
        </w:tc>
        <w:tc>
          <w:tcPr>
            <w:tcW w:w="4140" w:type="dxa"/>
            <w:vAlign w:val="bottom"/>
            <w:gridSpan w:val="2"/>
            <w:vMerge w:val="continue"/>
          </w:tcPr>
          <w:p>
            <w:pPr>
              <w:spacing w:after="0"/>
              <w:rPr>
                <w:sz w:val="16"/>
                <w:szCs w:val="16"/>
                <w:color w:val="auto"/>
              </w:rPr>
            </w:pPr>
          </w:p>
        </w:tc>
        <w:tc>
          <w:tcPr>
            <w:tcW w:w="112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8"/>
        </w:trPr>
        <w:tc>
          <w:tcPr>
            <w:tcW w:w="3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Billed and collected</w:t>
            </w:r>
          </w:p>
        </w:tc>
        <w:tc>
          <w:tcPr>
            <w:tcW w:w="140" w:type="dxa"/>
            <w:vAlign w:val="bottom"/>
            <w:tcBorders>
              <w:top w:val="single" w:sz="8" w:color="CCEEFF"/>
            </w:tcBorders>
            <w:shd w:val="clear" w:color="auto" w:fill="CCEEFF"/>
          </w:tcPr>
          <w:p>
            <w:pPr>
              <w:spacing w:after="0"/>
              <w:rPr>
                <w:sz w:val="19"/>
                <w:szCs w:val="19"/>
                <w:color w:val="auto"/>
              </w:rPr>
            </w:pPr>
          </w:p>
        </w:tc>
        <w:tc>
          <w:tcPr>
            <w:tcW w:w="4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92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bl>
    <w:p>
      <w:pPr>
        <w:spacing w:after="0" w:line="371" w:lineRule="exact"/>
        <w:rPr>
          <w:sz w:val="20"/>
          <w:szCs w:val="20"/>
          <w:color w:val="auto"/>
        </w:rPr>
      </w:pPr>
    </w:p>
    <w:p>
      <w:pPr>
        <w:ind w:right="200" w:firstLine="648"/>
        <w:spacing w:after="0" w:line="315" w:lineRule="auto"/>
        <w:rPr>
          <w:sz w:val="20"/>
          <w:szCs w:val="20"/>
          <w:color w:val="auto"/>
        </w:rPr>
      </w:pPr>
      <w:r>
        <w:rPr>
          <w:rFonts w:ascii="Times New Roman" w:cs="Times New Roman" w:eastAsia="Times New Roman" w:hAnsi="Times New Roman"/>
          <w:sz w:val="17"/>
          <w:szCs w:val="17"/>
          <w:i w:val="1"/>
          <w:iCs w:val="1"/>
          <w:color w:val="auto"/>
        </w:rPr>
        <w:t>Contract Balances</w:t>
      </w:r>
      <w:r>
        <w:rPr>
          <w:rFonts w:ascii="Times New Roman" w:cs="Times New Roman" w:eastAsia="Times New Roman" w:hAnsi="Times New Roman"/>
          <w:sz w:val="17"/>
          <w:szCs w:val="17"/>
          <w:color w:val="auto"/>
        </w:rPr>
        <w:t>. Our contract balances consist of amounts received associated with services or sales for which we have not yet completed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related performance obligation. The following table presents the changes in the liability balance associated with contracts with customers (in millions):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Amounts recognized as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Additions</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24599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Contract Liabilities</w:t>
      </w:r>
    </w:p>
    <w:p>
      <w:pPr>
        <w:spacing w:after="0" w:line="61" w:lineRule="exact"/>
        <w:rPr>
          <w:sz w:val="20"/>
          <w:szCs w:val="20"/>
          <w:color w:val="auto"/>
        </w:rPr>
      </w:pPr>
    </w:p>
    <w:p>
      <w:pPr>
        <w:ind w:left="1160" w:hanging="1153"/>
        <w:spacing w:after="0"/>
        <w:tabs>
          <w:tab w:leader="none" w:pos="11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9086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5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(19)</w:t>
      </w:r>
    </w:p>
    <w:p>
      <w:pPr>
        <w:spacing w:after="0" w:line="2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5</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(26)</w:t>
      </w:r>
    </w:p>
    <w:p>
      <w:pPr>
        <w:spacing w:after="0" w:line="31" w:lineRule="exact"/>
        <w:rPr>
          <w:sz w:val="20"/>
          <w:szCs w:val="20"/>
          <w:color w:val="auto"/>
        </w:rPr>
      </w:pPr>
    </w:p>
    <w:p>
      <w:pPr>
        <w:ind w:left="1160" w:hanging="1153"/>
        <w:spacing w:after="0"/>
        <w:tabs>
          <w:tab w:leader="none" w:pos="11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43180</wp:posOffset>
            </wp:positionV>
            <wp:extent cx="90868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47" w:lineRule="exact"/>
        <w:rPr>
          <w:sz w:val="20"/>
          <w:szCs w:val="20"/>
          <w:color w:val="auto"/>
        </w:rPr>
      </w:pPr>
    </w:p>
    <w:p>
      <w:pPr>
        <w:sectPr>
          <w:pgSz w:w="11900" w:h="16838" w:orient="portrait"/>
          <w:cols w:equalWidth="0" w:num="2">
            <w:col w:w="9100" w:space="720"/>
            <w:col w:w="1420"/>
          </w:cols>
          <w:pgMar w:left="320" w:top="121" w:right="339" w:bottom="1440" w:gutter="0" w:footer="0" w:header="0"/>
          <w:type w:val="continuous"/>
        </w:sectPr>
      </w:pPr>
    </w:p>
    <w:p>
      <w:pPr>
        <w:spacing w:after="0" w:line="140" w:lineRule="exact"/>
        <w:rPr>
          <w:sz w:val="20"/>
          <w:szCs w:val="20"/>
          <w:color w:val="auto"/>
        </w:rPr>
      </w:pPr>
    </w:p>
    <w:p>
      <w:pPr>
        <w:ind w:left="660" w:right="120" w:hanging="652"/>
        <w:spacing w:after="0" w:line="229" w:lineRule="auto"/>
        <w:tabs>
          <w:tab w:leader="none" w:pos="648"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 represents a contract liability that was originally recognized under ASC 606. The underlying contract was subsequently renegotiated and ceased to meet the criteria in ASC 606 for a contract with a customer.</w:t>
      </w:r>
    </w:p>
    <w:p>
      <w:pPr>
        <w:spacing w:after="0" w:line="277" w:lineRule="exact"/>
        <w:rPr>
          <w:sz w:val="20"/>
          <w:szCs w:val="20"/>
          <w:color w:val="auto"/>
        </w:rPr>
      </w:pPr>
    </w:p>
    <w:p>
      <w:pPr>
        <w:ind w:right="6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Remaining Performance Obligations</w:t>
      </w:r>
      <w:r>
        <w:rPr>
          <w:rFonts w:ascii="Times New Roman" w:cs="Times New Roman" w:eastAsia="Times New Roman" w:hAnsi="Times New Roman"/>
          <w:sz w:val="18"/>
          <w:szCs w:val="18"/>
          <w:color w:val="auto"/>
        </w:rPr>
        <w:t>. The information below includes the amount of consideration allocated to partially and wholly unsatisfied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remaining performance obligations under contracts that existed as of the end of the periods and the timing of revenue recognition of those remaining performance obligations. Certain contracts meet the requirements for the presentation as remaining performance obligations. These contracts include a fixed minimum level of service, typically a set volume of service, and do not contain any variability other than expected timing within a limited range. The following table presents the amount of consideration associated with remaining performance obligations for the population of contracts with external customers meeting the presentation requirements as of March 31, 2026 (in millions):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Remainder of</w:t>
            </w:r>
          </w:p>
        </w:tc>
        <w:tc>
          <w:tcPr>
            <w:tcW w:w="260" w:type="dxa"/>
            <w:vAlign w:val="bottom"/>
          </w:tcPr>
          <w:p>
            <w:pPr>
              <w:spacing w:after="0"/>
              <w:rPr>
                <w:sz w:val="13"/>
                <w:szCs w:val="13"/>
                <w:color w:val="auto"/>
              </w:rPr>
            </w:pPr>
          </w:p>
        </w:tc>
        <w:tc>
          <w:tcPr>
            <w:tcW w:w="80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2027</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2028</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2029</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2030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2031 and</w:t>
            </w:r>
          </w:p>
        </w:tc>
        <w:tc>
          <w:tcPr>
            <w:tcW w:w="0" w:type="dxa"/>
            <w:vAlign w:val="bottom"/>
          </w:tcPr>
          <w:p>
            <w:pPr>
              <w:spacing w:after="0"/>
              <w:rPr>
                <w:sz w:val="1"/>
                <w:szCs w:val="1"/>
                <w:color w:val="auto"/>
              </w:rPr>
            </w:pPr>
          </w:p>
        </w:tc>
      </w:tr>
      <w:tr>
        <w:trPr>
          <w:trHeight w:val="195"/>
        </w:trPr>
        <w:tc>
          <w:tcPr>
            <w:tcW w:w="388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0" w:type="dxa"/>
            <w:vAlign w:val="bottom"/>
          </w:tcPr>
          <w:p>
            <w:pPr>
              <w:spacing w:after="0"/>
              <w:rPr>
                <w:sz w:val="1"/>
                <w:szCs w:val="1"/>
                <w:color w:val="auto"/>
              </w:rPr>
            </w:pPr>
          </w:p>
        </w:tc>
      </w:tr>
      <w:tr>
        <w:trPr>
          <w:trHeight w:val="160"/>
        </w:trPr>
        <w:tc>
          <w:tcPr>
            <w:tcW w:w="4360" w:type="dxa"/>
            <w:vAlign w:val="bottom"/>
            <w:gridSpan w:val="2"/>
            <w:shd w:val="clear" w:color="auto" w:fill="CCEEFF"/>
          </w:tcPr>
          <w:p>
            <w:pPr>
              <w:ind w:left="20"/>
              <w:spacing w:after="0" w:line="161" w:lineRule="exact"/>
              <w:rPr>
                <w:sz w:val="20"/>
                <w:szCs w:val="20"/>
                <w:color w:val="auto"/>
              </w:rPr>
            </w:pPr>
            <w:r>
              <w:rPr>
                <w:rFonts w:ascii="Times New Roman" w:cs="Times New Roman" w:eastAsia="Times New Roman" w:hAnsi="Times New Roman"/>
                <w:sz w:val="18"/>
                <w:szCs w:val="18"/>
                <w:color w:val="auto"/>
              </w:rPr>
              <w:t>Pipeline revenues supported by minimum volume</w:t>
            </w: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360" w:type="dxa"/>
            <w:vAlign w:val="bottom"/>
            <w:gridSpan w:val="2"/>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 xml:space="preserve">commitments and capacity agreements </w:t>
            </w:r>
            <w:r>
              <w:rPr>
                <w:rFonts w:ascii="Times New Roman" w:cs="Times New Roman" w:eastAsia="Times New Roman" w:hAnsi="Times New Roman"/>
                <w:sz w:val="23"/>
                <w:szCs w:val="23"/>
                <w:color w:val="auto"/>
                <w:vertAlign w:val="superscript"/>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Terminalling, storage and other agreement revenues</w:t>
            </w: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880" w:type="dxa"/>
            <w:vAlign w:val="bottom"/>
            <w:tcBorders>
              <w:bottom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640" w:hanging="632"/>
        <w:spacing w:after="0"/>
        <w:tabs>
          <w:tab w:leader="none" w:pos="64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Calculated as volumes committed under contracts multiplied by the current applicable tariff rate.</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18" w:lineRule="exact"/>
        <w:rPr>
          <w:rFonts w:ascii="Times New Roman" w:cs="Times New Roman" w:eastAsia="Times New Roman" w:hAnsi="Times New Roman"/>
          <w:sz w:val="23"/>
          <w:szCs w:val="23"/>
          <w:color w:val="auto"/>
          <w:vertAlign w:val="superscript"/>
        </w:rPr>
      </w:pPr>
    </w:p>
    <w:p>
      <w:pPr>
        <w:ind w:left="55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6"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The presentation above does not include (i) expected revenues from legacy shippers not underpinned by minimum volume commitments, (ii) intersegment revenues and (iii) the amount of consideration associated with certain income generating contracts, which include a fixed minimum level of service, that are either not within the scope of ASC 606 or do not meet the requirements for presentation as remaining performance obligations. The following are examples of contracts that are not included in the table above because they are not within the scope of ASC 606 or do not meet the requirements for presentation:</w:t>
      </w:r>
    </w:p>
    <w:p>
      <w:pPr>
        <w:spacing w:after="0" w:line="210" w:lineRule="exact"/>
        <w:rPr>
          <w:sz w:val="20"/>
          <w:szCs w:val="20"/>
          <w:color w:val="auto"/>
        </w:rPr>
      </w:pPr>
    </w:p>
    <w:p>
      <w:pPr>
        <w:ind w:left="820" w:hanging="164"/>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volume commitments on certain of our joint venture pipeline systems;</w:t>
      </w:r>
    </w:p>
    <w:p>
      <w:pPr>
        <w:spacing w:after="0" w:line="117"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Acreage dedications;</w:t>
      </w:r>
    </w:p>
    <w:p>
      <w:pPr>
        <w:spacing w:after="0" w:line="117"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Buy/sell arrangements with future committed volumes;</w:t>
      </w:r>
    </w:p>
    <w:p>
      <w:pPr>
        <w:spacing w:after="0" w:line="117"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contracts and those with variable consideration, due to the election of practical expedients;</w:t>
      </w:r>
    </w:p>
    <w:p>
      <w:pPr>
        <w:spacing w:after="0" w:line="115"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Contracts within the scope of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and</w:t>
      </w:r>
    </w:p>
    <w:p>
      <w:pPr>
        <w:spacing w:after="0" w:line="117"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Contracts within the scope of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Accounts Receivable and Other Receivables, Net</w:t>
      </w:r>
    </w:p>
    <w:p>
      <w:pPr>
        <w:spacing w:after="0" w:line="25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At March 31, 2026 and December 31, 2025, substantially all of our trade accounts receivable were less than 30 days past their invoice date. Our expected credit losses are immaterial. Although we consider our credit procedures to be adequate to mitigate any significant credit losses, the actual amount of current and future credit losses could vary significantly from estimated amounts.</w:t>
      </w:r>
    </w:p>
    <w:p>
      <w:pPr>
        <w:spacing w:after="0" w:line="203" w:lineRule="exact"/>
        <w:rPr>
          <w:sz w:val="20"/>
          <w:szCs w:val="20"/>
          <w:color w:val="auto"/>
        </w:rPr>
      </w:pPr>
    </w:p>
    <w:p>
      <w:pPr>
        <w:ind w:right="20" w:firstLine="648"/>
        <w:spacing w:after="0" w:line="270" w:lineRule="auto"/>
        <w:rPr>
          <w:sz w:val="20"/>
          <w:szCs w:val="20"/>
          <w:color w:val="auto"/>
        </w:rPr>
      </w:pPr>
      <w:r>
        <w:rPr>
          <w:rFonts w:ascii="Times New Roman" w:cs="Times New Roman" w:eastAsia="Times New Roman" w:hAnsi="Times New Roman"/>
          <w:sz w:val="18"/>
          <w:szCs w:val="18"/>
          <w:color w:val="auto"/>
        </w:rPr>
        <w:t>The following is a reconciliation of trade accounts receivable from revenues from contracts with customers to total “Trade accounts receivable and other receivables, net” as presented on our Condensed Consolidated Balance Sheets (in millions):</w:t>
      </w:r>
    </w:p>
    <w:tbl>
      <w:tblPr>
        <w:tblLayout w:type="fixed"/>
        <w:tblInd w:w="0" w:type="dxa"/>
        <w:tblCellMar>
          <w:top w:w="0" w:type="dxa"/>
          <w:left w:w="0" w:type="dxa"/>
          <w:bottom w:w="0" w:type="dxa"/>
          <w:right w:w="0" w:type="dxa"/>
        </w:tblCellMar>
      </w:tblPr>
      <w:tr>
        <w:trPr>
          <w:trHeight w:val="149"/>
        </w:trPr>
        <w:tc>
          <w:tcPr>
            <w:tcW w:w="38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2"/>
                <w:szCs w:val="12"/>
                <w:color w:val="auto"/>
              </w:rPr>
            </w:pPr>
          </w:p>
        </w:tc>
        <w:tc>
          <w:tcPr>
            <w:tcW w:w="1220" w:type="dxa"/>
            <w:vAlign w:val="bottom"/>
          </w:tcPr>
          <w:p>
            <w:pPr>
              <w:jc w:val="center"/>
              <w:ind w:right="136"/>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3880" w:type="dxa"/>
            <w:vAlign w:val="bottom"/>
            <w:tcBorders>
              <w:bottom w:val="single" w:sz="8" w:color="CCEEFF"/>
            </w:tcBorders>
          </w:tcPr>
          <w:p>
            <w:pPr>
              <w:spacing w:after="0"/>
              <w:rPr>
                <w:sz w:val="16"/>
                <w:szCs w:val="16"/>
                <w:color w:val="auto"/>
              </w:rPr>
            </w:pPr>
          </w:p>
        </w:tc>
        <w:tc>
          <w:tcPr>
            <w:tcW w:w="43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8"/>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receivable arising from revenues from contracts with customers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center"/>
              <w:ind w:left="576"/>
              <w:spacing w:after="0"/>
              <w:rPr>
                <w:sz w:val="20"/>
                <w:szCs w:val="20"/>
                <w:color w:val="auto"/>
              </w:rPr>
            </w:pPr>
            <w:r>
              <w:rPr>
                <w:rFonts w:ascii="Times New Roman" w:cs="Times New Roman" w:eastAsia="Times New Roman" w:hAnsi="Times New Roman"/>
                <w:sz w:val="18"/>
                <w:szCs w:val="18"/>
                <w:color w:val="auto"/>
                <w:w w:val="98"/>
              </w:rPr>
              <w:t>3,639</w:t>
            </w:r>
          </w:p>
        </w:tc>
      </w:tr>
      <w:tr>
        <w:trPr>
          <w:trHeight w:val="229"/>
        </w:trPr>
        <w:tc>
          <w:tcPr>
            <w:tcW w:w="82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trade accounts receivable and other receivables </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center"/>
              <w:ind w:left="576"/>
              <w:spacing w:after="0"/>
              <w:rPr>
                <w:sz w:val="20"/>
                <w:szCs w:val="20"/>
                <w:color w:val="auto"/>
              </w:rPr>
            </w:pPr>
            <w:r>
              <w:rPr>
                <w:rFonts w:ascii="Times New Roman" w:cs="Times New Roman" w:eastAsia="Times New Roman" w:hAnsi="Times New Roman"/>
                <w:sz w:val="18"/>
                <w:szCs w:val="18"/>
                <w:color w:val="auto"/>
                <w:w w:val="98"/>
              </w:rPr>
              <w:t>7,357</w:t>
            </w:r>
          </w:p>
        </w:tc>
      </w:tr>
      <w:tr>
        <w:trPr>
          <w:trHeight w:val="230"/>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due to contractual rights of offset with counterparties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556"/>
              <w:spacing w:after="0"/>
              <w:rPr>
                <w:sz w:val="20"/>
                <w:szCs w:val="20"/>
                <w:color w:val="auto"/>
              </w:rPr>
            </w:pPr>
            <w:r>
              <w:rPr>
                <w:rFonts w:ascii="Times New Roman" w:cs="Times New Roman" w:eastAsia="Times New Roman" w:hAnsi="Times New Roman"/>
                <w:sz w:val="18"/>
                <w:szCs w:val="18"/>
                <w:color w:val="auto"/>
              </w:rPr>
              <w:t>(7,398)</w:t>
            </w:r>
          </w:p>
        </w:tc>
      </w:tr>
      <w:tr>
        <w:trPr>
          <w:trHeight w:val="223"/>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Trade accounts receivable and other receivables, net</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center"/>
              <w:ind w:left="576"/>
              <w:spacing w:after="0"/>
              <w:rPr>
                <w:sz w:val="20"/>
                <w:szCs w:val="20"/>
                <w:color w:val="auto"/>
              </w:rPr>
            </w:pPr>
            <w:r>
              <w:rPr>
                <w:rFonts w:ascii="Times New Roman" w:cs="Times New Roman" w:eastAsia="Times New Roman" w:hAnsi="Times New Roman"/>
                <w:sz w:val="18"/>
                <w:szCs w:val="18"/>
                <w:color w:val="auto"/>
                <w:w w:val="98"/>
              </w:rPr>
              <w:t>3,598</w:t>
            </w:r>
          </w:p>
        </w:tc>
      </w:tr>
      <w:tr>
        <w:trPr>
          <w:trHeight w:val="20"/>
        </w:trPr>
        <w:tc>
          <w:tcPr>
            <w:tcW w:w="38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4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r>
    </w:tbl>
    <w:p>
      <w:pPr>
        <w:spacing w:after="0" w:line="87" w:lineRule="exact"/>
        <w:rPr>
          <w:sz w:val="20"/>
          <w:szCs w:val="20"/>
          <w:color w:val="auto"/>
        </w:rPr>
      </w:pPr>
    </w:p>
    <w:p>
      <w:pPr>
        <w:ind w:left="640" w:hanging="632"/>
        <w:spacing w:after="0"/>
        <w:tabs>
          <w:tab w:leader="none" w:pos="64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balance is comprised primarily of accounts receivable associated with buy/sell arrangements that are not within the scope of ASC 606.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4—Net Income Per Common Unit</w:t>
      </w:r>
    </w:p>
    <w:p>
      <w:pPr>
        <w:spacing w:after="0" w:line="22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We calculate basic and diluted net income per common unit by dividing income from continuing operations attributable to PAA (after deducting amounts allocated to the preferred unitholders and participating securities) and income or loss from discontinued operations by the basic and diluted weighted average number of common units outstanding during the period.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6"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18"/>
          <w:szCs w:val="18"/>
          <w:color w:val="auto"/>
        </w:rPr>
        <w:t>The diluted weighted average number of common units is computed based on the weighted average number of common units plus the effect of potentially dilutive securities outstanding during the period, which include (i) our Series A preferred units and (ii) our equity-indexed compensation plan awards. See Note 12 and Note 18 to our Consolidated Financial Statements included in Part IV of our 2025 Annual Report on Form 10-K for a discussion of our Series A preferred units and equity-indexed compensation plan awards. When applying the if-converted method prescribed by FASB guidance, the possible conversion of approximately 58 million and 63 million Series A preferred units, on a weighted-average basis, were excluded from the calculation of diluted net income per common unit for the three months ended March 31, 2026 and 2025, respectively, as the effect was antidilutive. Our equity-indexed compensation plan awards that contemplate the issuance of common units are considered potentially dilutive unless (i) they become vested only upon the satisfaction of a performance condition and (ii) that performance condition has yet to be satisfied. Equity-indexed compensation plan awards that are deemed to be dilutive during the period are reduced by a hypothetical common unit repurchase based on the remaining unamortized fair value, as prescribed by the treasury stock method in guidance issued by the FASB.</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per common unit (in millions, except per unit data):</w:t>
      </w:r>
    </w:p>
    <w:p>
      <w:pPr>
        <w:spacing w:after="0" w:line="286"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13335</wp:posOffset>
            </wp:positionV>
            <wp:extent cx="18859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2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and Diluted Net Income/(Loss) per Common Unit</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Continuing Operations:</w:t>
            </w: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8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from continuing operations, net of tax</w:t>
            </w:r>
          </w:p>
        </w:tc>
        <w:tc>
          <w:tcPr>
            <w:tcW w:w="92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29"/>
        </w:trPr>
        <w:tc>
          <w:tcPr>
            <w:tcW w:w="82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3"/>
        </w:trPr>
        <w:tc>
          <w:tcPr>
            <w:tcW w:w="82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Net income from continuing operations attributable to PAA</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Distributions to Series A preferred unitholders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Distributions to Series B preferred unitholders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Amounts allocated to participating securities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826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Impact from repurchase of Series A preferred units </w:t>
            </w:r>
            <w:r>
              <w:rPr>
                <w:rFonts w:ascii="Times New Roman" w:cs="Times New Roman" w:eastAsia="Times New Roman" w:hAnsi="Times New Roman"/>
                <w:sz w:val="23"/>
                <w:szCs w:val="23"/>
                <w:color w:val="auto"/>
                <w:vertAlign w:val="superscript"/>
              </w:rPr>
              <w:t>(1)</w:t>
            </w:r>
          </w:p>
        </w:tc>
        <w:tc>
          <w:tcPr>
            <w:tcW w:w="9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0"/>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260" w:type="dxa"/>
            <w:vAlign w:val="bottom"/>
            <w:shd w:val="clear" w:color="auto" w:fill="CCEEFF"/>
          </w:tcPr>
          <w:p>
            <w:pPr>
              <w:ind w:left="400"/>
              <w:spacing w:after="0" w:line="223" w:lineRule="exact"/>
              <w:rPr>
                <w:sz w:val="20"/>
                <w:szCs w:val="20"/>
                <w:color w:val="auto"/>
              </w:rPr>
            </w:pPr>
            <w:r>
              <w:rPr>
                <w:rFonts w:ascii="Times New Roman" w:cs="Times New Roman" w:eastAsia="Times New Roman" w:hAnsi="Times New Roman"/>
                <w:sz w:val="18"/>
                <w:szCs w:val="18"/>
                <w:color w:val="auto"/>
              </w:rPr>
              <w:t xml:space="preserve">Net income from continuing operations allocated to common unitholders - Basic and Diluted </w:t>
            </w:r>
            <w:r>
              <w:rPr>
                <w:rFonts w:ascii="Times New Roman" w:cs="Times New Roman" w:eastAsia="Times New Roman" w:hAnsi="Times New Roman"/>
                <w:sz w:val="23"/>
                <w:szCs w:val="23"/>
                <w:color w:val="auto"/>
                <w:vertAlign w:val="superscript"/>
              </w:rPr>
              <w:t>(2)</w:t>
            </w:r>
          </w:p>
        </w:tc>
        <w:tc>
          <w:tcPr>
            <w:tcW w:w="92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70"/>
        </w:trPr>
        <w:tc>
          <w:tcPr>
            <w:tcW w:w="8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60" w:type="dxa"/>
            <w:vAlign w:val="bottom"/>
          </w:tcPr>
          <w:p>
            <w:pPr>
              <w:ind w:left="160"/>
              <w:spacing w:after="0" w:line="230" w:lineRule="exact"/>
              <w:rPr>
                <w:sz w:val="20"/>
                <w:szCs w:val="20"/>
                <w:color w:val="auto"/>
              </w:rPr>
            </w:pPr>
            <w:r>
              <w:rPr>
                <w:rFonts w:ascii="Times New Roman" w:cs="Times New Roman" w:eastAsia="Times New Roman" w:hAnsi="Times New Roman"/>
                <w:sz w:val="18"/>
                <w:szCs w:val="18"/>
                <w:color w:val="auto"/>
              </w:rPr>
              <w:t xml:space="preserve">Net income/(loss) from discontinued operations allocated to common unitholders - Basic and Diluted </w:t>
            </w:r>
            <w:r>
              <w:rPr>
                <w:rFonts w:ascii="Times New Roman" w:cs="Times New Roman" w:eastAsia="Times New Roman" w:hAnsi="Times New Roman"/>
                <w:sz w:val="23"/>
                <w:szCs w:val="23"/>
                <w:color w:val="auto"/>
                <w:vertAlign w:val="superscript"/>
              </w:rPr>
              <w:t>(3)</w:t>
            </w:r>
          </w:p>
        </w:tc>
        <w:tc>
          <w:tcPr>
            <w:tcW w:w="920" w:type="dxa"/>
            <w:vAlign w:val="bottom"/>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70"/>
        </w:trPr>
        <w:tc>
          <w:tcPr>
            <w:tcW w:w="8260" w:type="dxa"/>
            <w:vAlign w:val="bottom"/>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spacing w:after="0"/>
              <w:rPr>
                <w:sz w:val="23"/>
                <w:szCs w:val="23"/>
                <w:color w:val="auto"/>
              </w:rPr>
            </w:pPr>
          </w:p>
        </w:tc>
      </w:tr>
      <w:tr>
        <w:trPr>
          <w:trHeight w:val="223"/>
        </w:trPr>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 allocated to common unitholders — Basic and Diluted</w:t>
            </w:r>
          </w:p>
        </w:tc>
        <w:tc>
          <w:tcPr>
            <w:tcW w:w="92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8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 weighted average common units outstanding</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r>
      <w:tr>
        <w:trPr>
          <w:trHeight w:val="257"/>
        </w:trPr>
        <w:tc>
          <w:tcPr>
            <w:tcW w:w="8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29"/>
        </w:trPr>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 net income/(loss) per common unit:</w:t>
            </w: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Continuing operations</w:t>
            </w:r>
          </w:p>
        </w:tc>
        <w:tc>
          <w:tcPr>
            <w:tcW w:w="92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r>
      <w:tr>
        <w:trPr>
          <w:trHeight w:val="230"/>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Discontinued operations</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0.19</w:t>
            </w:r>
          </w:p>
        </w:tc>
      </w:tr>
      <w:tr>
        <w:trPr>
          <w:trHeight w:val="248"/>
        </w:trPr>
        <w:tc>
          <w:tcPr>
            <w:tcW w:w="82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 net income per common unit</w:t>
            </w:r>
          </w:p>
        </w:tc>
        <w:tc>
          <w:tcPr>
            <w:tcW w:w="920" w:type="dxa"/>
            <w:vAlign w:val="bottom"/>
            <w:tcBorders>
              <w:bottom w:val="single" w:sz="8" w:color="auto"/>
            </w:tcBorders>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24599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660" w:right="20" w:hanging="652"/>
        <w:spacing w:after="0" w:line="239" w:lineRule="auto"/>
        <w:tabs>
          <w:tab w:leader="none" w:pos="648"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repurchased approximately 12.7 million Series A preferred units on January 31, 2025. See Note 12 to our Consolidated Financial Statements included in Part IV of our 2025 Annual Report on Form 10-K for additional information. The difference between the cash we paid for the repurchase of such units and their carrying value on our balance sheet is considered a return to Series A preferred unitholders for the calculation of net income from continuing operations allocated to common unitholders.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UNAUDITED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1" w:lineRule="exact"/>
        <w:rPr>
          <w:sz w:val="20"/>
          <w:szCs w:val="20"/>
          <w:color w:val="auto"/>
        </w:rPr>
      </w:pPr>
    </w:p>
    <w:p>
      <w:pPr>
        <w:ind w:right="140" w:hanging="11"/>
        <w:spacing w:after="0" w:line="261" w:lineRule="auto"/>
        <w:rPr>
          <w:sz w:val="20"/>
          <w:szCs w:val="20"/>
          <w:color w:val="auto"/>
        </w:rPr>
      </w:pPr>
      <w:r>
        <w:rPr>
          <w:rFonts w:ascii="Times New Roman" w:cs="Times New Roman" w:eastAsia="Times New Roman" w:hAnsi="Times New Roman"/>
          <w:sz w:val="18"/>
          <w:szCs w:val="18"/>
          <w:color w:val="auto"/>
        </w:rPr>
        <w:t>We calculate net income from continuing operations allocated to common unitholders based on the distributions pertaining to the current period’s net income. After adjusting for the appropriate period’s distributions, the remaining undistributed earnings or excess distributions over earnings (i.e., undistributed loss), if any, are allocated to the common unitholders and participating securities in accordance with the contractual terms of our partnership agreement in effect for the period and as further prescribed under the two-class method.</w:t>
      </w:r>
    </w:p>
    <w:p>
      <w:pPr>
        <w:spacing w:after="0" w:line="72" w:lineRule="exact"/>
        <w:rPr>
          <w:sz w:val="20"/>
          <w:szCs w:val="20"/>
          <w:color w:val="auto"/>
        </w:rPr>
      </w:pPr>
    </w:p>
    <w:p>
      <w:pPr>
        <w:ind w:right="280" w:hanging="11"/>
        <w:spacing w:after="0" w:line="282" w:lineRule="auto"/>
        <w:rPr>
          <w:sz w:val="20"/>
          <w:szCs w:val="20"/>
          <w:color w:val="auto"/>
        </w:rPr>
      </w:pPr>
      <w:r>
        <w:rPr>
          <w:rFonts w:ascii="Times New Roman" w:cs="Times New Roman" w:eastAsia="Times New Roman" w:hAnsi="Times New Roman"/>
          <w:sz w:val="18"/>
          <w:szCs w:val="18"/>
          <w:color w:val="auto"/>
        </w:rPr>
        <w:t>Net income/(loss) from discontinued operations allocated to common unitholders is “Income/(loss) from discontinued operations, net of tax” as presented on our Condensed Consolidated Statements of Operations.</w:t>
      </w:r>
    </w:p>
    <w:p>
      <w:pPr>
        <w:spacing w:after="0" w:line="200" w:lineRule="exact"/>
        <w:rPr>
          <w:sz w:val="20"/>
          <w:szCs w:val="20"/>
          <w:color w:val="auto"/>
        </w:rPr>
      </w:pPr>
    </w:p>
    <w:p>
      <w:pPr>
        <w:sectPr>
          <w:pgSz w:w="11900" w:h="16838" w:orient="portrait"/>
          <w:cols w:equalWidth="0" w:num="2">
            <w:col w:w="140" w:space="520"/>
            <w:col w:w="10580"/>
          </w:cols>
          <w:pgMar w:left="320" w:top="121" w:right="339" w:bottom="1440" w:gutter="0" w:footer="0" w:header="0"/>
          <w:type w:val="continuous"/>
        </w:sectPr>
      </w:pP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5—Inventory, Linefill and Long-term Inventory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Inventory, linefill and long-term inventory consisted of the following (barrels in thousands and carrying value in millions):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4"/>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gridSpan w:val="4"/>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020" w:type="dxa"/>
            <w:vAlign w:val="bottom"/>
          </w:tcPr>
          <w:p>
            <w:pPr>
              <w:spacing w:after="0"/>
              <w:rPr>
                <w:sz w:val="11"/>
                <w:szCs w:val="11"/>
                <w:color w:val="auto"/>
              </w:rPr>
            </w:pPr>
          </w:p>
        </w:tc>
        <w:tc>
          <w:tcPr>
            <w:tcW w:w="1080" w:type="dxa"/>
            <w:vAlign w:val="bottom"/>
            <w:tcBorders>
              <w:top w:val="single" w:sz="8" w:color="auto"/>
            </w:tcBorders>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Volumes</w:t>
            </w:r>
          </w:p>
        </w:tc>
        <w:tc>
          <w:tcPr>
            <w:tcW w:w="1080" w:type="dxa"/>
            <w:vAlign w:val="bottom"/>
            <w:tcBorders>
              <w:top w:val="single" w:sz="8" w:color="auto"/>
            </w:tcBorders>
            <w:gridSpan w:val="2"/>
          </w:tcPr>
          <w:p>
            <w:pPr>
              <w:ind w:left="280"/>
              <w:spacing w:after="0" w:line="129" w:lineRule="exact"/>
              <w:rPr>
                <w:sz w:val="20"/>
                <w:szCs w:val="20"/>
                <w:color w:val="auto"/>
              </w:rPr>
            </w:pPr>
            <w:r>
              <w:rPr>
                <w:rFonts w:ascii="Times New Roman" w:cs="Times New Roman" w:eastAsia="Times New Roman" w:hAnsi="Times New Roman"/>
                <w:sz w:val="14"/>
                <w:szCs w:val="14"/>
                <w:b w:val="1"/>
                <w:bCs w:val="1"/>
                <w:color w:val="auto"/>
              </w:rPr>
              <w:t>Unit of</w:t>
            </w: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53"/>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center"/>
              <w:ind w:right="94"/>
              <w:spacing w:after="0" w:line="129" w:lineRule="exact"/>
              <w:rPr>
                <w:sz w:val="20"/>
                <w:szCs w:val="20"/>
                <w:color w:val="auto"/>
              </w:rPr>
            </w:pPr>
            <w:r>
              <w:rPr>
                <w:rFonts w:ascii="Times New Roman" w:cs="Times New Roman" w:eastAsia="Times New Roman" w:hAnsi="Times New Roman"/>
                <w:sz w:val="14"/>
                <w:szCs w:val="14"/>
                <w:b w:val="1"/>
                <w:bCs w:val="1"/>
                <w:color w:val="auto"/>
              </w:rPr>
              <w:t>Price/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Borders>
              <w:top w:val="single" w:sz="8" w:color="auto"/>
            </w:tcBorders>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Volumes</w:t>
            </w:r>
          </w:p>
        </w:tc>
        <w:tc>
          <w:tcPr>
            <w:tcW w:w="1060" w:type="dxa"/>
            <w:vAlign w:val="bottom"/>
            <w:tcBorders>
              <w:top w:val="single" w:sz="8" w:color="auto"/>
            </w:tcBorders>
            <w:gridSpan w:val="2"/>
          </w:tcPr>
          <w:p>
            <w:pPr>
              <w:ind w:left="260"/>
              <w:spacing w:after="0" w:line="129" w:lineRule="exact"/>
              <w:rPr>
                <w:sz w:val="20"/>
                <w:szCs w:val="20"/>
                <w:color w:val="auto"/>
              </w:rPr>
            </w:pPr>
            <w:r>
              <w:rPr>
                <w:rFonts w:ascii="Times New Roman" w:cs="Times New Roman" w:eastAsia="Times New Roman" w:hAnsi="Times New Roman"/>
                <w:sz w:val="14"/>
                <w:szCs w:val="14"/>
                <w:b w:val="1"/>
                <w:bCs w:val="1"/>
                <w:color w:val="auto"/>
              </w:rPr>
              <w:t>Unit of</w:t>
            </w: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73"/>
              <w:spacing w:after="0" w:line="12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174"/>
              <w:spacing w:after="0" w:line="129"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03"/>
        </w:trPr>
        <w:tc>
          <w:tcPr>
            <w:tcW w:w="3020" w:type="dxa"/>
            <w:vAlign w:val="bottom"/>
          </w:tcPr>
          <w:p>
            <w:pPr>
              <w:spacing w:after="0"/>
              <w:rPr>
                <w:sz w:val="17"/>
                <w:szCs w:val="17"/>
                <w:color w:val="auto"/>
              </w:rPr>
            </w:pPr>
          </w:p>
        </w:tc>
        <w:tc>
          <w:tcPr>
            <w:tcW w:w="1080" w:type="dxa"/>
            <w:vAlign w:val="bottom"/>
            <w:gridSpan w:val="3"/>
            <w:vMerge w:val="continue"/>
          </w:tcPr>
          <w:p>
            <w:pPr>
              <w:spacing w:after="0"/>
              <w:rPr>
                <w:sz w:val="17"/>
                <w:szCs w:val="17"/>
                <w:color w:val="auto"/>
              </w:rPr>
            </w:pP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Measure</w:t>
            </w:r>
          </w:p>
        </w:tc>
        <w:tc>
          <w:tcPr>
            <w:tcW w:w="120" w:type="dxa"/>
            <w:vAlign w:val="bottom"/>
          </w:tcPr>
          <w:p>
            <w:pPr>
              <w:spacing w:after="0"/>
              <w:rPr>
                <w:sz w:val="17"/>
                <w:szCs w:val="17"/>
                <w:color w:val="auto"/>
              </w:rPr>
            </w:pPr>
          </w:p>
        </w:tc>
        <w:tc>
          <w:tcPr>
            <w:tcW w:w="74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center"/>
              <w:ind w:right="280"/>
              <w:spacing w:after="0" w:line="202" w:lineRule="exact"/>
              <w:rPr>
                <w:sz w:val="20"/>
                <w:szCs w:val="20"/>
                <w:color w:val="auto"/>
              </w:rPr>
            </w:pPr>
            <w:r>
              <w:rPr>
                <w:rFonts w:ascii="Times New Roman" w:cs="Times New Roman" w:eastAsia="Times New Roman" w:hAnsi="Times New Roman"/>
                <w:sz w:val="14"/>
                <w:szCs w:val="14"/>
                <w:b w:val="1"/>
                <w:bCs w:val="1"/>
                <w:color w:val="auto"/>
                <w:w w:val="95"/>
              </w:rPr>
              <w:t xml:space="preserve">Unit </w:t>
            </w:r>
            <w:r>
              <w:rPr>
                <w:rFonts w:ascii="Times New Roman" w:cs="Times New Roman" w:eastAsia="Times New Roman" w:hAnsi="Times New Roman"/>
                <w:sz w:val="18"/>
                <w:szCs w:val="18"/>
                <w:b w:val="1"/>
                <w:bCs w:val="1"/>
                <w:color w:val="auto"/>
                <w:w w:val="95"/>
                <w:vertAlign w:val="superscript"/>
              </w:rPr>
              <w:t>(1)</w:t>
            </w:r>
          </w:p>
        </w:tc>
        <w:tc>
          <w:tcPr>
            <w:tcW w:w="10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Measure</w:t>
            </w:r>
          </w:p>
        </w:tc>
        <w:tc>
          <w:tcPr>
            <w:tcW w:w="120" w:type="dxa"/>
            <w:vAlign w:val="bottom"/>
          </w:tcPr>
          <w:p>
            <w:pPr>
              <w:spacing w:after="0"/>
              <w:rPr>
                <w:sz w:val="17"/>
                <w:szCs w:val="17"/>
                <w:color w:val="auto"/>
              </w:rPr>
            </w:pPr>
          </w:p>
        </w:tc>
        <w:tc>
          <w:tcPr>
            <w:tcW w:w="76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154"/>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Unit </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209"/>
        </w:trPr>
        <w:tc>
          <w:tcPr>
            <w:tcW w:w="3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Inventory</w:t>
            </w: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Crude oil</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4,452</w:t>
            </w:r>
          </w:p>
        </w:tc>
        <w:tc>
          <w:tcPr>
            <w:tcW w:w="10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78.62</w:t>
            </w:r>
          </w:p>
        </w:tc>
        <w:tc>
          <w:tcPr>
            <w:tcW w:w="120" w:type="dxa"/>
            <w:vAlign w:val="bottom"/>
            <w:tcBorders>
              <w:right w:val="single" w:sz="8" w:color="auto"/>
            </w:tcBorders>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2,948</w:t>
            </w:r>
          </w:p>
        </w:tc>
        <w:tc>
          <w:tcPr>
            <w:tcW w:w="120" w:type="dxa"/>
            <w:vAlign w:val="bottom"/>
          </w:tcPr>
          <w:p>
            <w:pPr>
              <w:spacing w:after="0"/>
              <w:rPr>
                <w:sz w:val="19"/>
                <w:szCs w:val="19"/>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56.31</w:t>
            </w:r>
          </w:p>
        </w:tc>
        <w:tc>
          <w:tcPr>
            <w:tcW w:w="0" w:type="dxa"/>
            <w:vAlign w:val="bottom"/>
          </w:tcPr>
          <w:p>
            <w:pPr>
              <w:spacing w:after="0"/>
              <w:rPr>
                <w:sz w:val="1"/>
                <w:szCs w:val="1"/>
                <w:color w:val="auto"/>
              </w:rPr>
            </w:pPr>
          </w:p>
        </w:tc>
      </w:tr>
      <w:tr>
        <w:trPr>
          <w:trHeight w:val="229"/>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NGL</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48.05</w:t>
            </w:r>
          </w:p>
        </w:tc>
        <w:tc>
          <w:tcPr>
            <w:tcW w:w="120" w:type="dxa"/>
            <w:vAlign w:val="bottom"/>
            <w:tcBorders>
              <w:right w:val="single" w:sz="8" w:color="auto"/>
            </w:tcBorders>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48.04</w:t>
            </w:r>
          </w:p>
        </w:tc>
        <w:tc>
          <w:tcPr>
            <w:tcW w:w="0" w:type="dxa"/>
            <w:vAlign w:val="bottom"/>
          </w:tcPr>
          <w:p>
            <w:pPr>
              <w:spacing w:after="0"/>
              <w:rPr>
                <w:sz w:val="1"/>
                <w:szCs w:val="1"/>
                <w:color w:val="auto"/>
              </w:rPr>
            </w:pPr>
          </w:p>
        </w:tc>
      </w:tr>
      <w:tr>
        <w:trPr>
          <w:trHeight w:val="230"/>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tcBorders>
              <w:bottom w:val="single" w:sz="8" w:color="CCEEFF"/>
            </w:tcBorders>
            <w:gridSpan w:val="3"/>
          </w:tcPr>
          <w:p>
            <w:pPr>
              <w:ind w:left="640"/>
              <w:spacing w:after="0"/>
              <w:rPr>
                <w:sz w:val="20"/>
                <w:szCs w:val="20"/>
                <w:color w:val="auto"/>
              </w:rPr>
            </w:pPr>
            <w:r>
              <w:rPr>
                <w:rFonts w:ascii="Times New Roman" w:cs="Times New Roman" w:eastAsia="Times New Roman" w:hAnsi="Times New Roman"/>
                <w:sz w:val="18"/>
                <w:szCs w:val="18"/>
                <w:color w:val="auto"/>
              </w:rPr>
              <w:t>N/A</w:t>
            </w: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right w:val="single" w:sz="8" w:color="auto"/>
            </w:tcBorders>
            <w:gridSpan w:val="2"/>
          </w:tcPr>
          <w:p>
            <w:pPr>
              <w:ind w:left="36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gridSpan w:val="2"/>
          </w:tcPr>
          <w:p>
            <w:pPr>
              <w:ind w:left="640"/>
              <w:spacing w:after="0"/>
              <w:rPr>
                <w:sz w:val="20"/>
                <w:szCs w:val="20"/>
                <w:color w:val="auto"/>
              </w:rPr>
            </w:pPr>
            <w:r>
              <w:rPr>
                <w:rFonts w:ascii="Times New Roman" w:cs="Times New Roman" w:eastAsia="Times New Roman" w:hAnsi="Times New Roman"/>
                <w:sz w:val="18"/>
                <w:szCs w:val="18"/>
                <w:color w:val="auto"/>
              </w:rPr>
              <w:t>N/A</w:t>
            </w:r>
          </w:p>
        </w:tc>
        <w:tc>
          <w:tcPr>
            <w:tcW w:w="9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3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Inventory subtotal</w:t>
            </w: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0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Linefill</w:t>
            </w: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Crude oil</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14,834</w:t>
            </w:r>
          </w:p>
        </w:tc>
        <w:tc>
          <w:tcPr>
            <w:tcW w:w="10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58.99</w:t>
            </w:r>
          </w:p>
        </w:tc>
        <w:tc>
          <w:tcPr>
            <w:tcW w:w="120" w:type="dxa"/>
            <w:vAlign w:val="bottom"/>
            <w:tcBorders>
              <w:right w:val="single" w:sz="8" w:color="auto"/>
            </w:tcBorders>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15,112</w:t>
            </w:r>
          </w:p>
        </w:tc>
        <w:tc>
          <w:tcPr>
            <w:tcW w:w="120" w:type="dxa"/>
            <w:vAlign w:val="bottom"/>
          </w:tcPr>
          <w:p>
            <w:pPr>
              <w:spacing w:after="0"/>
              <w:rPr>
                <w:sz w:val="19"/>
                <w:szCs w:val="19"/>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59.42</w:t>
            </w:r>
          </w:p>
        </w:tc>
        <w:tc>
          <w:tcPr>
            <w:tcW w:w="0" w:type="dxa"/>
            <w:vAlign w:val="bottom"/>
          </w:tcPr>
          <w:p>
            <w:pPr>
              <w:spacing w:after="0"/>
              <w:rPr>
                <w:sz w:val="1"/>
                <w:szCs w:val="1"/>
                <w:color w:val="auto"/>
              </w:rPr>
            </w:pPr>
          </w:p>
        </w:tc>
      </w:tr>
      <w:tr>
        <w:trPr>
          <w:trHeight w:val="229"/>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NGL</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39.97</w:t>
            </w:r>
          </w:p>
        </w:tc>
        <w:tc>
          <w:tcPr>
            <w:tcW w:w="120" w:type="dxa"/>
            <w:vAlign w:val="bottom"/>
            <w:tcBorders>
              <w:right w:val="single" w:sz="8" w:color="auto"/>
            </w:tcBorders>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60.61</w:t>
            </w:r>
          </w:p>
        </w:tc>
        <w:tc>
          <w:tcPr>
            <w:tcW w:w="0" w:type="dxa"/>
            <w:vAlign w:val="bottom"/>
          </w:tcPr>
          <w:p>
            <w:pPr>
              <w:spacing w:after="0"/>
              <w:rPr>
                <w:sz w:val="1"/>
                <w:szCs w:val="1"/>
                <w:color w:val="auto"/>
              </w:rPr>
            </w:pPr>
          </w:p>
        </w:tc>
      </w:tr>
      <w:tr>
        <w:trPr>
          <w:trHeight w:val="223"/>
        </w:trPr>
        <w:tc>
          <w:tcPr>
            <w:tcW w:w="3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Linefill subtotal</w:t>
            </w:r>
          </w:p>
        </w:tc>
        <w:tc>
          <w:tcPr>
            <w:tcW w:w="8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0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inventory</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Crude oil</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3,484</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89.55</w:t>
            </w:r>
          </w:p>
        </w:tc>
        <w:tc>
          <w:tcPr>
            <w:tcW w:w="120" w:type="dxa"/>
            <w:vAlign w:val="bottom"/>
            <w:tcBorders>
              <w:right w:val="single" w:sz="8" w:color="auto"/>
            </w:tcBorders>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3,724</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57.20</w:t>
            </w:r>
          </w:p>
        </w:tc>
        <w:tc>
          <w:tcPr>
            <w:tcW w:w="0" w:type="dxa"/>
            <w:vAlign w:val="bottom"/>
          </w:tcPr>
          <w:p>
            <w:pPr>
              <w:spacing w:after="0"/>
              <w:rPr>
                <w:sz w:val="1"/>
                <w:szCs w:val="1"/>
                <w:color w:val="auto"/>
              </w:rPr>
            </w:pPr>
          </w:p>
        </w:tc>
      </w:tr>
      <w:tr>
        <w:trPr>
          <w:trHeight w:val="230"/>
        </w:trPr>
        <w:tc>
          <w:tcPr>
            <w:tcW w:w="3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NGL</w:t>
            </w:r>
          </w:p>
        </w:tc>
        <w:tc>
          <w:tcPr>
            <w:tcW w:w="98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45.91</w:t>
            </w:r>
          </w:p>
        </w:tc>
        <w:tc>
          <w:tcPr>
            <w:tcW w:w="120" w:type="dxa"/>
            <w:vAlign w:val="bottom"/>
            <w:tcBorders>
              <w:bottom w:val="single" w:sz="8" w:color="CCEEFF"/>
              <w:right w:val="single" w:sz="8" w:color="auto"/>
            </w:tcBorders>
          </w:tcPr>
          <w:p>
            <w:pPr>
              <w:spacing w:after="0"/>
              <w:rPr>
                <w:sz w:val="19"/>
                <w:szCs w:val="19"/>
                <w:color w:val="auto"/>
              </w:rPr>
            </w:pPr>
          </w:p>
        </w:tc>
        <w:tc>
          <w:tcPr>
            <w:tcW w:w="10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barrels</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38.46</w:t>
            </w:r>
          </w:p>
        </w:tc>
        <w:tc>
          <w:tcPr>
            <w:tcW w:w="0" w:type="dxa"/>
            <w:vAlign w:val="bottom"/>
          </w:tcPr>
          <w:p>
            <w:pPr>
              <w:spacing w:after="0"/>
              <w:rPr>
                <w:sz w:val="1"/>
                <w:szCs w:val="1"/>
                <w:color w:val="auto"/>
              </w:rPr>
            </w:pPr>
          </w:p>
        </w:tc>
      </w:tr>
      <w:tr>
        <w:trPr>
          <w:trHeight w:val="223"/>
        </w:trPr>
        <w:tc>
          <w:tcPr>
            <w:tcW w:w="3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inventory subtotal</w:t>
            </w: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0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0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660" w:right="360" w:hanging="652"/>
        <w:spacing w:after="0" w:line="229" w:lineRule="auto"/>
        <w:tabs>
          <w:tab w:leader="none" w:pos="648"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Price per unit of measure is comprised of a weighted average associated with various grades, qualities and locations. Accordingly, these prices may not coincide with any published benchmarks for such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6—Debt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Debt consisted of the following (in millions):</w:t>
      </w:r>
    </w:p>
    <w:p>
      <w:pPr>
        <w:spacing w:after="0" w:line="286" w:lineRule="exact"/>
        <w:rPr>
          <w:sz w:val="20"/>
          <w:szCs w:val="20"/>
          <w:color w:val="auto"/>
        </w:rPr>
      </w:pPr>
    </w:p>
    <w:p>
      <w:pPr>
        <w:jc w:val="right"/>
        <w:ind w:right="300"/>
        <w:spacing w:after="0"/>
        <w:tabs>
          <w:tab w:leader="none" w:pos="820" w:val="left"/>
        </w:tabs>
        <w:rPr>
          <w:sz w:val="20"/>
          <w:szCs w:val="20"/>
          <w:color w:val="auto"/>
        </w:rPr>
      </w:pPr>
      <w:r>
        <w:rPr>
          <w:rFonts w:ascii="Times New Roman" w:cs="Times New Roman" w:eastAsia="Times New Roman" w:hAnsi="Times New Roman"/>
          <w:sz w:val="14"/>
          <w:szCs w:val="14"/>
          <w:b w:val="1"/>
          <w:bCs w:val="1"/>
          <w:color w:val="auto"/>
        </w:rPr>
        <w:t>March 31,</w:t>
      </w:r>
      <w:r>
        <w:rPr>
          <w:sz w:val="20"/>
          <w:szCs w:val="20"/>
          <w:color w:val="auto"/>
        </w:rPr>
        <w:tab/>
      </w:r>
      <w:r>
        <w:rPr>
          <w:rFonts w:ascii="Times New Roman" w:cs="Times New Roman" w:eastAsia="Times New Roman" w:hAnsi="Times New Roman"/>
          <w:sz w:val="14"/>
          <w:szCs w:val="14"/>
          <w:b w:val="1"/>
          <w:bCs w:val="1"/>
          <w:color w:val="auto"/>
        </w:rPr>
        <w:t>December 31,</w:t>
      </w:r>
    </w:p>
    <w:p>
      <w:pPr>
        <w:spacing w:after="0" w:line="6" w:lineRule="exact"/>
        <w:rPr>
          <w:sz w:val="20"/>
          <w:szCs w:val="20"/>
          <w:color w:val="auto"/>
        </w:rPr>
      </w:pPr>
    </w:p>
    <w:p>
      <w:pPr>
        <w:ind w:left="8840"/>
        <w:spacing w:after="0"/>
        <w:tabs>
          <w:tab w:leader="none" w:pos="1036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ectPr>
          <w:pgSz w:w="11900" w:h="16838" w:orient="portrait"/>
          <w:cols w:equalWidth="0" w:num="1">
            <w:col w:w="11240"/>
          </w:cols>
          <w:pgMar w:left="320" w:top="121" w:right="339" w:bottom="1440" w:gutter="0" w:footer="0" w:header="0"/>
        </w:sectPr>
      </w:pP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SHORT-TERM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Commercial paper notes, bearing a weighted-average interest rate of 4.1% and 3.9%, respectively </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w:t>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 short-term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 xml:space="preserve">Senior notes, net of unamortized discounts and debt issuance costs of $63 and $65, respectively </w:t>
      </w:r>
      <w:r>
        <w:rPr>
          <w:rFonts w:ascii="Times New Roman" w:cs="Times New Roman" w:eastAsia="Times New Roman" w:hAnsi="Times New Roman"/>
          <w:sz w:val="23"/>
          <w:szCs w:val="23"/>
          <w:color w:val="auto"/>
          <w:vertAlign w:val="superscript"/>
        </w:rPr>
        <w:t>(2)</w:t>
      </w:r>
    </w:p>
    <w:p>
      <w:pPr>
        <w:ind w:left="20"/>
        <w:spacing w:after="0" w:line="218" w:lineRule="auto"/>
        <w:rPr>
          <w:sz w:val="20"/>
          <w:szCs w:val="20"/>
          <w:color w:val="auto"/>
        </w:rPr>
      </w:pPr>
      <w:r>
        <w:rPr>
          <w:rFonts w:ascii="Times New Roman" w:cs="Times New Roman" w:eastAsia="Times New Roman" w:hAnsi="Times New Roman"/>
          <w:sz w:val="18"/>
          <w:szCs w:val="18"/>
          <w:color w:val="auto"/>
        </w:rPr>
        <w:t xml:space="preserve">Commercial paper notes, bearing a weighted-average interest rate of 4.1% and 3.9%, respectively </w:t>
      </w:r>
      <w:r>
        <w:rPr>
          <w:rFonts w:ascii="Times New Roman" w:cs="Times New Roman" w:eastAsia="Times New Roman" w:hAnsi="Times New Roman"/>
          <w:sz w:val="23"/>
          <w:szCs w:val="23"/>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2660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ind w:left="180" w:hanging="161"/>
        <w:spacing w:after="0" w:line="213" w:lineRule="auto"/>
        <w:rPr>
          <w:sz w:val="20"/>
          <w:szCs w:val="20"/>
          <w:color w:val="auto"/>
        </w:rPr>
      </w:pPr>
      <w:r>
        <w:rPr>
          <w:rFonts w:ascii="Times New Roman" w:cs="Times New Roman" w:eastAsia="Times New Roman" w:hAnsi="Times New Roman"/>
          <w:sz w:val="18"/>
          <w:szCs w:val="18"/>
          <w:color w:val="auto"/>
        </w:rPr>
        <w:t xml:space="preserve">Term loan, net of debt issuance costs of $1 and $1, respectively, and bearing a weighted-average interest rate of 4.8% and 5.0%, respectively </w:t>
      </w:r>
      <w:r>
        <w:rPr>
          <w:rFonts w:ascii="Times New Roman" w:cs="Times New Roman" w:eastAsia="Times New Roman" w:hAnsi="Times New Roman"/>
          <w:sz w:val="23"/>
          <w:szCs w:val="23"/>
          <w:color w:val="auto"/>
          <w:vertAlign w:val="superscript"/>
        </w:rPr>
        <w:t>(4)</w:t>
      </w:r>
    </w:p>
    <w:p>
      <w:pPr>
        <w:ind w:left="20"/>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360"/>
        <w:spacing w:after="0"/>
        <w:rPr>
          <w:sz w:val="20"/>
          <w:szCs w:val="20"/>
          <w:color w:val="auto"/>
        </w:rPr>
      </w:pPr>
      <w:r>
        <w:rPr>
          <w:rFonts w:ascii="Times New Roman" w:cs="Times New Roman" w:eastAsia="Times New Roman" w:hAnsi="Times New Roman"/>
          <w:sz w:val="18"/>
          <w:szCs w:val="18"/>
          <w:color w:val="auto"/>
        </w:rPr>
        <w:t>Total long-term debt</w:t>
      </w:r>
    </w:p>
    <w:p>
      <w:pPr>
        <w:spacing w:after="0" w:line="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Total debt </w:t>
      </w:r>
      <w:r>
        <w:rPr>
          <w:rFonts w:ascii="Times New Roman" w:cs="Times New Roman" w:eastAsia="Times New Roman" w:hAnsi="Times New Roman"/>
          <w:sz w:val="23"/>
          <w:szCs w:val="23"/>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24599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r>
      <w:tr>
        <w:trPr>
          <w:trHeight w:val="234"/>
        </w:trPr>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8"/>
        </w:trPr>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r>
      <w:tr>
        <w:trPr>
          <w:trHeight w:val="665"/>
        </w:trPr>
        <w:tc>
          <w:tcPr>
            <w:tcW w:w="5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9,120</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9,118</w:t>
            </w:r>
          </w:p>
        </w:tc>
      </w:tr>
      <w:tr>
        <w:trPr>
          <w:trHeight w:val="234"/>
        </w:trPr>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r>
      <w:tr>
        <w:trPr>
          <w:trHeight w:val="414"/>
        </w:trPr>
        <w:tc>
          <w:tcPr>
            <w:tcW w:w="5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r>
      <w:tr>
        <w:trPr>
          <w:trHeight w:val="234"/>
        </w:trPr>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3"/>
        </w:trPr>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10,956</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10,696</w:t>
            </w:r>
          </w:p>
        </w:tc>
      </w:tr>
      <w:tr>
        <w:trPr>
          <w:trHeight w:val="223"/>
        </w:trPr>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11,376</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11,259</w:t>
            </w:r>
          </w:p>
        </w:tc>
      </w:tr>
      <w:tr>
        <w:trPr>
          <w:trHeight w:val="21"/>
        </w:trPr>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040" w:space="220"/>
            <w:col w:w="2980"/>
          </w:cols>
          <w:pgMar w:left="320" w:top="121" w:right="339" w:bottom="1440" w:gutter="0" w:footer="0" w:header="0"/>
          <w:type w:val="continuous"/>
        </w:sectPr>
      </w:pP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jc w:val="both"/>
        <w:ind w:right="80" w:hanging="11"/>
        <w:spacing w:after="0" w:line="266" w:lineRule="auto"/>
        <w:rPr>
          <w:sz w:val="20"/>
          <w:szCs w:val="20"/>
          <w:color w:val="auto"/>
        </w:rPr>
      </w:pPr>
      <w:r>
        <w:rPr>
          <w:rFonts w:ascii="Times New Roman" w:cs="Times New Roman" w:eastAsia="Times New Roman" w:hAnsi="Times New Roman"/>
          <w:sz w:val="18"/>
          <w:szCs w:val="18"/>
          <w:color w:val="auto"/>
        </w:rPr>
        <w:t>We classified these commercial paper notes as short-term as of March 31, 2026 and December 31, 2025, as these notes were primarily designated as working capital borrowings, were required to be repaid within one year and were primarily for hedged inventory and NYMEX and ICE margin deposits.</w:t>
      </w:r>
    </w:p>
    <w:p>
      <w:pPr>
        <w:spacing w:after="0" w:line="68" w:lineRule="exact"/>
        <w:rPr>
          <w:sz w:val="20"/>
          <w:szCs w:val="20"/>
          <w:color w:val="auto"/>
        </w:rPr>
      </w:pPr>
    </w:p>
    <w:p>
      <w:pPr>
        <w:jc w:val="both"/>
        <w:ind w:right="100" w:hanging="11"/>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we classified our $750 million, 4.50% senior notes due December 2026 as long-term based on our ability and intent to refinance the notes on a long-term basis.</w:t>
      </w:r>
    </w:p>
    <w:p>
      <w:pPr>
        <w:spacing w:after="0" w:line="54" w:lineRule="exact"/>
        <w:rPr>
          <w:sz w:val="20"/>
          <w:szCs w:val="20"/>
          <w:color w:val="auto"/>
        </w:rPr>
      </w:pPr>
    </w:p>
    <w:p>
      <w:pPr>
        <w:jc w:val="both"/>
        <w:ind w:right="120" w:hanging="11"/>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we classified a portion of our commercial paper notes as long-term based on our ability and intent to refinance such amounts on a long-term basis.</w:t>
      </w:r>
    </w:p>
    <w:p>
      <w:pPr>
        <w:spacing w:after="0" w:line="54" w:lineRule="exact"/>
        <w:rPr>
          <w:sz w:val="20"/>
          <w:szCs w:val="20"/>
          <w:color w:val="auto"/>
        </w:rPr>
      </w:pPr>
    </w:p>
    <w:p>
      <w:pPr>
        <w:ind w:right="180" w:hanging="11"/>
        <w:spacing w:after="0" w:line="266" w:lineRule="auto"/>
        <w:rPr>
          <w:sz w:val="20"/>
          <w:szCs w:val="20"/>
          <w:color w:val="auto"/>
        </w:rPr>
      </w:pPr>
      <w:r>
        <w:rPr>
          <w:rFonts w:ascii="Times New Roman" w:cs="Times New Roman" w:eastAsia="Times New Roman" w:hAnsi="Times New Roman"/>
          <w:sz w:val="18"/>
          <w:szCs w:val="18"/>
          <w:color w:val="auto"/>
        </w:rPr>
        <w:t>The closing of the Canadian NGL Business divestiture will trigger mandatory prepayment of all amounts outstanding under the term loan agreement within seven business days of the closing of such divestiture. See Note 1 for additional information about the pending Canadian NGL Business divestiture.</w:t>
      </w:r>
    </w:p>
    <w:p>
      <w:pPr>
        <w:spacing w:after="0" w:line="68" w:lineRule="exact"/>
        <w:rPr>
          <w:sz w:val="20"/>
          <w:szCs w:val="20"/>
          <w:color w:val="auto"/>
        </w:rPr>
      </w:pPr>
    </w:p>
    <w:p>
      <w:pPr>
        <w:ind w:right="20" w:hanging="11"/>
        <w:spacing w:after="0" w:line="255" w:lineRule="auto"/>
        <w:rPr>
          <w:sz w:val="20"/>
          <w:szCs w:val="20"/>
          <w:color w:val="auto"/>
        </w:rPr>
      </w:pPr>
      <w:r>
        <w:rPr>
          <w:rFonts w:ascii="Times New Roman" w:cs="Times New Roman" w:eastAsia="Times New Roman" w:hAnsi="Times New Roman"/>
          <w:sz w:val="18"/>
          <w:szCs w:val="18"/>
          <w:color w:val="auto"/>
        </w:rPr>
        <w:t>Our fixed-rate senior notes had a face value of approximately $9.2 billion at both March 31, 2026 and December 31, 2025. We estimated the aggregate fair value of these notes as of March 31, 2026 and December 31, 2025 to be approximately $8.9 billion and $9.0 billion, respectively. Our fixed-rate senior notes are traded among institutions, and these trades are routinely published by a reporting service. Our determination of fair value is based on reported trading activity near the end of the reporting period. We estimate that the carrying value of outstanding borrowings under our commercial paper program and our term loan approximate fair value as interest rates reflect current market rates. The fair value estimates for our senior notes, commercial paper program and term loan are based upon observable market data and are classified in Level 2 of the fair value hierarchy.</w:t>
      </w:r>
    </w:p>
    <w:p>
      <w:pPr>
        <w:spacing w:after="0" w:line="200" w:lineRule="exact"/>
        <w:rPr>
          <w:sz w:val="20"/>
          <w:szCs w:val="20"/>
          <w:color w:val="auto"/>
        </w:rPr>
      </w:pPr>
    </w:p>
    <w:p>
      <w:pPr>
        <w:sectPr>
          <w:pgSz w:w="11900" w:h="16838" w:orient="portrait"/>
          <w:cols w:equalWidth="0" w:num="2">
            <w:col w:w="140" w:space="520"/>
            <w:col w:w="10580"/>
          </w:cols>
          <w:pgMar w:left="320" w:top="121" w:right="33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Borrowings and Repayments</w:t>
      </w:r>
    </w:p>
    <w:p>
      <w:pPr>
        <w:spacing w:after="0" w:line="22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Total borrowings under our credit facilities and commercial paper program for the three months ended March 31, 2026 and 2025 were approximately $26.5 billion and $12.9 billion, respectively. Total repayments under our commercial paper program were approximately $26.4 billion and $12.8 billion for the three months ended March 31, 2026 and 2025, respectively. The variance in total gross borrowings and repayments is impacted by various business and financial factors including, but not limited to, the timing, average term and method of general partnership borrowing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22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our merchant activities, we provide certain suppliers with irrevocable standby letters of credit to secure our obligation for the purchase and transportation of crude oil and NGL. Additionally, we issue letters of credit to support insurance programs, derivative transactions, including hedging-related margin obligations, and construction activities. At March 31, 2026 and December 31, 2025, we had outstanding letters of credit of $118 million and $95 million,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7—Partners’ Capital and Distributions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Units Outstanding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the activity for our preferred and common units: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Limited Partners</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740" w:type="dxa"/>
            <w:vAlign w:val="bottom"/>
          </w:tcPr>
          <w:p>
            <w:pPr>
              <w:spacing w:after="0"/>
              <w:rPr>
                <w:sz w:val="11"/>
                <w:szCs w:val="11"/>
                <w:color w:val="auto"/>
              </w:rPr>
            </w:pPr>
          </w:p>
        </w:tc>
        <w:tc>
          <w:tcPr>
            <w:tcW w:w="152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1540" w:type="dxa"/>
            <w:vAlign w:val="bottom"/>
            <w:gridSpan w:val="2"/>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144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0" w:type="dxa"/>
            <w:vAlign w:val="bottom"/>
          </w:tcPr>
          <w:p>
            <w:pPr>
              <w:spacing w:after="0"/>
              <w:rPr>
                <w:sz w:val="1"/>
                <w:szCs w:val="1"/>
                <w:color w:val="auto"/>
              </w:rPr>
            </w:pPr>
          </w:p>
        </w:tc>
      </w:tr>
      <w:tr>
        <w:trPr>
          <w:trHeight w:val="195"/>
        </w:trPr>
        <w:tc>
          <w:tcPr>
            <w:tcW w:w="6740" w:type="dxa"/>
            <w:vAlign w:val="bottom"/>
          </w:tcPr>
          <w:p>
            <w:pPr>
              <w:spacing w:after="0"/>
              <w:rPr>
                <w:sz w:val="16"/>
                <w:szCs w:val="16"/>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Preferred Units</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Preferred Units</w:t>
            </w: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6740" w:type="dxa"/>
            <w:vAlign w:val="bottom"/>
            <w:tcBorders>
              <w:top w:val="single" w:sz="8" w:color="CCEEFF"/>
              <w:bottom w:val="single" w:sz="8" w:color="CCEEFF"/>
            </w:tcBorders>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Outstanding at December 31, 2025</w:t>
            </w:r>
          </w:p>
        </w:tc>
        <w:tc>
          <w:tcPr>
            <w:tcW w:w="1420" w:type="dxa"/>
            <w:vAlign w:val="bottom"/>
            <w:tcBorders>
              <w:top w:val="single" w:sz="8" w:color="auto"/>
              <w:bottom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58,411,908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800,000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705,520,697</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Issuances of common units under equity-indexed compensation plans</w:t>
            </w:r>
          </w:p>
        </w:tc>
        <w:tc>
          <w:tcPr>
            <w:tcW w:w="1520" w:type="dxa"/>
            <w:vAlign w:val="bottom"/>
            <w:tcBorders>
              <w:top w:val="single" w:sz="8" w:color="CCEEFF"/>
            </w:tcBorders>
            <w:gridSpan w:val="2"/>
          </w:tcPr>
          <w:p>
            <w:pPr>
              <w:spacing w:after="0" w:line="20" w:lineRule="exact"/>
              <w:rPr>
                <w:sz w:val="1"/>
                <w:szCs w:val="1"/>
                <w:color w:val="auto"/>
              </w:rPr>
            </w:pPr>
          </w:p>
        </w:tc>
        <w:tc>
          <w:tcPr>
            <w:tcW w:w="1540" w:type="dxa"/>
            <w:vAlign w:val="bottom"/>
            <w:tcBorders>
              <w:top w:val="single" w:sz="8" w:color="CCEEFF"/>
            </w:tcBorders>
            <w:gridSpan w:val="2"/>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40" w:type="dxa"/>
            <w:vAlign w:val="bottom"/>
            <w:tcBorders>
              <w:top w:val="single" w:sz="8" w:color="CCEEFF"/>
              <w:bottom w:val="single" w:sz="8" w:color="CCEEFF"/>
            </w:tcBorders>
            <w:vMerge w:val="continue"/>
          </w:tcPr>
          <w:p>
            <w:pPr>
              <w:spacing w:after="0"/>
              <w:rPr>
                <w:sz w:val="17"/>
                <w:szCs w:val="17"/>
                <w:color w:val="auto"/>
              </w:rPr>
            </w:pPr>
          </w:p>
        </w:tc>
        <w:tc>
          <w:tcPr>
            <w:tcW w:w="14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7"/>
                <w:szCs w:val="17"/>
                <w:color w:val="auto"/>
              </w:rPr>
            </w:pPr>
          </w:p>
        </w:tc>
        <w:tc>
          <w:tcPr>
            <w:tcW w:w="14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7"/>
                <w:szCs w:val="17"/>
                <w:color w:val="auto"/>
              </w:rPr>
            </w:pPr>
          </w:p>
        </w:tc>
        <w:tc>
          <w:tcPr>
            <w:tcW w:w="14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10,986</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2026</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58,411,908</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705,531,683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3"/>
        </w:trPr>
        <w:tc>
          <w:tcPr>
            <w:tcW w:w="67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Limited Partners</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740" w:type="dxa"/>
            <w:vAlign w:val="bottom"/>
          </w:tcPr>
          <w:p>
            <w:pPr>
              <w:spacing w:after="0"/>
              <w:rPr>
                <w:sz w:val="11"/>
                <w:szCs w:val="11"/>
                <w:color w:val="auto"/>
              </w:rPr>
            </w:pPr>
          </w:p>
        </w:tc>
        <w:tc>
          <w:tcPr>
            <w:tcW w:w="1520" w:type="dxa"/>
            <w:vAlign w:val="bottom"/>
            <w:gridSpan w:val="2"/>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154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144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Common Units</w:t>
            </w: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Preferred Units</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Preferred Units</w:t>
            </w:r>
          </w:p>
        </w:tc>
        <w:tc>
          <w:tcPr>
            <w:tcW w:w="1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71,090,468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703,770,300</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vMerge w:val="restart"/>
          </w:tcPr>
          <w:p>
            <w:pPr>
              <w:ind w:left="200"/>
              <w:spacing w:after="0"/>
              <w:rPr>
                <w:sz w:val="20"/>
                <w:szCs w:val="20"/>
                <w:color w:val="auto"/>
              </w:rPr>
            </w:pPr>
            <w:r>
              <w:rPr>
                <w:rFonts w:ascii="Times New Roman" w:cs="Times New Roman" w:eastAsia="Times New Roman" w:hAnsi="Times New Roman"/>
                <w:sz w:val="18"/>
                <w:szCs w:val="18"/>
                <w:color w:val="auto"/>
              </w:rPr>
              <w:t>Repurchase of Series A preferred units</w:t>
            </w: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gridSpan w:val="2"/>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40" w:type="dxa"/>
            <w:vAlign w:val="bottom"/>
            <w:tcBorders>
              <w:top w:val="single" w:sz="8" w:color="CCEEFF"/>
            </w:tcBorders>
            <w:vMerge w:val="continue"/>
          </w:tcPr>
          <w:p>
            <w:pPr>
              <w:spacing w:after="0"/>
              <w:rPr>
                <w:sz w:val="17"/>
                <w:szCs w:val="17"/>
                <w:color w:val="auto"/>
              </w:rPr>
            </w:pPr>
          </w:p>
        </w:tc>
        <w:tc>
          <w:tcPr>
            <w:tcW w:w="14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(12,678,560)</w:t>
            </w:r>
          </w:p>
        </w:tc>
        <w:tc>
          <w:tcPr>
            <w:tcW w:w="100" w:type="dxa"/>
            <w:vAlign w:val="bottom"/>
          </w:tcPr>
          <w:p>
            <w:pPr>
              <w:spacing w:after="0"/>
              <w:rPr>
                <w:sz w:val="17"/>
                <w:szCs w:val="17"/>
                <w:color w:val="auto"/>
              </w:rPr>
            </w:pPr>
          </w:p>
        </w:tc>
        <w:tc>
          <w:tcPr>
            <w:tcW w:w="14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4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Issuances of common units under equity-indexed compensation plans</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5,650</w:t>
            </w:r>
          </w:p>
        </w:tc>
        <w:tc>
          <w:tcPr>
            <w:tcW w:w="0" w:type="dxa"/>
            <w:vAlign w:val="bottom"/>
          </w:tcPr>
          <w:p>
            <w:pPr>
              <w:spacing w:after="0"/>
              <w:rPr>
                <w:sz w:val="1"/>
                <w:szCs w:val="1"/>
                <w:color w:val="auto"/>
              </w:rPr>
            </w:pP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March 31, 2025</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58,411,908</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703,775,950</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to Our Unitholders</w:t>
      </w:r>
    </w:p>
    <w:p>
      <w:pPr>
        <w:spacing w:after="0" w:line="254"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Series A Preferred Unit Distributions</w:t>
      </w:r>
      <w:r>
        <w:rPr>
          <w:rFonts w:ascii="Times New Roman" w:cs="Times New Roman" w:eastAsia="Times New Roman" w:hAnsi="Times New Roman"/>
          <w:sz w:val="18"/>
          <w:szCs w:val="18"/>
          <w:color w:val="auto"/>
        </w:rPr>
        <w:t>. Distributions on the Series A preferred units accumulate and are payable quarterly within 45 days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end of each quarter. See Note 12 to our Consolidated Financial Statements included in Part IV of our 2025 Annual Report on Form 10-K for additional information regarding Series A preferred unit distributions. The following table details distributions to our Series A preferred unitholders paid during or pertaining to the first three months of 2026 (in millions, except per unit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Series A Preferred Unitholders</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Distribution Payment Date</w:t>
            </w:r>
          </w:p>
        </w:tc>
        <w:tc>
          <w:tcPr>
            <w:tcW w:w="2700" w:type="dxa"/>
            <w:vAlign w:val="bottom"/>
            <w:gridSpan w:val="3"/>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 xml:space="preserve">Record Date </w:t>
            </w:r>
            <w:r>
              <w:rPr>
                <w:rFonts w:ascii="Times New Roman" w:cs="Times New Roman" w:eastAsia="Times New Roman" w:hAnsi="Times New Roman"/>
                <w:sz w:val="9"/>
                <w:szCs w:val="9"/>
                <w:b w:val="1"/>
                <w:bCs w:val="1"/>
                <w:color w:val="auto"/>
              </w:rPr>
              <w:t>(1)</w:t>
            </w:r>
          </w:p>
        </w:tc>
        <w:tc>
          <w:tcPr>
            <w:tcW w:w="27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Distribution Period</w:t>
            </w: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760" w:type="dxa"/>
            <w:vAlign w:val="bottom"/>
            <w:gridSpan w:val="2"/>
            <w:vMerge w:val="continue"/>
          </w:tcPr>
          <w:p>
            <w:pPr>
              <w:spacing w:after="0"/>
              <w:rPr>
                <w:sz w:val="16"/>
                <w:szCs w:val="16"/>
                <w:color w:val="auto"/>
              </w:rPr>
            </w:pPr>
          </w:p>
        </w:tc>
        <w:tc>
          <w:tcPr>
            <w:tcW w:w="2700" w:type="dxa"/>
            <w:vAlign w:val="bottom"/>
            <w:gridSpan w:val="3"/>
            <w:vMerge w:val="continue"/>
          </w:tcPr>
          <w:p>
            <w:pPr>
              <w:spacing w:after="0"/>
              <w:rPr>
                <w:sz w:val="16"/>
                <w:szCs w:val="16"/>
                <w:color w:val="auto"/>
              </w:rPr>
            </w:pPr>
          </w:p>
        </w:tc>
        <w:tc>
          <w:tcPr>
            <w:tcW w:w="2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Cash Distribution</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Distribution per Unit</w:t>
            </w:r>
          </w:p>
        </w:tc>
        <w:tc>
          <w:tcPr>
            <w:tcW w:w="0" w:type="dxa"/>
            <w:vAlign w:val="bottom"/>
          </w:tcPr>
          <w:p>
            <w:pPr>
              <w:spacing w:after="0"/>
              <w:rPr>
                <w:sz w:val="1"/>
                <w:szCs w:val="1"/>
                <w:color w:val="auto"/>
              </w:rPr>
            </w:pPr>
          </w:p>
        </w:tc>
      </w:tr>
      <w:tr>
        <w:trPr>
          <w:trHeight w:val="184"/>
        </w:trPr>
        <w:tc>
          <w:tcPr>
            <w:tcW w:w="2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0" w:type="dxa"/>
            <w:vAlign w:val="bottom"/>
            <w:tcBorders>
              <w:top w:val="single" w:sz="8" w:color="auto"/>
            </w:tcBorders>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rPr>
              <w:t>January 1, 2026 through March 31,</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760" w:type="dxa"/>
            <w:vAlign w:val="bottom"/>
            <w:gridSpan w:val="2"/>
            <w:shd w:val="clear" w:color="auto" w:fill="CCEEFF"/>
          </w:tcPr>
          <w:p>
            <w:pPr>
              <w:ind w:left="20"/>
              <w:spacing w:after="0" w:line="234" w:lineRule="exact"/>
              <w:rPr>
                <w:sz w:val="20"/>
                <w:szCs w:val="20"/>
                <w:color w:val="auto"/>
              </w:rPr>
            </w:pPr>
            <w:r>
              <w:rPr>
                <w:rFonts w:ascii="Times New Roman" w:cs="Times New Roman" w:eastAsia="Times New Roman" w:hAnsi="Times New Roman"/>
                <w:sz w:val="18"/>
                <w:szCs w:val="18"/>
                <w:color w:val="auto"/>
              </w:rPr>
              <w:t xml:space="preserve">May 15, 2026 </w:t>
            </w:r>
            <w:r>
              <w:rPr>
                <w:rFonts w:ascii="Times New Roman" w:cs="Times New Roman" w:eastAsia="Times New Roman" w:hAnsi="Times New Roman"/>
                <w:sz w:val="23"/>
                <w:szCs w:val="23"/>
                <w:color w:val="auto"/>
                <w:vertAlign w:val="superscript"/>
              </w:rPr>
              <w:t>(2)</w:t>
            </w:r>
          </w:p>
        </w:tc>
        <w:tc>
          <w:tcPr>
            <w:tcW w:w="2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1, 2026</w:t>
            </w:r>
          </w:p>
        </w:tc>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0.615</w:t>
            </w:r>
          </w:p>
        </w:tc>
        <w:tc>
          <w:tcPr>
            <w:tcW w:w="0" w:type="dxa"/>
            <w:vAlign w:val="bottom"/>
          </w:tcPr>
          <w:p>
            <w:pPr>
              <w:spacing w:after="0"/>
              <w:rPr>
                <w:sz w:val="1"/>
                <w:szCs w:val="1"/>
                <w:color w:val="auto"/>
              </w:rPr>
            </w:pPr>
          </w:p>
        </w:tc>
      </w:tr>
      <w:tr>
        <w:trPr>
          <w:trHeight w:val="184"/>
        </w:trPr>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gridSpan w:val="2"/>
          </w:tcPr>
          <w:p>
            <w:pPr>
              <w:jc w:val="center"/>
              <w:ind w:right="120"/>
              <w:spacing w:after="0" w:line="184" w:lineRule="exact"/>
              <w:rPr>
                <w:sz w:val="20"/>
                <w:szCs w:val="20"/>
                <w:color w:val="auto"/>
              </w:rPr>
            </w:pPr>
            <w:r>
              <w:rPr>
                <w:rFonts w:ascii="Times New Roman" w:cs="Times New Roman" w:eastAsia="Times New Roman" w:hAnsi="Times New Roman"/>
                <w:sz w:val="18"/>
                <w:szCs w:val="18"/>
                <w:color w:val="auto"/>
              </w:rPr>
              <w:t>October 1, 2025 through December</w:t>
            </w: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13, 2026</w:t>
            </w:r>
          </w:p>
        </w:tc>
        <w:tc>
          <w:tcPr>
            <w:tcW w:w="2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January 30, 2026</w:t>
            </w:r>
          </w:p>
        </w:tc>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31, 2025</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0.615</w:t>
            </w:r>
          </w:p>
        </w:tc>
        <w:tc>
          <w:tcPr>
            <w:tcW w:w="0" w:type="dxa"/>
            <w:vAlign w:val="bottom"/>
          </w:tcPr>
          <w:p>
            <w:pPr>
              <w:spacing w:after="0"/>
              <w:rPr>
                <w:sz w:val="1"/>
                <w:szCs w:val="1"/>
                <w:color w:val="auto"/>
              </w:rPr>
            </w:pPr>
          </w:p>
        </w:tc>
      </w:tr>
      <w:tr>
        <w:trPr>
          <w:trHeight w:val="175"/>
        </w:trPr>
        <w:tc>
          <w:tcPr>
            <w:tcW w:w="2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Payable to unitholders of record at the close of business on the applicable Record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March 31, 2026, such amount was accrued as distributions payable in “Other current liabilities” on our Condensed Consolidated Balance Sheet.</w:t>
      </w:r>
    </w:p>
    <w:p>
      <w:pPr>
        <w:spacing w:after="0" w:line="200" w:lineRule="exact"/>
        <w:rPr>
          <w:sz w:val="20"/>
          <w:szCs w:val="20"/>
          <w:color w:val="auto"/>
        </w:rPr>
      </w:pPr>
    </w:p>
    <w:p>
      <w:pPr>
        <w:sectPr>
          <w:pgSz w:w="11900" w:h="16838" w:orient="portrait"/>
          <w:cols w:equalWidth="0" w:num="2">
            <w:col w:w="140" w:space="500"/>
            <w:col w:w="1060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4"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Series B Preferred Unit Distributions</w:t>
      </w:r>
      <w:r>
        <w:rPr>
          <w:rFonts w:ascii="Times New Roman" w:cs="Times New Roman" w:eastAsia="Times New Roman" w:hAnsi="Times New Roman"/>
          <w:sz w:val="18"/>
          <w:szCs w:val="18"/>
          <w:color w:val="auto"/>
        </w:rPr>
        <w:t>. Distributions on the Series B preferred units accumulate and are payable quarterly in arrears on the 15th day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February, May, August and November (or the immediately succeeding Business Day). See Note 12 to our Consolidated Financial Statements included in Part IV of our 2025 Annual Report on Form 10-K for additional information regarding Series B preferred unit distributions. The following table details distributions paid or to be paid to our Series B preferred unitholders (in millions, except per unit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Series B Preferred Unitholders</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Distribution Payment Date</w:t>
            </w:r>
          </w:p>
        </w:tc>
        <w:tc>
          <w:tcPr>
            <w:tcW w:w="2720" w:type="dxa"/>
            <w:vAlign w:val="bottom"/>
            <w:gridSpan w:val="3"/>
            <w:vMerge w:val="restart"/>
          </w:tcPr>
          <w:p>
            <w:pPr>
              <w:ind w:left="840"/>
              <w:spacing w:after="0"/>
              <w:rPr>
                <w:sz w:val="20"/>
                <w:szCs w:val="20"/>
                <w:color w:val="auto"/>
              </w:rPr>
            </w:pPr>
            <w:r>
              <w:rPr>
                <w:rFonts w:ascii="Times New Roman" w:cs="Times New Roman" w:eastAsia="Times New Roman" w:hAnsi="Times New Roman"/>
                <w:sz w:val="14"/>
                <w:szCs w:val="14"/>
                <w:b w:val="1"/>
                <w:bCs w:val="1"/>
                <w:color w:val="auto"/>
              </w:rPr>
              <w:t xml:space="preserve">Record Date </w:t>
            </w:r>
            <w:r>
              <w:rPr>
                <w:rFonts w:ascii="Times New Roman" w:cs="Times New Roman" w:eastAsia="Times New Roman" w:hAnsi="Times New Roman"/>
                <w:sz w:val="18"/>
                <w:szCs w:val="18"/>
                <w:b w:val="1"/>
                <w:bCs w:val="1"/>
                <w:color w:val="auto"/>
                <w:vertAlign w:val="superscript"/>
              </w:rPr>
              <w:t>(1)</w:t>
            </w:r>
          </w:p>
        </w:tc>
        <w:tc>
          <w:tcPr>
            <w:tcW w:w="27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Distribution Period</w:t>
            </w: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760" w:type="dxa"/>
            <w:vAlign w:val="bottom"/>
            <w:gridSpan w:val="2"/>
            <w:vMerge w:val="continue"/>
          </w:tcPr>
          <w:p>
            <w:pPr>
              <w:spacing w:after="0"/>
              <w:rPr>
                <w:sz w:val="17"/>
                <w:szCs w:val="17"/>
                <w:color w:val="auto"/>
              </w:rPr>
            </w:pPr>
          </w:p>
        </w:tc>
        <w:tc>
          <w:tcPr>
            <w:tcW w:w="2720" w:type="dxa"/>
            <w:vAlign w:val="bottom"/>
            <w:gridSpan w:val="3"/>
            <w:vMerge w:val="continue"/>
          </w:tcPr>
          <w:p>
            <w:pPr>
              <w:spacing w:after="0"/>
              <w:rPr>
                <w:sz w:val="17"/>
                <w:szCs w:val="17"/>
                <w:color w:val="auto"/>
              </w:rPr>
            </w:pPr>
          </w:p>
        </w:tc>
        <w:tc>
          <w:tcPr>
            <w:tcW w:w="27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Cash Distribution</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Distribution per Unit</w:t>
            </w:r>
          </w:p>
        </w:tc>
        <w:tc>
          <w:tcPr>
            <w:tcW w:w="0" w:type="dxa"/>
            <w:vAlign w:val="bottom"/>
          </w:tcPr>
          <w:p>
            <w:pPr>
              <w:spacing w:after="0"/>
              <w:rPr>
                <w:sz w:val="1"/>
                <w:szCs w:val="1"/>
                <w:color w:val="auto"/>
              </w:rPr>
            </w:pPr>
          </w:p>
        </w:tc>
      </w:tr>
      <w:tr>
        <w:trPr>
          <w:trHeight w:val="169"/>
        </w:trPr>
        <w:tc>
          <w:tcPr>
            <w:tcW w:w="266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5"/>
                <w:szCs w:val="15"/>
                <w:color w:val="auto"/>
              </w:rPr>
              <w:t xml:space="preserve">May 15, 2026 </w:t>
            </w:r>
            <w:r>
              <w:rPr>
                <w:rFonts w:ascii="Times New Roman" w:cs="Times New Roman" w:eastAsia="Times New Roman" w:hAnsi="Times New Roman"/>
                <w:sz w:val="19"/>
                <w:szCs w:val="19"/>
                <w:color w:val="auto"/>
                <w:vertAlign w:val="superscript"/>
              </w:rPr>
              <w:t>(2)</w:t>
            </w:r>
          </w:p>
        </w:tc>
        <w:tc>
          <w:tcPr>
            <w:tcW w:w="100" w:type="dxa"/>
            <w:vAlign w:val="bottom"/>
            <w:tcBorders>
              <w:top w:val="single" w:sz="8" w:color="CCEEFF"/>
            </w:tcBorders>
            <w:shd w:val="clear" w:color="auto" w:fill="CCEEFF"/>
          </w:tcPr>
          <w:p>
            <w:pPr>
              <w:spacing w:after="0"/>
              <w:rPr>
                <w:sz w:val="14"/>
                <w:szCs w:val="14"/>
                <w:color w:val="auto"/>
              </w:rPr>
            </w:pPr>
          </w:p>
        </w:tc>
        <w:tc>
          <w:tcPr>
            <w:tcW w:w="2600" w:type="dxa"/>
            <w:vAlign w:val="bottom"/>
            <w:tcBorders>
              <w:top w:val="single" w:sz="8" w:color="auto"/>
            </w:tcBorders>
            <w:gridSpan w:val="2"/>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May 1, 2026</w:t>
            </w:r>
          </w:p>
        </w:tc>
        <w:tc>
          <w:tcPr>
            <w:tcW w:w="120" w:type="dxa"/>
            <w:vAlign w:val="bottom"/>
            <w:tcBorders>
              <w:top w:val="single" w:sz="8" w:color="CCEEFF"/>
            </w:tcBorders>
            <w:shd w:val="clear" w:color="auto" w:fill="CCEEFF"/>
          </w:tcPr>
          <w:p>
            <w:pPr>
              <w:spacing w:after="0"/>
              <w:rPr>
                <w:sz w:val="14"/>
                <w:szCs w:val="14"/>
                <w:color w:val="auto"/>
              </w:rPr>
            </w:pPr>
          </w:p>
        </w:tc>
        <w:tc>
          <w:tcPr>
            <w:tcW w:w="260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February 15, 2026 through May</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16</w:t>
            </w:r>
          </w:p>
        </w:tc>
        <w:tc>
          <w:tcPr>
            <w:tcW w:w="140" w:type="dxa"/>
            <w:vAlign w:val="bottom"/>
            <w:tcBorders>
              <w:top w:val="single" w:sz="8" w:color="CCEEFF"/>
              <w:right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ind w:right="696"/>
              <w:spacing w:after="0" w:line="169"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19.84</w:t>
            </w:r>
          </w:p>
        </w:tc>
        <w:tc>
          <w:tcPr>
            <w:tcW w:w="0" w:type="dxa"/>
            <w:vAlign w:val="bottom"/>
          </w:tcPr>
          <w:p>
            <w:pPr>
              <w:spacing w:after="0"/>
              <w:rPr>
                <w:sz w:val="1"/>
                <w:szCs w:val="1"/>
                <w:color w:val="auto"/>
              </w:rPr>
            </w:pPr>
          </w:p>
        </w:tc>
      </w:tr>
      <w:tr>
        <w:trPr>
          <w:trHeight w:val="243"/>
        </w:trPr>
        <w:tc>
          <w:tcPr>
            <w:tcW w:w="2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14, 2026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4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7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February 17, 2026</w:t>
            </w:r>
          </w:p>
        </w:tc>
        <w:tc>
          <w:tcPr>
            <w:tcW w:w="272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February 2, 2026</w:t>
            </w:r>
          </w:p>
        </w:tc>
        <w:tc>
          <w:tcPr>
            <w:tcW w:w="27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November 15, 2025 through</w:t>
            </w:r>
          </w:p>
        </w:tc>
        <w:tc>
          <w:tcPr>
            <w:tcW w:w="1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ind w:right="696"/>
              <w:spacing w:after="0" w:line="176"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21.02</w:t>
            </w:r>
          </w:p>
        </w:tc>
        <w:tc>
          <w:tcPr>
            <w:tcW w:w="0" w:type="dxa"/>
            <w:vAlign w:val="bottom"/>
          </w:tcPr>
          <w:p>
            <w:pPr>
              <w:spacing w:after="0"/>
              <w:rPr>
                <w:sz w:val="1"/>
                <w:szCs w:val="1"/>
                <w:color w:val="auto"/>
              </w:rPr>
            </w:pPr>
          </w:p>
        </w:tc>
      </w:tr>
      <w:tr>
        <w:trPr>
          <w:trHeight w:val="243"/>
        </w:trPr>
        <w:tc>
          <w:tcPr>
            <w:tcW w:w="2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14, 2026</w:t>
            </w: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Payable to unitholders of record at the close of business on the applicable Record Date.</w:t>
      </w:r>
    </w:p>
    <w:p>
      <w:pPr>
        <w:spacing w:after="0" w:line="63" w:lineRule="exact"/>
        <w:rPr>
          <w:sz w:val="20"/>
          <w:szCs w:val="20"/>
          <w:color w:val="auto"/>
        </w:rPr>
      </w:pPr>
    </w:p>
    <w:p>
      <w:pPr>
        <w:ind w:left="20" w:right="20" w:hanging="11"/>
        <w:spacing w:after="0" w:line="282" w:lineRule="auto"/>
        <w:rPr>
          <w:sz w:val="20"/>
          <w:szCs w:val="20"/>
          <w:color w:val="auto"/>
        </w:rPr>
      </w:pPr>
      <w:r>
        <w:rPr>
          <w:rFonts w:ascii="Times New Roman" w:cs="Times New Roman" w:eastAsia="Times New Roman" w:hAnsi="Times New Roman"/>
          <w:sz w:val="18"/>
          <w:szCs w:val="18"/>
          <w:color w:val="auto"/>
        </w:rPr>
        <w:t>At March 31, 2026, approximately $8 million of accrued distributions payable to our Series B preferred unitholders was included in “Other current liabilities” on our Condensed Consolidated Balance Sheet.</w:t>
      </w:r>
    </w:p>
    <w:p>
      <w:pPr>
        <w:spacing w:after="0" w:line="187" w:lineRule="exact"/>
        <w:rPr>
          <w:sz w:val="20"/>
          <w:szCs w:val="20"/>
          <w:color w:val="auto"/>
        </w:rPr>
      </w:pPr>
    </w:p>
    <w:p>
      <w:pPr>
        <w:sectPr>
          <w:pgSz w:w="11900" w:h="16838" w:orient="portrait"/>
          <w:cols w:equalWidth="0" w:num="2">
            <w:col w:w="140" w:space="500"/>
            <w:col w:w="10600"/>
          </w:cols>
          <w:pgMar w:left="320" w:top="121" w:right="339" w:bottom="1440" w:gutter="0" w:footer="0" w:header="0"/>
          <w:type w:val="continuous"/>
        </w:sectPr>
      </w:pPr>
    </w:p>
    <w:p>
      <w:pPr>
        <w:ind w:firstLine="648"/>
        <w:spacing w:after="0" w:line="279" w:lineRule="auto"/>
        <w:rPr>
          <w:sz w:val="20"/>
          <w:szCs w:val="20"/>
          <w:color w:val="auto"/>
        </w:rPr>
      </w:pPr>
      <w:r>
        <w:rPr>
          <w:rFonts w:ascii="Times New Roman" w:cs="Times New Roman" w:eastAsia="Times New Roman" w:hAnsi="Times New Roman"/>
          <w:sz w:val="18"/>
          <w:szCs w:val="18"/>
          <w:i w:val="1"/>
          <w:iCs w:val="1"/>
          <w:color w:val="auto"/>
        </w:rPr>
        <w:t>Common Unit Distributions</w:t>
      </w:r>
      <w:r>
        <w:rPr>
          <w:rFonts w:ascii="Times New Roman" w:cs="Times New Roman" w:eastAsia="Times New Roman" w:hAnsi="Times New Roman"/>
          <w:sz w:val="18"/>
          <w:szCs w:val="18"/>
          <w:color w:val="auto"/>
        </w:rPr>
        <w:t>. The following table details distributions to our common unitholders paid during or pertaining to the first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2026 (in millions, except per unit data):</w:t>
      </w:r>
    </w:p>
    <w:tbl>
      <w:tblPr>
        <w:tblLayout w:type="fixed"/>
        <w:tblInd w:w="0" w:type="dxa"/>
        <w:tblCellMar>
          <w:top w:w="0" w:type="dxa"/>
          <w:left w:w="0" w:type="dxa"/>
          <w:bottom w:w="0" w:type="dxa"/>
          <w:right w:w="0" w:type="dxa"/>
        </w:tblCellMar>
      </w:tblPr>
      <w:tr>
        <w:trPr>
          <w:trHeight w:val="190"/>
        </w:trPr>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Distributions</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0"/>
        </w:trPr>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Common Unitholders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Total Cash</w:t>
            </w:r>
          </w:p>
        </w:tc>
        <w:tc>
          <w:tcPr>
            <w:tcW w:w="160" w:type="dxa"/>
            <w:vAlign w:val="bottom"/>
          </w:tcPr>
          <w:p>
            <w:pPr>
              <w:spacing w:after="0"/>
              <w:rPr>
                <w:sz w:val="16"/>
                <w:szCs w:val="16"/>
                <w:color w:val="auto"/>
              </w:rPr>
            </w:pPr>
          </w:p>
        </w:tc>
        <w:tc>
          <w:tcPr>
            <w:tcW w:w="120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Distribution per</w:t>
            </w:r>
          </w:p>
        </w:tc>
      </w:tr>
      <w:tr>
        <w:trPr>
          <w:trHeight w:val="198"/>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Distribution Payment Date</w:t>
            </w:r>
          </w:p>
        </w:tc>
        <w:tc>
          <w:tcPr>
            <w:tcW w:w="17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 xml:space="preserve">Record Date </w:t>
            </w:r>
            <w:r>
              <w:rPr>
                <w:rFonts w:ascii="Times New Roman" w:cs="Times New Roman" w:eastAsia="Times New Roman" w:hAnsi="Times New Roman"/>
                <w:sz w:val="9"/>
                <w:szCs w:val="9"/>
                <w:b w:val="1"/>
                <w:bCs w:val="1"/>
                <w:color w:val="auto"/>
              </w:rPr>
              <w:t>(1)</w:t>
            </w:r>
          </w:p>
        </w:tc>
        <w:tc>
          <w:tcPr>
            <w:tcW w:w="140" w:type="dxa"/>
            <w:vAlign w:val="bottom"/>
          </w:tcPr>
          <w:p>
            <w:pPr>
              <w:spacing w:after="0"/>
              <w:rPr>
                <w:sz w:val="17"/>
                <w:szCs w:val="17"/>
                <w:color w:val="auto"/>
              </w:rPr>
            </w:pPr>
          </w:p>
        </w:tc>
        <w:tc>
          <w:tcPr>
            <w:tcW w:w="20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Distribution Period</w:t>
            </w:r>
          </w:p>
        </w:tc>
        <w:tc>
          <w:tcPr>
            <w:tcW w:w="260" w:type="dxa"/>
            <w:vAlign w:val="bottom"/>
          </w:tcPr>
          <w:p>
            <w:pPr>
              <w:spacing w:after="0"/>
              <w:rPr>
                <w:sz w:val="17"/>
                <w:szCs w:val="17"/>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Public</w:t>
            </w:r>
          </w:p>
        </w:tc>
        <w:tc>
          <w:tcPr>
            <w:tcW w:w="16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AAP</w:t>
            </w:r>
          </w:p>
        </w:tc>
        <w:tc>
          <w:tcPr>
            <w:tcW w:w="160" w:type="dxa"/>
            <w:vAlign w:val="bottom"/>
          </w:tcPr>
          <w:p>
            <w:pPr>
              <w:spacing w:after="0"/>
              <w:rPr>
                <w:sz w:val="17"/>
                <w:szCs w:val="17"/>
                <w:color w:val="auto"/>
              </w:rPr>
            </w:pPr>
          </w:p>
        </w:tc>
        <w:tc>
          <w:tcPr>
            <w:tcW w:w="124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Distribution</w:t>
            </w:r>
          </w:p>
        </w:tc>
        <w:tc>
          <w:tcPr>
            <w:tcW w:w="160" w:type="dxa"/>
            <w:vAlign w:val="bottom"/>
          </w:tcPr>
          <w:p>
            <w:pPr>
              <w:spacing w:after="0"/>
              <w:rPr>
                <w:sz w:val="17"/>
                <w:szCs w:val="17"/>
                <w:color w:val="auto"/>
              </w:rPr>
            </w:pPr>
          </w:p>
        </w:tc>
        <w:tc>
          <w:tcPr>
            <w:tcW w:w="120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Common Unit</w:t>
            </w:r>
          </w:p>
        </w:tc>
      </w:tr>
      <w:tr>
        <w:trPr>
          <w:trHeight w:val="183"/>
        </w:trPr>
        <w:tc>
          <w:tcPr>
            <w:tcW w:w="1920" w:type="dxa"/>
            <w:vAlign w:val="bottom"/>
            <w:tcBorders>
              <w:top w:val="single" w:sz="8" w:color="auto"/>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May 15, 2026</w:t>
            </w:r>
          </w:p>
        </w:tc>
        <w:tc>
          <w:tcPr>
            <w:tcW w:w="120" w:type="dxa"/>
            <w:vAlign w:val="bottom"/>
            <w:tcBorders>
              <w:top w:val="single" w:sz="8" w:color="CCEEFF"/>
            </w:tcBorders>
            <w:shd w:val="clear" w:color="auto" w:fill="CCEEFF"/>
          </w:tcPr>
          <w:p>
            <w:pPr>
              <w:spacing w:after="0"/>
              <w:rPr>
                <w:sz w:val="15"/>
                <w:szCs w:val="15"/>
                <w:color w:val="auto"/>
              </w:rPr>
            </w:pPr>
          </w:p>
        </w:tc>
        <w:tc>
          <w:tcPr>
            <w:tcW w:w="1620" w:type="dxa"/>
            <w:vAlign w:val="bottom"/>
            <w:tcBorders>
              <w:top w:val="single" w:sz="8" w:color="auto"/>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May 1, 2026</w:t>
            </w:r>
          </w:p>
        </w:tc>
        <w:tc>
          <w:tcPr>
            <w:tcW w:w="80" w:type="dxa"/>
            <w:vAlign w:val="bottom"/>
            <w:tcBorders>
              <w:top w:val="single" w:sz="8" w:color="CCEEFF"/>
            </w:tcBorders>
            <w:shd w:val="clear" w:color="auto" w:fill="CCEEFF"/>
          </w:tcPr>
          <w:p>
            <w:pPr>
              <w:spacing w:after="0"/>
              <w:rPr>
                <w:sz w:val="15"/>
                <w:szCs w:val="15"/>
                <w:color w:val="auto"/>
              </w:rPr>
            </w:pPr>
          </w:p>
        </w:tc>
        <w:tc>
          <w:tcPr>
            <w:tcW w:w="2080" w:type="dxa"/>
            <w:vAlign w:val="bottom"/>
            <w:tcBorders>
              <w:top w:val="single" w:sz="8" w:color="auto"/>
            </w:tcBorders>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January 1, 2026 through</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198</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295</w:t>
            </w: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0.4175</w:t>
            </w:r>
          </w:p>
        </w:tc>
      </w:tr>
      <w:tr>
        <w:trPr>
          <w:trHeight w:val="234"/>
        </w:trPr>
        <w:tc>
          <w:tcPr>
            <w:tcW w:w="1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2026</w:t>
            </w: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184"/>
        </w:trPr>
        <w:tc>
          <w:tcPr>
            <w:tcW w:w="20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February 13, 2026</w:t>
            </w:r>
          </w:p>
        </w:tc>
        <w:tc>
          <w:tcPr>
            <w:tcW w:w="17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January 30, 2026</w:t>
            </w:r>
          </w:p>
        </w:tc>
        <w:tc>
          <w:tcPr>
            <w:tcW w:w="2180" w:type="dxa"/>
            <w:vAlign w:val="bottom"/>
            <w:gridSpan w:val="3"/>
          </w:tcPr>
          <w:p>
            <w:pPr>
              <w:ind w:left="20"/>
              <w:spacing w:after="0" w:line="184" w:lineRule="exact"/>
              <w:rPr>
                <w:sz w:val="20"/>
                <w:szCs w:val="20"/>
                <w:color w:val="auto"/>
              </w:rPr>
            </w:pPr>
            <w:r>
              <w:rPr>
                <w:rFonts w:ascii="Times New Roman" w:cs="Times New Roman" w:eastAsia="Times New Roman" w:hAnsi="Times New Roman"/>
                <w:sz w:val="18"/>
                <w:szCs w:val="18"/>
                <w:color w:val="auto"/>
              </w:rPr>
              <w:t>October 1, 2025 through</w:t>
            </w:r>
          </w:p>
        </w:tc>
        <w:tc>
          <w:tcPr>
            <w:tcW w:w="260" w:type="dxa"/>
            <w:vAlign w:val="bottom"/>
          </w:tcPr>
          <w:p>
            <w:pPr>
              <w:jc w:val="right"/>
              <w:ind w:right="70"/>
              <w:spacing w:after="0" w:line="184"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16"/>
                <w:szCs w:val="16"/>
                <w:color w:val="auto"/>
              </w:rPr>
            </w:pPr>
          </w:p>
        </w:tc>
        <w:tc>
          <w:tcPr>
            <w:tcW w:w="1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6"/>
                <w:szCs w:val="16"/>
                <w:color w:val="auto"/>
              </w:rPr>
            </w:pPr>
          </w:p>
        </w:tc>
        <w:tc>
          <w:tcPr>
            <w:tcW w:w="1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295</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0.4175</w:t>
            </w:r>
          </w:p>
        </w:tc>
      </w:tr>
      <w:tr>
        <w:trPr>
          <w:trHeight w:val="234"/>
        </w:trPr>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175"/>
        </w:trPr>
        <w:tc>
          <w:tcPr>
            <w:tcW w:w="1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r>
    </w:tbl>
    <w:p>
      <w:pPr>
        <w:spacing w:after="0" w:line="100" w:lineRule="exact"/>
        <w:rPr>
          <w:sz w:val="20"/>
          <w:szCs w:val="20"/>
          <w:color w:val="auto"/>
        </w:rPr>
      </w:pPr>
    </w:p>
    <w:p>
      <w:pPr>
        <w:ind w:left="640" w:hanging="632"/>
        <w:spacing w:after="0"/>
        <w:tabs>
          <w:tab w:leader="none" w:pos="64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Payable to unitholders of record at the close of business on the applicable Record Date.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 in Subsidiaries</w:t>
      </w:r>
    </w:p>
    <w:p>
      <w:pPr>
        <w:spacing w:after="0" w:line="25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2026, noncontrolling interests in our subsidiaries consisted of (i) a 35% interest in Plains Oryx Permian Basin LLC (the “Permian JV”), (ii) a 30% interest in Cactus II Pipeline LLC (“Cactus II”) and (iii) a 33% interest in Red River Pipeline Company LLC (“Red River”).</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Distributions to Noncontrolling Interests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details distributions paid to noncontrolling interests during the periods presented (in millions):</w:t>
      </w:r>
    </w:p>
    <w:p>
      <w:pPr>
        <w:spacing w:after="0" w:line="278"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6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Permian JV</w:t>
            </w:r>
          </w:p>
        </w:tc>
        <w:tc>
          <w:tcPr>
            <w:tcW w:w="98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Cactus II</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 River</w:t>
            </w: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8260" w:type="dxa"/>
            <w:vAlign w:val="bottom"/>
          </w:tcPr>
          <w:p>
            <w:pPr>
              <w:spacing w:after="0"/>
              <w:rPr>
                <w:sz w:val="19"/>
                <w:szCs w:val="19"/>
                <w:color w:val="auto"/>
              </w:rPr>
            </w:pPr>
          </w:p>
        </w:tc>
        <w:tc>
          <w:tcPr>
            <w:tcW w:w="98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0"/>
        </w:trPr>
        <w:tc>
          <w:tcPr>
            <w:tcW w:w="8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8—Derivatives and Risk Management Activities</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identify the risks that underlie our core business activities and use risk management strategies to mitigate those risks when we determine that there is value in doing so. We use various derivative instruments to manage our exposure to commodity price risk, interest rate risk and currency exchange rate risk. Our commodity price risk management policies and procedures are designed to help ensure that our hedging activities address our risks by monitoring our derivative positions, as well as physical volumes, grades, locations, delivery schedules and storage capacity. Our interest rate risk and currency exchange rate risk management policies and procedures are designed to monitor our derivative positions and ensure that those positions are consistent with our objectives and approved strategies. Our policy is to use derivative instruments for risk management purposes and not for the purpose of speculating on changes in commodity prices or interest rates.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At the inception of the hedging relationship, we assess whether the derivatives employed are highly effective in offsetting changes in cash flows of anticipated hedged transactions. Throughout the hedging relationship, retrospective and prospective hedge effectiveness is assessed on a qualitative basis.</w:t>
      </w:r>
    </w:p>
    <w:p>
      <w:pPr>
        <w:spacing w:after="0" w:line="19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record all open derivatives on the balance sheet as either assets or liabilities measured at fair value. Changes in the fair value of derivatives are recognized currently in earnings unless specific hedge accounting criteria are met. For derivatives designated as cash flow hedges, changes in fair value are deferred in AOCI and recognized in earnings in the periods during which the underlying hedged transactions are recognized in earnings. Derivatives that are not designated in a hedging relationship for accounting purposes are recognized in earnings each period. Cash settlements associated with our derivative activities are classified within the same category as the related hedged item in our Condensed Consolidated Statements of Cash Flows.</w:t>
      </w:r>
    </w:p>
    <w:p>
      <w:pPr>
        <w:spacing w:after="0" w:line="210"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Our financial derivatives, used for hedging risk, are governed through ISDA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spacing w:after="0" w:line="203" w:lineRule="exact"/>
        <w:rPr>
          <w:sz w:val="20"/>
          <w:szCs w:val="20"/>
          <w:color w:val="auto"/>
        </w:rPr>
      </w:pPr>
    </w:p>
    <w:p>
      <w:pPr>
        <w:jc w:val="both"/>
        <w:ind w:right="120" w:firstLine="607"/>
        <w:spacing w:after="0" w:line="289" w:lineRule="auto"/>
        <w:rPr>
          <w:sz w:val="20"/>
          <w:szCs w:val="20"/>
          <w:color w:val="auto"/>
        </w:rPr>
      </w:pPr>
      <w:r>
        <w:rPr>
          <w:rFonts w:ascii="Times New Roman" w:cs="Times New Roman" w:eastAsia="Times New Roman" w:hAnsi="Times New Roman"/>
          <w:sz w:val="17"/>
          <w:szCs w:val="17"/>
          <w:color w:val="auto"/>
        </w:rPr>
        <w:t>At March 31, 2026 and December 31, 2025, none of our outstanding derivatives contained credit-risk related contingent features that would result in a material adverse impact to us upon any change in our credit ratings. Although we may be required to post margin on our exchange-traded derivatives transacted through a clearing brokerage account, as described below, we do not require our non-cleared derivative counterparties to post collateral with 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 Hedging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core business activities involve certain commodity price-related risks that we manage in various ways, including through the use of derivative instruments. Our policy is to (i) only purchase inventory for which we have a sales market, (ii) structure our sales contracts so that price fluctuations do not materially affect our operating income and (iii) not acquire and hold material physical inventory or derivatives for the purpose of speculating on commodity price changes. The material commodity-related risks inherent in our business activities are described below.</w:t>
      </w:r>
    </w:p>
    <w:p>
      <w:pPr>
        <w:spacing w:after="0" w:line="207"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In the normal course of our operations, we purchase and sell commodities. We use derivatives to manage the associated risks and, in certain circumstances, to optimize profits. As of March 31, 2026, net derivative positions related to these activities included:</w:t>
      </w:r>
    </w:p>
    <w:p>
      <w:pPr>
        <w:spacing w:after="0" w:line="162" w:lineRule="exact"/>
        <w:rPr>
          <w:sz w:val="20"/>
          <w:szCs w:val="20"/>
          <w:color w:val="auto"/>
        </w:rPr>
      </w:pPr>
    </w:p>
    <w:p>
      <w:pPr>
        <w:ind w:left="980" w:right="460" w:hanging="324"/>
        <w:spacing w:after="0" w:line="282"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long position of 11.4 million barrels associated with our crude oil purchases, which will be unwound ratably through June 2026 to match monthly average pricing.</w:t>
      </w:r>
    </w:p>
    <w:p>
      <w:pPr>
        <w:spacing w:after="0" w:line="107" w:lineRule="exact"/>
        <w:rPr>
          <w:rFonts w:ascii="Times New Roman" w:cs="Times New Roman" w:eastAsia="Times New Roman" w:hAnsi="Times New Roman"/>
          <w:sz w:val="18"/>
          <w:szCs w:val="18"/>
          <w:color w:val="auto"/>
        </w:rPr>
      </w:pPr>
    </w:p>
    <w:p>
      <w:pPr>
        <w:ind w:left="980" w:right="160" w:hanging="324"/>
        <w:spacing w:after="0" w:line="282"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short time spread position of 2.9 million barrels, which hedges a portion of our anticipated crude oil lease gathering purchases through July 2026.</w:t>
      </w:r>
    </w:p>
    <w:p>
      <w:pPr>
        <w:spacing w:after="0" w:line="107" w:lineRule="exact"/>
        <w:rPr>
          <w:rFonts w:ascii="Times New Roman" w:cs="Times New Roman" w:eastAsia="Times New Roman" w:hAnsi="Times New Roman"/>
          <w:sz w:val="18"/>
          <w:szCs w:val="18"/>
          <w:color w:val="auto"/>
        </w:rPr>
      </w:pPr>
    </w:p>
    <w:p>
      <w:pPr>
        <w:ind w:left="980" w:right="320" w:hanging="324"/>
        <w:spacing w:after="0" w:line="282"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crude oil basis spread position of 1.6 million barrels at multiple locations through March 2027. These derivatives allow us to lock in grade and location basis differentials.</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short position of 9.5 million barrels through December 2029 related to anticipated net sales of crude oil inventory.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spacing w:after="0" w:line="203"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Our commodity derivatives are not designated in a hedging relationship for accounting purposes; as such, changes in the fair value are reported in earnings. The following table summarizes the impact of our commodity derivatives recognized in earnings (in millions):</w:t>
      </w:r>
    </w:p>
    <w:p>
      <w:pPr>
        <w:spacing w:after="0" w:line="223"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13335</wp:posOffset>
            </wp:positionV>
            <wp:extent cx="188595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102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2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sales revenues</w:t>
            </w:r>
          </w:p>
        </w:tc>
        <w:tc>
          <w:tcPr>
            <w:tcW w:w="102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Field operating costs</w:t>
            </w:r>
          </w:p>
        </w:tc>
        <w:tc>
          <w:tcPr>
            <w:tcW w:w="10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8"/>
        </w:trPr>
        <w:tc>
          <w:tcPr>
            <w:tcW w:w="82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gain/(loss) from commodity derivative activity</w:t>
            </w:r>
          </w:p>
        </w:tc>
        <w:tc>
          <w:tcPr>
            <w:tcW w:w="102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The following table provides the components of our net broker receivable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2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2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Initial margin</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8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Variation margin posted/(returned)</w:t>
            </w:r>
          </w:p>
        </w:tc>
        <w:tc>
          <w:tcPr>
            <w:tcW w:w="2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Letters of credit</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broker receivable/(payable)</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0"/>
        </w:trPr>
        <w:tc>
          <w:tcPr>
            <w:tcW w:w="8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reflects the Condensed Consolidated Balance Sheet line items that include the fair values of our commodity derivative assets and liabilities and the effect of the collateral netting. Such amounts are presented on a gross basis, before the effects of counterparty netting. However, we have elected to present our commodity derivative assets and liabilities with the same counterparty on a net basis on our Condensed Consolidated Balance Sheet when the legal right of offset exists. Amounts in the table below are presented in millions.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4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0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414"/>
        </w:trPr>
        <w:tc>
          <w:tcPr>
            <w:tcW w:w="2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48"/>
        </w:trPr>
        <w:tc>
          <w:tcPr>
            <w:tcW w:w="2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140" w:type="dxa"/>
            <w:vAlign w:val="bottom"/>
          </w:tcPr>
          <w:p>
            <w:pPr>
              <w:spacing w:after="0"/>
              <w:rPr>
                <w:sz w:val="12"/>
                <w:szCs w:val="12"/>
                <w:color w:val="auto"/>
              </w:rPr>
            </w:pPr>
          </w:p>
        </w:tc>
        <w:tc>
          <w:tcPr>
            <w:tcW w:w="106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120" w:type="dxa"/>
            <w:vAlign w:val="bottom"/>
          </w:tcPr>
          <w:p>
            <w:pPr>
              <w:spacing w:after="0"/>
              <w:rPr>
                <w:sz w:val="12"/>
                <w:szCs w:val="12"/>
                <w:color w:val="auto"/>
              </w:rPr>
            </w:pPr>
          </w:p>
        </w:tc>
        <w:tc>
          <w:tcPr>
            <w:tcW w:w="88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6"/>
        </w:trPr>
        <w:tc>
          <w:tcPr>
            <w:tcW w:w="2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40" w:type="dxa"/>
            <w:vAlign w:val="bottom"/>
            <w:gridSpan w:val="5"/>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Commodity Derivatives</w:t>
            </w: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0" w:type="dxa"/>
            <w:vAlign w:val="bottom"/>
            <w:gridSpan w:val="4"/>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Presented on</w:t>
            </w:r>
          </w:p>
        </w:tc>
        <w:tc>
          <w:tcPr>
            <w:tcW w:w="200" w:type="dxa"/>
            <w:vAlign w:val="bottom"/>
          </w:tcPr>
          <w:p>
            <w:pPr>
              <w:spacing w:after="0"/>
              <w:rPr>
                <w:sz w:val="12"/>
                <w:szCs w:val="12"/>
                <w:color w:val="auto"/>
              </w:rPr>
            </w:pPr>
          </w:p>
        </w:tc>
        <w:tc>
          <w:tcPr>
            <w:tcW w:w="1960" w:type="dxa"/>
            <w:vAlign w:val="bottom"/>
            <w:gridSpan w:val="5"/>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Commodity Derivatives</w:t>
            </w: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Presented on</w:t>
            </w:r>
          </w:p>
        </w:tc>
        <w:tc>
          <w:tcPr>
            <w:tcW w:w="0" w:type="dxa"/>
            <w:vAlign w:val="bottom"/>
          </w:tcPr>
          <w:p>
            <w:pPr>
              <w:spacing w:after="0"/>
              <w:rPr>
                <w:sz w:val="1"/>
                <w:szCs w:val="1"/>
                <w:color w:val="auto"/>
              </w:rPr>
            </w:pPr>
          </w:p>
        </w:tc>
      </w:tr>
      <w:tr>
        <w:trPr>
          <w:trHeight w:val="98"/>
        </w:trPr>
        <w:tc>
          <w:tcPr>
            <w:tcW w:w="2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940" w:type="dxa"/>
            <w:vAlign w:val="bottom"/>
            <w:gridSpan w:val="5"/>
            <w:vMerge w:val="continue"/>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gridSpan w:val="2"/>
            <w:vMerge w:val="restart"/>
          </w:tcPr>
          <w:p>
            <w:pPr>
              <w:jc w:val="center"/>
              <w:ind w:right="240"/>
              <w:spacing w:after="0" w:line="115" w:lineRule="exact"/>
              <w:rPr>
                <w:sz w:val="20"/>
                <w:szCs w:val="20"/>
                <w:color w:val="auto"/>
              </w:rPr>
            </w:pPr>
            <w:r>
              <w:rPr>
                <w:rFonts w:ascii="Times New Roman" w:cs="Times New Roman" w:eastAsia="Times New Roman" w:hAnsi="Times New Roman"/>
                <w:sz w:val="13"/>
                <w:szCs w:val="13"/>
                <w:b w:val="1"/>
                <w:bCs w:val="1"/>
                <w:color w:val="auto"/>
              </w:rPr>
              <w:t>Collateral</w:t>
            </w:r>
          </w:p>
        </w:tc>
        <w:tc>
          <w:tcPr>
            <w:tcW w:w="140" w:type="dxa"/>
            <w:vAlign w:val="bottom"/>
          </w:tcPr>
          <w:p>
            <w:pPr>
              <w:spacing w:after="0"/>
              <w:rPr>
                <w:sz w:val="8"/>
                <w:szCs w:val="8"/>
                <w:color w:val="auto"/>
              </w:rPr>
            </w:pPr>
          </w:p>
        </w:tc>
        <w:tc>
          <w:tcPr>
            <w:tcW w:w="1060" w:type="dxa"/>
            <w:vAlign w:val="bottom"/>
            <w:gridSpan w:val="3"/>
            <w:vMerge w:val="restart"/>
          </w:tcPr>
          <w:p>
            <w:pPr>
              <w:jc w:val="center"/>
              <w:ind w:right="340"/>
              <w:spacing w:after="0" w:line="115" w:lineRule="exact"/>
              <w:rPr>
                <w:sz w:val="20"/>
                <w:szCs w:val="20"/>
                <w:color w:val="auto"/>
              </w:rPr>
            </w:pPr>
            <w:r>
              <w:rPr>
                <w:rFonts w:ascii="Times New Roman" w:cs="Times New Roman" w:eastAsia="Times New Roman" w:hAnsi="Times New Roman"/>
                <w:sz w:val="13"/>
                <w:szCs w:val="13"/>
                <w:b w:val="1"/>
                <w:bCs w:val="1"/>
                <w:color w:val="auto"/>
              </w:rPr>
              <w:t>the Balance</w:t>
            </w:r>
          </w:p>
        </w:tc>
        <w:tc>
          <w:tcPr>
            <w:tcW w:w="200" w:type="dxa"/>
            <w:vAlign w:val="bottom"/>
          </w:tcPr>
          <w:p>
            <w:pPr>
              <w:spacing w:after="0"/>
              <w:rPr>
                <w:sz w:val="8"/>
                <w:szCs w:val="8"/>
                <w:color w:val="auto"/>
              </w:rPr>
            </w:pPr>
          </w:p>
        </w:tc>
        <w:tc>
          <w:tcPr>
            <w:tcW w:w="1960" w:type="dxa"/>
            <w:vAlign w:val="bottom"/>
            <w:gridSpan w:val="5"/>
            <w:vMerge w:val="continue"/>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gridSpan w:val="2"/>
            <w:vMerge w:val="restart"/>
          </w:tcPr>
          <w:p>
            <w:pPr>
              <w:jc w:val="center"/>
              <w:ind w:right="240"/>
              <w:spacing w:after="0" w:line="115" w:lineRule="exact"/>
              <w:rPr>
                <w:sz w:val="20"/>
                <w:szCs w:val="20"/>
                <w:color w:val="auto"/>
              </w:rPr>
            </w:pPr>
            <w:r>
              <w:rPr>
                <w:rFonts w:ascii="Times New Roman" w:cs="Times New Roman" w:eastAsia="Times New Roman" w:hAnsi="Times New Roman"/>
                <w:sz w:val="13"/>
                <w:szCs w:val="13"/>
                <w:b w:val="1"/>
                <w:bCs w:val="1"/>
                <w:color w:val="auto"/>
              </w:rPr>
              <w:t>Collateral</w:t>
            </w:r>
          </w:p>
        </w:tc>
        <w:tc>
          <w:tcPr>
            <w:tcW w:w="120" w:type="dxa"/>
            <w:vAlign w:val="bottom"/>
          </w:tcPr>
          <w:p>
            <w:pPr>
              <w:spacing w:after="0"/>
              <w:rPr>
                <w:sz w:val="8"/>
                <w:szCs w:val="8"/>
                <w:color w:val="auto"/>
              </w:rPr>
            </w:pPr>
          </w:p>
        </w:tc>
        <w:tc>
          <w:tcPr>
            <w:tcW w:w="880" w:type="dxa"/>
            <w:vAlign w:val="bottom"/>
            <w:vMerge w:val="restart"/>
          </w:tcPr>
          <w:p>
            <w:pPr>
              <w:jc w:val="center"/>
              <w:ind w:right="37"/>
              <w:spacing w:after="0" w:line="115" w:lineRule="exact"/>
              <w:rPr>
                <w:sz w:val="20"/>
                <w:szCs w:val="20"/>
                <w:color w:val="auto"/>
              </w:rPr>
            </w:pPr>
            <w:r>
              <w:rPr>
                <w:rFonts w:ascii="Times New Roman" w:cs="Times New Roman" w:eastAsia="Times New Roman" w:hAnsi="Times New Roman"/>
                <w:sz w:val="13"/>
                <w:szCs w:val="13"/>
                <w:b w:val="1"/>
                <w:bCs w:val="1"/>
                <w:color w:val="auto"/>
              </w:rPr>
              <w:t>the Balance</w:t>
            </w:r>
          </w:p>
        </w:tc>
        <w:tc>
          <w:tcPr>
            <w:tcW w:w="0" w:type="dxa"/>
            <w:vAlign w:val="bottom"/>
          </w:tcPr>
          <w:p>
            <w:pPr>
              <w:spacing w:after="0"/>
              <w:rPr>
                <w:sz w:val="1"/>
                <w:szCs w:val="1"/>
                <w:color w:val="auto"/>
              </w:rPr>
            </w:pPr>
          </w:p>
        </w:tc>
      </w:tr>
      <w:tr>
        <w:trPr>
          <w:trHeight w:val="23"/>
        </w:trPr>
        <w:tc>
          <w:tcPr>
            <w:tcW w:w="2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gridSpan w:val="3"/>
            <w:vMerge w:val="continue"/>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2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tcPr>
          <w:p>
            <w:pPr>
              <w:spacing w:after="0"/>
              <w:rPr>
                <w:sz w:val="16"/>
                <w:szCs w:val="16"/>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6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Netting</w:t>
            </w:r>
          </w:p>
        </w:tc>
        <w:tc>
          <w:tcPr>
            <w:tcW w:w="140" w:type="dxa"/>
            <w:vAlign w:val="bottom"/>
          </w:tcPr>
          <w:p>
            <w:pPr>
              <w:spacing w:after="0"/>
              <w:rPr>
                <w:sz w:val="16"/>
                <w:szCs w:val="16"/>
                <w:color w:val="auto"/>
              </w:rPr>
            </w:pPr>
          </w:p>
        </w:tc>
        <w:tc>
          <w:tcPr>
            <w:tcW w:w="106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Sheet</w:t>
            </w:r>
          </w:p>
        </w:tc>
        <w:tc>
          <w:tcPr>
            <w:tcW w:w="200" w:type="dxa"/>
            <w:vAlign w:val="bottom"/>
          </w:tcPr>
          <w:p>
            <w:pPr>
              <w:spacing w:after="0"/>
              <w:rPr>
                <w:sz w:val="16"/>
                <w:szCs w:val="16"/>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Pr>
          <w:p>
            <w:pPr>
              <w:spacing w:after="0"/>
              <w:rPr>
                <w:sz w:val="16"/>
                <w:szCs w:val="16"/>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6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Netting</w:t>
            </w:r>
          </w:p>
        </w:tc>
        <w:tc>
          <w:tcPr>
            <w:tcW w:w="120" w:type="dxa"/>
            <w:vAlign w:val="bottom"/>
          </w:tcPr>
          <w:p>
            <w:pPr>
              <w:spacing w:after="0"/>
              <w:rPr>
                <w:sz w:val="16"/>
                <w:szCs w:val="16"/>
                <w:color w:val="auto"/>
              </w:rPr>
            </w:pPr>
          </w:p>
        </w:tc>
        <w:tc>
          <w:tcPr>
            <w:tcW w:w="88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7"/>
              </w:rPr>
              <w:t>Sheet</w:t>
            </w:r>
          </w:p>
        </w:tc>
        <w:tc>
          <w:tcPr>
            <w:tcW w:w="0" w:type="dxa"/>
            <w:vAlign w:val="bottom"/>
          </w:tcPr>
          <w:p>
            <w:pPr>
              <w:spacing w:after="0"/>
              <w:rPr>
                <w:sz w:val="1"/>
                <w:szCs w:val="1"/>
                <w:color w:val="auto"/>
              </w:rPr>
            </w:pPr>
          </w:p>
        </w:tc>
      </w:tr>
      <w:tr>
        <w:trPr>
          <w:trHeight w:val="215"/>
        </w:trPr>
        <w:tc>
          <w:tcPr>
            <w:tcW w:w="2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center"/>
              <w:ind w:left="377"/>
              <w:spacing w:after="0"/>
              <w:rPr>
                <w:sz w:val="20"/>
                <w:szCs w:val="20"/>
                <w:color w:val="auto"/>
              </w:rPr>
            </w:pPr>
            <w:r>
              <w:rPr>
                <w:rFonts w:ascii="Times New Roman" w:cs="Times New Roman" w:eastAsia="Times New Roman" w:hAnsi="Times New Roman"/>
                <w:sz w:val="18"/>
                <w:szCs w:val="18"/>
                <w:color w:val="auto"/>
                <w:w w:val="99"/>
              </w:rPr>
              <w:t>(88)</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 net</w:t>
            </w: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center"/>
              <w:ind w:left="337"/>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center"/>
              <w:ind w:left="337"/>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84"/>
        </w:trPr>
        <w:tc>
          <w:tcPr>
            <w:tcW w:w="25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Other long-term liabilities and</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deferred credits</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center"/>
              <w:ind w:left="337"/>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8"/>
        </w:trPr>
        <w:tc>
          <w:tcPr>
            <w:tcW w:w="25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center"/>
              <w:ind w:left="377"/>
              <w:spacing w:after="0"/>
              <w:rPr>
                <w:sz w:val="20"/>
                <w:szCs w:val="20"/>
                <w:color w:val="auto"/>
              </w:rPr>
            </w:pPr>
            <w:r>
              <w:rPr>
                <w:rFonts w:ascii="Times New Roman" w:cs="Times New Roman" w:eastAsia="Times New Roman" w:hAnsi="Times New Roman"/>
                <w:sz w:val="18"/>
                <w:szCs w:val="18"/>
                <w:color w:val="auto"/>
                <w:w w:val="99"/>
              </w:rPr>
              <w:t>(88)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 Hedging</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use interest rate derivatives to hedge the benchmark interest rate associated with interest payments occurring as a result of debt issuances. The derivative instruments we use to manage this risk consist of forward starting interest rate swaps and treasury locks. These derivatives are designated as cash flow hedges. As such, changes in fair value are deferred in AOCI and are reclassified to interest expense as we incur the interest expense associated with the underlying debt.</w:t>
      </w:r>
    </w:p>
    <w:p>
      <w:pPr>
        <w:spacing w:after="0" w:line="207"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As of March 31, 2026, there was a net loss of $28 million deferred in AOCI. The deferred net loss recorded in AOCI is expected to be reclassified to future earnings contemporaneously with interest expense accruals associated with underlying debt instruments. We estimate that substantially all of the remaining deferred loss will be reclassified to earnings through 2056 as the underlying hedged transactions impact earnings.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net unrealized loss recognized in AOCI for derivatives (in millions):</w:t>
      </w:r>
    </w:p>
    <w:p>
      <w:pPr>
        <w:spacing w:after="0" w:line="286"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13335</wp:posOffset>
            </wp:positionV>
            <wp:extent cx="188595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4" w:lineRule="exact"/>
        <w:rPr>
          <w:sz w:val="20"/>
          <w:szCs w:val="20"/>
          <w:color w:val="auto"/>
        </w:rPr>
      </w:pPr>
    </w:p>
    <w:p>
      <w:pPr>
        <w:ind w:left="8840"/>
        <w:spacing w:after="0"/>
        <w:tabs>
          <w:tab w:leader="none" w:pos="1036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48" w:lineRule="exact"/>
        <w:rPr>
          <w:sz w:val="20"/>
          <w:szCs w:val="20"/>
          <w:color w:val="auto"/>
        </w:rPr>
      </w:pPr>
    </w:p>
    <w:p>
      <w:pPr>
        <w:ind w:left="20"/>
        <w:spacing w:after="0"/>
        <w:tabs>
          <w:tab w:leader="none" w:pos="8260" w:val="left"/>
          <w:tab w:leader="none" w:pos="9420" w:val="left"/>
          <w:tab w:leader="none" w:pos="9800" w:val="left"/>
          <w:tab w:leader="none" w:pos="10980" w:val="left"/>
        </w:tabs>
        <w:rPr>
          <w:sz w:val="20"/>
          <w:szCs w:val="20"/>
          <w:color w:val="auto"/>
        </w:rPr>
      </w:pPr>
      <w:r>
        <w:rPr>
          <w:rFonts w:ascii="Times New Roman" w:cs="Times New Roman" w:eastAsia="Times New Roman" w:hAnsi="Times New Roman"/>
          <w:sz w:val="18"/>
          <w:szCs w:val="18"/>
          <w:color w:val="auto"/>
        </w:rPr>
        <w:t>Interest rate derivatives, net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tab/>
        <w:t>$</w:t>
      </w:r>
      <w:r>
        <w:rPr>
          <w:sz w:val="20"/>
          <w:szCs w:val="20"/>
          <w:color w:val="auto"/>
        </w:rPr>
        <w:tab/>
      </w: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March 31, 2026 and December 31, 2025, we did not have any interest rate hedges recorded on our Condensed Consolidated Balance Sheets.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Exchange Rate Risk Hedging</w:t>
      </w:r>
    </w:p>
    <w:p>
      <w:pPr>
        <w:spacing w:after="0" w:line="25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pending sale of the Canadian NGL Business, we entered into a forward currency instrument (CAD$4.5 billion notional amount) to hedge currency exchange risk. The instrument is contingent upon the sale occurring and will settle at closing. The cost of the deal-contingent structure is embedded in the hedge rate. As of March 31, 2026, the sale of the Canadian NGL Business is probable and the fair value of the instrument is an asset of $61 million, presented in “Other current assets” on our Condensed Consolidated Balance Sheet. For the three months ended March 31, 2026, we recognized a gain of $53 million, which was included in “Gains on asset sales and other, net” on our Condensed Consolidated Statements of Operations. As of March 31, 2026, for the periods covered by the instrument, the average fixed USD to CAD rate of the instrument is $1.37 and the average forward USD to CAD rate is $1.39. See Note 1 for additional information regarding the pending sale of the Canadian NGL Business.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Derivative Financial Assets and Liabilities</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by level within the fair value hierarchy our financial assets and liabilities that were accounted for at fair value on a recurring basis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Recurring Fair Value Measures </w:t>
            </w:r>
            <w:r>
              <w:rPr>
                <w:rFonts w:ascii="Times New Roman" w:cs="Times New Roman" w:eastAsia="Times New Roman" w:hAnsi="Times New Roman"/>
                <w:sz w:val="23"/>
                <w:szCs w:val="23"/>
                <w:b w:val="1"/>
                <w:bCs w:val="1"/>
                <w:color w:val="auto"/>
                <w:vertAlign w:val="superscript"/>
              </w:rPr>
              <w:t>(1)</w:t>
            </w:r>
          </w:p>
        </w:tc>
        <w:tc>
          <w:tcPr>
            <w:tcW w:w="180" w:type="dxa"/>
            <w:vAlign w:val="bottom"/>
          </w:tcPr>
          <w:p>
            <w:pPr>
              <w:spacing w:after="0"/>
              <w:rPr>
                <w:sz w:val="16"/>
                <w:szCs w:val="16"/>
                <w:color w:val="auto"/>
              </w:rPr>
            </w:pPr>
          </w:p>
        </w:tc>
        <w:tc>
          <w:tcPr>
            <w:tcW w:w="2700" w:type="dxa"/>
            <w:vAlign w:val="bottom"/>
            <w:gridSpan w:val="6"/>
          </w:tcPr>
          <w:p>
            <w:pPr>
              <w:jc w:val="center"/>
              <w:ind w:left="537"/>
              <w:spacing w:after="0"/>
              <w:rPr>
                <w:sz w:val="20"/>
                <w:szCs w:val="20"/>
                <w:color w:val="auto"/>
              </w:rPr>
            </w:pPr>
            <w:r>
              <w:rPr>
                <w:rFonts w:ascii="Times New Roman" w:cs="Times New Roman" w:eastAsia="Times New Roman" w:hAnsi="Times New Roman"/>
                <w:sz w:val="14"/>
                <w:szCs w:val="14"/>
                <w:b w:val="1"/>
                <w:bCs w:val="1"/>
                <w:color w:val="auto"/>
              </w:rPr>
              <w:t>Fair Value as of March 31, 2026</w:t>
            </w: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80" w:type="dxa"/>
            <w:vAlign w:val="bottom"/>
            <w:gridSpan w:val="6"/>
          </w:tcPr>
          <w:p>
            <w:pPr>
              <w:jc w:val="center"/>
              <w:ind w:left="417"/>
              <w:spacing w:after="0"/>
              <w:rPr>
                <w:sz w:val="20"/>
                <w:szCs w:val="20"/>
                <w:color w:val="auto"/>
              </w:rPr>
            </w:pPr>
            <w:r>
              <w:rPr>
                <w:rFonts w:ascii="Times New Roman" w:cs="Times New Roman" w:eastAsia="Times New Roman" w:hAnsi="Times New Roman"/>
                <w:sz w:val="14"/>
                <w:szCs w:val="14"/>
                <w:b w:val="1"/>
                <w:bCs w:val="1"/>
                <w:color w:val="auto"/>
              </w:rPr>
              <w:t>Fair Value as of December 31, 2025</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0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gridSpan w:val="3"/>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700" w:type="dxa"/>
            <w:vAlign w:val="bottom"/>
            <w:gridSpan w:val="2"/>
            <w:vMerge w:val="continue"/>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gridSpan w:val="2"/>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3"/>
        </w:trPr>
        <w:tc>
          <w:tcPr>
            <w:tcW w:w="3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derivatives</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95"/>
              </w:rPr>
              <w:t>(2)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center"/>
              <w:ind w:left="575"/>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1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tcPr>
          <w:p>
            <w:pPr>
              <w:jc w:val="center"/>
              <w:ind w:left="615"/>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center"/>
              <w:ind w:left="415"/>
              <w:spacing w:after="0"/>
              <w:rPr>
                <w:sz w:val="20"/>
                <w:szCs w:val="20"/>
                <w:color w:val="auto"/>
              </w:rPr>
            </w:pPr>
            <w:r>
              <w:rPr>
                <w:rFonts w:ascii="Times New Roman" w:cs="Times New Roman" w:eastAsia="Times New Roman" w:hAnsi="Times New Roman"/>
                <w:sz w:val="18"/>
                <w:szCs w:val="18"/>
                <w:color w:val="auto"/>
                <w:w w:val="88"/>
              </w:rPr>
              <w:t>8</w:t>
            </w:r>
          </w:p>
        </w:tc>
        <w:tc>
          <w:tcPr>
            <w:tcW w:w="0" w:type="dxa"/>
            <w:vAlign w:val="bottom"/>
          </w:tcPr>
          <w:p>
            <w:pPr>
              <w:spacing w:after="0"/>
              <w:rPr>
                <w:sz w:val="1"/>
                <w:szCs w:val="1"/>
                <w:color w:val="auto"/>
              </w:rPr>
            </w:pPr>
          </w:p>
        </w:tc>
      </w:tr>
      <w:tr>
        <w:trPr>
          <w:trHeight w:val="248"/>
        </w:trPr>
        <w:tc>
          <w:tcPr>
            <w:tcW w:w="370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net derivative asset/(liability)</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4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95"/>
              </w:rPr>
              <w:t>(2)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center"/>
              <w:ind w:left="615"/>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center"/>
              <w:ind w:left="415"/>
              <w:spacing w:after="0"/>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6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640" w:hanging="632"/>
        <w:spacing w:after="0"/>
        <w:tabs>
          <w:tab w:leader="none" w:pos="64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Derivative assets and liabilities are presented above on a net basis but do not include related cash margin deposits.</w:t>
      </w:r>
    </w:p>
    <w:p>
      <w:pPr>
        <w:spacing w:after="0" w:line="220" w:lineRule="exact"/>
        <w:rPr>
          <w:rFonts w:ascii="Times New Roman" w:cs="Times New Roman" w:eastAsia="Times New Roman" w:hAnsi="Times New Roman"/>
          <w:sz w:val="23"/>
          <w:szCs w:val="23"/>
          <w:color w:val="auto"/>
          <w:vertAlign w:val="superscript"/>
        </w:rPr>
      </w:pPr>
    </w:p>
    <w:p>
      <w:pPr>
        <w:ind w:left="66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b w:val="1"/>
          <w:bCs w:val="1"/>
          <w:i w:val="1"/>
          <w:iCs w:val="1"/>
          <w:color w:val="auto"/>
        </w:rPr>
        <w:t>Level 1</w:t>
      </w:r>
    </w:p>
    <w:p>
      <w:pPr>
        <w:spacing w:after="0" w:line="229" w:lineRule="exact"/>
        <w:rPr>
          <w:rFonts w:ascii="Times New Roman" w:cs="Times New Roman" w:eastAsia="Times New Roman" w:hAnsi="Times New Roman"/>
          <w:sz w:val="23"/>
          <w:szCs w:val="23"/>
          <w:color w:val="auto"/>
          <w:vertAlign w:val="superscript"/>
        </w:rPr>
      </w:pPr>
    </w:p>
    <w:p>
      <w:pPr>
        <w:ind w:left="660" w:right="20"/>
        <w:spacing w:after="0" w:line="266"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Level 1 of the fair value hierarchy includes exchange-traded commodity derivatives and over-the-counter commodity contracts such as futures and swaps. The fair value of exchange-traded commodity derivatives and over-the-counter commodity contracts is based on unadjusted quoted prices in active markets.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ind w:left="1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Level 2</w:t>
      </w:r>
    </w:p>
    <w:p>
      <w:pPr>
        <w:spacing w:after="0" w:line="229" w:lineRule="exact"/>
        <w:rPr>
          <w:sz w:val="20"/>
          <w:szCs w:val="20"/>
          <w:color w:val="auto"/>
        </w:rPr>
      </w:pPr>
    </w:p>
    <w:p>
      <w:pPr>
        <w:ind w:left="760" w:right="120"/>
        <w:spacing w:after="0" w:line="266" w:lineRule="auto"/>
        <w:rPr>
          <w:sz w:val="20"/>
          <w:szCs w:val="20"/>
          <w:color w:val="auto"/>
        </w:rPr>
      </w:pPr>
      <w:r>
        <w:rPr>
          <w:rFonts w:ascii="Times New Roman" w:cs="Times New Roman" w:eastAsia="Times New Roman" w:hAnsi="Times New Roman"/>
          <w:sz w:val="18"/>
          <w:szCs w:val="18"/>
          <w:color w:val="auto"/>
        </w:rPr>
        <w:t>Level 2 of the fair value hierarchy includes exchange-cleared commodity derivatives, over-the-counter commodity, foreign exchange and interest rate derivatives that are traded in observable markets with less volume and transaction frequency than active markets. In addition, it includes certain physical commodity contracts. The fair values of these derivatives are corroborated with market observable inputs.</w:t>
      </w:r>
    </w:p>
    <w:p>
      <w:pPr>
        <w:spacing w:after="0" w:line="19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Note 9—Related Party Transactions</w:t>
      </w:r>
    </w:p>
    <w:p>
      <w:pPr>
        <w:spacing w:after="0" w:line="229" w:lineRule="exact"/>
        <w:rPr>
          <w:sz w:val="20"/>
          <w:szCs w:val="20"/>
          <w:color w:val="auto"/>
        </w:rPr>
      </w:pPr>
    </w:p>
    <w:p>
      <w:pPr>
        <w:ind w:left="100" w:right="120" w:firstLine="648"/>
        <w:spacing w:after="0" w:line="282" w:lineRule="auto"/>
        <w:rPr>
          <w:sz w:val="20"/>
          <w:szCs w:val="20"/>
          <w:color w:val="auto"/>
        </w:rPr>
      </w:pPr>
      <w:r>
        <w:rPr>
          <w:rFonts w:ascii="Times New Roman" w:cs="Times New Roman" w:eastAsia="Times New Roman" w:hAnsi="Times New Roman"/>
          <w:sz w:val="18"/>
          <w:szCs w:val="18"/>
          <w:color w:val="auto"/>
        </w:rPr>
        <w:t>See Note 17 to our Consolidated Financial Statements included in Part IV of our 2025 Annual Report on Form 10-K for a complete discussion of related parties, including the determination of our related parties and nature of involvement with such related parties.</w:t>
      </w:r>
    </w:p>
    <w:p>
      <w:pPr>
        <w:spacing w:after="0" w:line="18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Promissory Notes with our General Partner</w:t>
      </w:r>
    </w:p>
    <w:p>
      <w:pPr>
        <w:spacing w:after="0" w:line="256" w:lineRule="exact"/>
        <w:rPr>
          <w:sz w:val="20"/>
          <w:szCs w:val="20"/>
          <w:color w:val="auto"/>
        </w:rPr>
      </w:pPr>
    </w:p>
    <w:p>
      <w:pPr>
        <w:ind w:left="100" w:right="60" w:firstLine="648"/>
        <w:spacing w:after="0" w:line="282" w:lineRule="auto"/>
        <w:rPr>
          <w:sz w:val="20"/>
          <w:szCs w:val="20"/>
          <w:color w:val="auto"/>
        </w:rPr>
      </w:pPr>
      <w:r>
        <w:rPr>
          <w:rFonts w:ascii="Times New Roman" w:cs="Times New Roman" w:eastAsia="Times New Roman" w:hAnsi="Times New Roman"/>
          <w:sz w:val="18"/>
          <w:szCs w:val="18"/>
          <w:color w:val="auto"/>
        </w:rPr>
        <w:t>We and certain Plains entities have issued promissory notes to facilitate financing. Our outstanding related party notes receivable and related party notes payable balances were as follows (in millions):</w:t>
      </w:r>
    </w:p>
    <w:p>
      <w:pPr>
        <w:spacing w:after="0" w:line="210"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2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8"/>
        </w:trPr>
        <w:tc>
          <w:tcPr>
            <w:tcW w:w="8260" w:type="dxa"/>
            <w:vAlign w:val="bottom"/>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Related party notes receivable </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r>
      <w:tr>
        <w:trPr>
          <w:trHeight w:val="306"/>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Related party notes payable </w:t>
            </w:r>
            <w:r>
              <w:rPr>
                <w:rFonts w:ascii="Times New Roman" w:cs="Times New Roman" w:eastAsia="Times New Roman" w:hAnsi="Times New Roman"/>
                <w:sz w:val="23"/>
                <w:szCs w:val="23"/>
                <w:color w:val="auto"/>
                <w:vertAlign w:val="superscript"/>
              </w:rPr>
              <w:t>(1)</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62865</wp:posOffset>
            </wp:positionV>
            <wp:extent cx="24599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9" w:lineRule="exact"/>
        <w:rPr>
          <w:sz w:val="20"/>
          <w:szCs w:val="20"/>
          <w:color w:val="auto"/>
        </w:rPr>
      </w:pPr>
    </w:p>
    <w:p>
      <w:pPr>
        <w:ind w:left="760" w:right="500" w:hanging="652"/>
        <w:spacing w:after="0" w:line="229" w:lineRule="auto"/>
        <w:tabs>
          <w:tab w:leader="none" w:pos="748"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have elected to present our related party notes with the same counterparty on a net basis on our Condensed Consolidated Balance Sheets because there is a legal right to offset and we intend to offset with the counterparty.</w:t>
      </w:r>
    </w:p>
    <w:p>
      <w:pPr>
        <w:spacing w:after="0" w:line="2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Accrued and unpaid interest receivable/payable was $7 million and $30 million as of March 31, 2026 and December 31, 2025, respectively.</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Interest income/expense on the related party notes totaled $23 million and $20 million for the three months ended March 31, 2026 and 2025,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ansactions with Other Related Parties</w:t>
      </w:r>
    </w:p>
    <w:p>
      <w:pPr>
        <w:spacing w:after="0" w:line="256" w:lineRule="exact"/>
        <w:rPr>
          <w:sz w:val="20"/>
          <w:szCs w:val="20"/>
          <w:color w:val="auto"/>
        </w:rPr>
      </w:pPr>
    </w:p>
    <w:p>
      <w:pPr>
        <w:ind w:left="100" w:right="340"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and 2025, we recognized sales and transportation revenues, purchased petroleum products and utilized transportation and storage services from related parties. These transactions were conducted at posted tariff rates or prices that we believe approximate market.</w:t>
      </w:r>
    </w:p>
    <w:p>
      <w:pPr>
        <w:spacing w:after="0" w:line="20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impact to our Condensed Consolidated Statements of Operations from these transactions is included below (in millions):</w:t>
      </w:r>
    </w:p>
    <w:p>
      <w:pPr>
        <w:spacing w:after="0" w:line="43"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100" w:type="dxa"/>
        <w:tblCellMar>
          <w:top w:w="0" w:type="dxa"/>
          <w:left w:w="0" w:type="dxa"/>
          <w:bottom w:w="0" w:type="dxa"/>
          <w:right w:w="0" w:type="dxa"/>
        </w:tblCellMar>
      </w:tblPr>
      <w:tr>
        <w:trPr>
          <w:trHeight w:val="200"/>
        </w:trPr>
        <w:tc>
          <w:tcPr>
            <w:tcW w:w="826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related parties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57"/>
        </w:trPr>
        <w:tc>
          <w:tcPr>
            <w:tcW w:w="8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and related costs from related parties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bl>
    <w:p>
      <w:pPr>
        <w:spacing w:after="0" w:line="373" w:lineRule="exact"/>
        <w:rPr>
          <w:sz w:val="20"/>
          <w:szCs w:val="20"/>
          <w:color w:val="auto"/>
        </w:rPr>
      </w:pPr>
    </w:p>
    <w:p>
      <w:pPr>
        <w:ind w:left="100" w:right="340" w:firstLine="648"/>
        <w:spacing w:after="0" w:line="282" w:lineRule="auto"/>
        <w:rPr>
          <w:sz w:val="20"/>
          <w:szCs w:val="20"/>
          <w:color w:val="auto"/>
        </w:rPr>
      </w:pPr>
      <w:r>
        <w:rPr>
          <w:rFonts w:ascii="Times New Roman" w:cs="Times New Roman" w:eastAsia="Times New Roman" w:hAnsi="Times New Roman"/>
          <w:sz w:val="18"/>
          <w:szCs w:val="18"/>
          <w:color w:val="auto"/>
        </w:rPr>
        <w:t>Our receivable and payable amounts with these related parties as reflected on our Condensed Consolidated Balance Sheets were as follows (in millions):</w:t>
      </w:r>
    </w:p>
    <w:p>
      <w:pPr>
        <w:spacing w:after="0" w:line="210"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3880" w:type="dxa"/>
            <w:vAlign w:val="bottom"/>
            <w:tcBorders>
              <w:bottom w:val="single" w:sz="8" w:color="CCEEFF"/>
            </w:tcBorders>
          </w:tcPr>
          <w:p>
            <w:pPr>
              <w:spacing w:after="0"/>
              <w:rPr>
                <w:sz w:val="16"/>
                <w:szCs w:val="16"/>
                <w:color w:val="auto"/>
              </w:rPr>
            </w:pPr>
          </w:p>
        </w:tc>
        <w:tc>
          <w:tcPr>
            <w:tcW w:w="43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8"/>
        </w:trPr>
        <w:tc>
          <w:tcPr>
            <w:tcW w:w="8260" w:type="dxa"/>
            <w:vAlign w:val="bottom"/>
            <w:gridSpan w:val="2"/>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Trade accounts receivable and other receivables, net from related parties </w:t>
            </w:r>
            <w:r>
              <w:rPr>
                <w:rFonts w:ascii="Times New Roman" w:cs="Times New Roman" w:eastAsia="Times New Roman" w:hAnsi="Times New Roman"/>
                <w:sz w:val="23"/>
                <w:szCs w:val="23"/>
                <w:color w:val="auto"/>
                <w:vertAlign w:val="superscript"/>
              </w:rPr>
              <w:t>(1)</w:t>
            </w:r>
          </w:p>
        </w:tc>
        <w:tc>
          <w:tcPr>
            <w:tcW w:w="112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56"/>
        </w:trPr>
        <w:tc>
          <w:tcPr>
            <w:tcW w:w="3880" w:type="dxa"/>
            <w:vAlign w:val="bottom"/>
          </w:tcPr>
          <w:p>
            <w:pPr>
              <w:spacing w:after="0"/>
              <w:rPr>
                <w:sz w:val="22"/>
                <w:szCs w:val="22"/>
                <w:color w:val="auto"/>
              </w:rPr>
            </w:pPr>
          </w:p>
        </w:tc>
        <w:tc>
          <w:tcPr>
            <w:tcW w:w="43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30"/>
        </w:trPr>
        <w:tc>
          <w:tcPr>
            <w:tcW w:w="82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Trade accounts payable to related parties </w:t>
            </w:r>
            <w:r>
              <w:rPr>
                <w:rFonts w:ascii="Times New Roman" w:cs="Times New Roman" w:eastAsia="Times New Roman" w:hAnsi="Times New Roman"/>
                <w:sz w:val="23"/>
                <w:szCs w:val="23"/>
                <w:color w:val="auto"/>
                <w:vertAlign w:val="superscript"/>
              </w:rPr>
              <w:t>(1) (2)</w:t>
            </w:r>
          </w:p>
        </w:tc>
        <w:tc>
          <w:tcPr>
            <w:tcW w:w="112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175"/>
        </w:trPr>
        <w:tc>
          <w:tcPr>
            <w:tcW w:w="3880" w:type="dxa"/>
            <w:vAlign w:val="bottom"/>
            <w:tcBorders>
              <w:bottom w:val="single" w:sz="8" w:color="auto"/>
            </w:tcBorders>
          </w:tcPr>
          <w:p>
            <w:pPr>
              <w:spacing w:after="0"/>
              <w:rPr>
                <w:sz w:val="15"/>
                <w:szCs w:val="15"/>
                <w:color w:val="auto"/>
              </w:rPr>
            </w:pPr>
          </w:p>
        </w:tc>
        <w:tc>
          <w:tcPr>
            <w:tcW w:w="4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UNAUDITED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Primarily includes amounts related to transportation and storage services.</w:t>
      </w:r>
    </w:p>
    <w:p>
      <w:pPr>
        <w:spacing w:after="0" w:line="117" w:lineRule="exact"/>
        <w:rPr>
          <w:sz w:val="20"/>
          <w:szCs w:val="20"/>
          <w:color w:val="auto"/>
        </w:rPr>
      </w:pPr>
    </w:p>
    <w:p>
      <w:pPr>
        <w:ind w:left="20" w:right="200" w:hanging="11"/>
        <w:spacing w:after="0" w:line="266" w:lineRule="auto"/>
        <w:rPr>
          <w:sz w:val="20"/>
          <w:szCs w:val="20"/>
          <w:color w:val="auto"/>
        </w:rPr>
      </w:pPr>
      <w:r>
        <w:rPr>
          <w:rFonts w:ascii="Times New Roman" w:cs="Times New Roman" w:eastAsia="Times New Roman" w:hAnsi="Times New Roman"/>
          <w:sz w:val="18"/>
          <w:szCs w:val="18"/>
          <w:color w:val="auto"/>
        </w:rPr>
        <w:t>We have agreements to store crude oil at facilities and transport crude oil or utilize capacity on pipelines that are owned by equity method investees. A portion of our commitment to transport is supported by crude oil buy/sell or other agreements with third parties with commensurate quantities.</w:t>
      </w:r>
    </w:p>
    <w:p>
      <w:pPr>
        <w:spacing w:after="0" w:line="200" w:lineRule="exact"/>
        <w:rPr>
          <w:sz w:val="20"/>
          <w:szCs w:val="20"/>
          <w:color w:val="auto"/>
        </w:rPr>
      </w:pPr>
    </w:p>
    <w:p>
      <w:pPr>
        <w:sectPr>
          <w:pgSz w:w="11900" w:h="16838" w:orient="portrait"/>
          <w:cols w:equalWidth="0" w:num="2">
            <w:col w:w="140" w:space="500"/>
            <w:col w:w="10600"/>
          </w:cols>
          <w:pgMar w:left="320" w:top="121" w:right="339" w:bottom="1440" w:gutter="0" w:footer="0" w:header="0"/>
          <w:type w:val="continuous"/>
        </w:sectPr>
      </w:pP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Contingencies — General</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spacing w:after="0" w:line="183"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 — General</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we are involved in various legal proceedings including those arising from regulatory and environmental matters. In connection with determining the probability of loss associated with such legal proceedings and whether any potential losses associated therewith are estimable, we take into account what we believe to be all relevant known facts and circumstances, and what we believe to be reasonable assumptions regarding the application of those facts and circumstances to existing agreements, laws and regulations. Although we are insured against various risks to the extent we believe it is prudent, there is no assurance that the nature and amount of such insurance will be adequate, in every case, to fully protect us from losses arising from current or future legal proceedings.</w:t>
      </w:r>
    </w:p>
    <w:p>
      <w:pPr>
        <w:spacing w:after="0" w:line="214" w:lineRule="exact"/>
        <w:rPr>
          <w:sz w:val="20"/>
          <w:szCs w:val="20"/>
          <w:color w:val="auto"/>
        </w:rPr>
      </w:pPr>
    </w:p>
    <w:p>
      <w:pPr>
        <w:jc w:val="both"/>
        <w:ind w:right="400" w:firstLine="648"/>
        <w:spacing w:after="0" w:line="266" w:lineRule="auto"/>
        <w:rPr>
          <w:sz w:val="20"/>
          <w:szCs w:val="20"/>
          <w:color w:val="auto"/>
        </w:rPr>
      </w:pPr>
      <w:r>
        <w:rPr>
          <w:rFonts w:ascii="Times New Roman" w:cs="Times New Roman" w:eastAsia="Times New Roman" w:hAnsi="Times New Roman"/>
          <w:sz w:val="18"/>
          <w:szCs w:val="18"/>
          <w:color w:val="auto"/>
        </w:rPr>
        <w:t>Accordingly, we can provide no assurance that the outcome of the various legal proceedings that we are currently involved in, or will become involved with in the future, will not, individually or in the aggregate, have a material adverse effect on our consolidated financial condition, results of operations or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 General</w:t>
      </w:r>
    </w:p>
    <w:p>
      <w:pPr>
        <w:spacing w:after="0" w:line="256"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We currently own or lease, and in the past have owned and leased, properties where hazardous liquids, including hydrocarbons, are or have been handled. These properties and the hazardous liquids or associated wastes disposed thereon may be subject to the U.S. federal Comprehensive Environmental Response, Compensation and Liability Act, as amended, and the U.S. federal Resource Conservation and Recovery Act, as amended, as well as state and Canadian federal and provincial laws and regulations. Under such laws and regulations, we could be required to remove or remediate hazardous liquids or associated wastes (including wastes disposed of or released by prior owners or operators) and to clean up contaminated property (including contaminated groundwater). Assets we have acquired or will acquire in the future may have environmental remediation liabilities for which we are not indemnified or insured.</w:t>
      </w:r>
    </w:p>
    <w:p>
      <w:pPr>
        <w:spacing w:after="0" w:line="21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Although we have made significant investments in our maintenance and integrity programs,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We also may discover environmental impacts from past releases that were previously unidentified. Damages and liabilities associated with any such releases from our existing or future assets could be significant and could have a material adverse effect on our consolidated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6"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We record environmental liabilities when environmental assessments and/or remedial efforts are probable and the amounts can be reasonably estimated. Generally, our recording of these liabilities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we believe are recoverable from insurance or from third parties under indemnification agreements in the period that we determine the costs are probable of recovery.</w:t>
      </w:r>
    </w:p>
    <w:p>
      <w:pPr>
        <w:spacing w:after="0" w:line="214"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spacing w:after="0" w:line="176"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Our estimated undiscounted reserves for environmental liabilities (excluding liabilities related to the Line 901 incident, as discussed further below) were reflected on our Condensed Consolidated Balance Sheets as follows (in millions):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6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8"/>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12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 and deferred credits</w:t>
            </w:r>
          </w:p>
        </w:tc>
        <w:tc>
          <w:tcPr>
            <w:tcW w:w="1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48"/>
        </w:trPr>
        <w:tc>
          <w:tcPr>
            <w:tcW w:w="8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In some cases, the actual cash expenditures associated with these liabilities may not occur for several years.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our reserves are adequate, actual costs incurred (which may ultimately include costs for contingencies that are currently not reasonably estimable or costs for contingencies where the likelihood of loss is currently believed to be only reasonably possible or remote) may be in excess of such reserves and may potentially have a material adverse effect on our consolidated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Specific Legal, Environmental or Regulatory Matters</w:t>
      </w:r>
    </w:p>
    <w:p>
      <w:pPr>
        <w:spacing w:after="0" w:line="254"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Line 901 Incident</w:t>
      </w:r>
      <w:r>
        <w:rPr>
          <w:rFonts w:ascii="Times New Roman" w:cs="Times New Roman" w:eastAsia="Times New Roman" w:hAnsi="Times New Roman"/>
          <w:sz w:val="18"/>
          <w:szCs w:val="18"/>
          <w:color w:val="auto"/>
        </w:rPr>
        <w:t>. In May 2015 we experienced a release of crude oil from our Las Flores to Gaviota Pipeline (Line 901) in Santa Barbara County,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California. Effective as of March 31, 2026, we estimate that the aggregate total costs we have incurred or will incur with respect to the Line 901 incident will be approximately $870 million, which includes actual emergency response and clean-up costs, natural resource damage assessments, fines and penalties incurred, certain third-party claims settlements, and estimated costs associated with our remaining Line 901 lawsuits and claims as described below, as well as estimates for certain legal fees and statutory interest where applicable. We accrue such estimates of aggregate total costs to “Field operating costs” in our Condensed Consolidated Statements of Operations.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resolution of certain third-party claims and lawsuits, but excluding claims and lawsuits with respect to which losses are not probable and reasonably estimable, and (ii)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with respect to potential losses that we regard as only reasonably possible or remote, we have made assumptions regarding the strength of our legal position based on our assessment of the relevant facts and applicable law and precedent; if our assumptions regarding such matters turn out to be inaccurate (i.e., we are found to be liable under circumstances where we regard the likelihood of loss as being only reasonably possible or remote), we could be responsible for significant costs and expenses that are not currently included in our estimates and accruals. In addition, for any potential losses that we regard as probable and for which we have accrued an estimate of the potential losses, our estimates regarding damages, legal fees, court costs and interest could turn out to be inaccurate and the actual losses we incur could be significantly higher than the amounts included in our estimates and accruals. Also, the amount of time it takes for us to resolve all of the current and future lawsuits and claims that relate to the Line 901 incident could turn out to be significantly longer than we have assumed, and as a result the costs we incur for legal services could be significantly higher than we have estimated.</w:t>
      </w:r>
    </w:p>
    <w:p>
      <w:pPr>
        <w:spacing w:after="0" w:line="216"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and 2025, we did not recognize any costs related to the Line 901 incident. As of March 31, 2026 and December 31, 2025, we had a remaining undiscounted gross liability of approximately $23 million and $22 million, respectively, related to the Line 901 incident, which aggregate amounts are reflected in “Current liabilities” on our Condensed Consolidated Balance Sheet.</w:t>
      </w:r>
    </w:p>
    <w:p>
      <w:pPr>
        <w:spacing w:after="0" w:line="203" w:lineRule="exact"/>
        <w:rPr>
          <w:sz w:val="20"/>
          <w:szCs w:val="20"/>
          <w:color w:val="auto"/>
        </w:rPr>
      </w:pPr>
    </w:p>
    <w:p>
      <w:pPr>
        <w:ind w:right="80" w:firstLine="648"/>
        <w:spacing w:after="0" w:line="289" w:lineRule="auto"/>
        <w:rPr>
          <w:sz w:val="20"/>
          <w:szCs w:val="20"/>
          <w:color w:val="auto"/>
        </w:rPr>
      </w:pPr>
      <w:r>
        <w:rPr>
          <w:rFonts w:ascii="Times New Roman" w:cs="Times New Roman" w:eastAsia="Times New Roman" w:hAnsi="Times New Roman"/>
          <w:sz w:val="17"/>
          <w:szCs w:val="17"/>
          <w:color w:val="auto"/>
        </w:rPr>
        <w:t>We maintain insurance coverage, which is subject to certain exclusions and deductibles, in the event of such liabilities. To date, we have collected approximately $295 million of the $500 million available under our 2015 insurance program. With respect to the Line 901 incident, we do not have any amounts recorded as receivables that are recognized on our Condensed Consolidated Balance Sheets as of March 31, 2026 and December 31, 2025.</w:t>
      </w:r>
    </w:p>
    <w:p>
      <w:pPr>
        <w:spacing w:after="0" w:line="18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have completed the required clean-up and remediation work with respect to the Line 901 incident; however, we expect to make payments for additional legal and professional costs during future periods. The only remaining Line 901 lawsuit is pending in California Superior Court in Santa Barbara County, in which a landowner on an adjacent pipeline is alleging property damage from the “stigma” of the Line 901 incident. We are vigorously defending this lawsuit, which has not yet been set for trial, and believe we have strong defenses. Taking into account the costs that we have included in our total estimate of costs for the Line 901 incident and considering what we regard as very strong defenses to the claims made in our remaining Line 901 lawsuits, we do not believe the ultimate resolution of such remaining lawsuit will have a material adverse effect on our consolidated financial condition, results of operations or cash flows.</w:t>
      </w:r>
    </w:p>
    <w:p>
      <w:pPr>
        <w:spacing w:after="0" w:line="214"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L48 Pipeline Release. </w:t>
      </w:r>
      <w:r>
        <w:rPr>
          <w:rFonts w:ascii="Times New Roman" w:cs="Times New Roman" w:eastAsia="Times New Roman" w:hAnsi="Times New Roman"/>
          <w:sz w:val="18"/>
          <w:szCs w:val="18"/>
          <w:color w:val="auto"/>
        </w:rPr>
        <w:t>In March of 2025, our subsidiary, Pacific Pipeline System LLC, experienced a crude oil release of approximately 125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barrels on a segment of the Line 48 pipeline in Carson, California. Clean-up and remediation activities were conducted in cooperation with applicable state and federal regulatory agencies. An investigation by the California Office of the State Fire Marshall is not complete. To date no charges, fines or penalties have been assessed against us with respect to this release; however, it is possible that charges, fines or penalties may be assessed against us in the future. We provided notification to our applicable insurance carriers and intend to pursue reimbursement of any costs incurred in excess of our $10 million self-insured retention. We estimate that the aggregate cost to clean-up and remediate the site will be approximately $15 million. Through March 31, 2026, we incurred $12 million in connection with clean-up and remediation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11—Segment Information</w:t>
      </w:r>
    </w:p>
    <w:p>
      <w:pPr>
        <w:spacing w:after="0" w:line="25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Our operating segments, Crude Oil and NGL, which are also our reportable segments, are organized by product as our Crude Oil and NGL businesses are generally impacted by different market fundamentals and require the use of different assets and business strategies. The Crude Oil segment includes our crude oil pipelines, crude oil storage and marine terminals and related crude oil marketing activities. Our crude oil marketing activities are included in our Crude Oil reporting segment as its primary purpose is to support the utilization of our assets by entering into transactions that facilitate increased volumes handled by our assets, resulting in additional earnings for the segment. The NGL segment includes our NGL assets located in the United States.</w:t>
      </w:r>
    </w:p>
    <w:p>
      <w:pPr>
        <w:spacing w:after="0" w:line="214"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Our CODM (our Chief Executive Officer) evaluates segment performance based on measures including Segment Adjusted EBITDA (as defined below). The measure of Segment Adjusted EBITDA forms the basis of our internal financial reporting and is the primary performance measure of segment profit/(loss) used by our CODM in assessing performance and allocating resources among our operating segments. We define Segment Adjusted EBITDA as revenues and equity earnings in unconsolidated entities less (a) significant segment expenses including: (i) purchases and related costs, (ii) field operating costs and (iii) segment general and administrative expenses, plus (b) our proportionate share of the depreciation and amortization expense (including write-downs related to cancelled projects and impairments) of unconsolidated entities, further adjusted (c) for certain selected items including (i)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 long-term inventory costing adjustments, (iii) charges for obligations that are expected to be settled with the issuance of equity instruments, (iv) amounts related to deficiencies associated with minimum volume commitments, net of the applicable amounts subsequently recognized into revenue and (v) other items that our CODM believes are integral to understanding our core segment operating performance and (d) to exclude the portion of all preceding items that is attributable to noncontrolling interests (“Segment amounts attributable to noncontrolling interests”).</w:t>
      </w:r>
    </w:p>
    <w:p>
      <w:pPr>
        <w:spacing w:after="0" w:line="214"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Our CODM uses Segment Adjusted EBITDA to evaluate the performance of each segment, including analyzing actual results compared to budget and guidance, to assess investment opportunities and to optimize and align assets to maximize returns to stakeholders.</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Segment Adjusted EBITDA excludes depreciation and amortization. As an MLP, we make quarterly distributions of our “available cash” (as defined in our partnership agreement) to our unitholders. We look at each period’s earnings before non-cash depreciation and amortization as an important measure of segment performance. The exclusion of depreciation and amortization expense could be viewed as limiting the usefulness of Segment Adjusted EBITDA as a performance measure because it does not account in current periods for the implied reduction in value of our capital assets, such as pipelines and facilities, caused by age-related decline and wear and tear. We compensate for this limitation by recognizing that depreciation and amortization are largely offset by repair and maintenance investments, which act to partially offset the aging and wear and tear in the value of our principal fixed assets. These maintenance investments are a component of field operating costs included in Segment Adjusted EBITDA or in maintenance capital, depending on the nature of the cost. Capital expenditures made to expand the existing operating and/or earnings capacity of our assets are classified as investment capital. Capital expenditures made to replace and/or refurbish partially or fully depreciated assets in order to maintain the operating and/or earnings capacity of our existing assets are classified as maintenance capital, which is deducted in determining “available cash.” Maintenance capital is reviewed by our CODM on a segment basis. Repair and maintenance expenditures incurred in order to maintain the day to day operation of our existing assets are charged to expense as incurred. Assets are not reviewed by our CODM on a segmented basis; therefore, such information is not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reflect certain financial data from continuing operations for each segment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320" w:type="dxa"/>
            <w:vAlign w:val="bottom"/>
          </w:tcPr>
          <w:p>
            <w:pPr>
              <w:spacing w:after="0"/>
              <w:rPr>
                <w:sz w:val="13"/>
                <w:szCs w:val="13"/>
                <w:color w:val="auto"/>
              </w:rPr>
            </w:pPr>
          </w:p>
        </w:tc>
        <w:tc>
          <w:tcPr>
            <w:tcW w:w="100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NGL</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300" w:type="dxa"/>
            <w:vAlign w:val="bottom"/>
          </w:tcPr>
          <w:p>
            <w:pPr>
              <w:spacing w:after="0"/>
              <w:rPr>
                <w:sz w:val="13"/>
                <w:szCs w:val="13"/>
                <w:color w:val="auto"/>
              </w:rPr>
            </w:pPr>
          </w:p>
        </w:tc>
        <w:tc>
          <w:tcPr>
            <w:tcW w:w="102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0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Elimination</w:t>
            </w: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 2026</w:t>
            </w:r>
          </w:p>
        </w:tc>
        <w:tc>
          <w:tcPr>
            <w:tcW w:w="6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Revenues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sales</w:t>
            </w:r>
          </w:p>
        </w:tc>
        <w:tc>
          <w:tcPr>
            <w:tcW w:w="8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12,026</w:t>
            </w:r>
          </w:p>
        </w:tc>
        <w:tc>
          <w:tcPr>
            <w:tcW w:w="0" w:type="dxa"/>
            <w:vAlign w:val="bottom"/>
          </w:tcPr>
          <w:p>
            <w:pPr>
              <w:spacing w:after="0"/>
              <w:rPr>
                <w:sz w:val="1"/>
                <w:szCs w:val="1"/>
                <w:color w:val="auto"/>
              </w:rPr>
            </w:pPr>
          </w:p>
        </w:tc>
      </w:tr>
      <w:tr>
        <w:trPr>
          <w:trHeight w:val="229"/>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23"/>
        </w:trPr>
        <w:tc>
          <w:tcPr>
            <w:tcW w:w="50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6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12,470</w:t>
            </w: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Significant segment expenses:</w:t>
            </w: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Purchases and related costs </w:t>
            </w:r>
            <w:r>
              <w:rPr>
                <w:rFonts w:ascii="Times New Roman" w:cs="Times New Roman" w:eastAsia="Times New Roman" w:hAnsi="Times New Roman"/>
                <w:sz w:val="23"/>
                <w:szCs w:val="23"/>
                <w:color w:val="auto"/>
                <w:vertAlign w:val="superscript"/>
              </w:rPr>
              <w:t>(1)</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(11,493)</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Field operating costs</w:t>
            </w: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29"/>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Segment general and administrative expenses</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3"/>
        </w:trPr>
        <w:tc>
          <w:tcPr>
            <w:tcW w:w="500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significant segment expenses</w:t>
            </w:r>
          </w:p>
        </w:tc>
        <w:tc>
          <w:tcPr>
            <w:tcW w:w="6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(11,875)</w:t>
            </w: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0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Depreciation and amortization of unconsolidated entities </w:t>
            </w:r>
            <w:r>
              <w:rPr>
                <w:rFonts w:ascii="Times New Roman" w:cs="Times New Roman" w:eastAsia="Times New Roman" w:hAnsi="Times New Roman"/>
                <w:sz w:val="23"/>
                <w:szCs w:val="23"/>
                <w:color w:val="auto"/>
                <w:vertAlign w:val="superscript"/>
              </w:rPr>
              <w:t>(3)</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Derivative activities and inventory valuation adjustments </w:t>
            </w:r>
            <w:r>
              <w:rPr>
                <w:rFonts w:ascii="Times New Roman" w:cs="Times New Roman" w:eastAsia="Times New Roman" w:hAnsi="Times New Roman"/>
                <w:sz w:val="23"/>
                <w:szCs w:val="23"/>
                <w:color w:val="auto"/>
                <w:vertAlign w:val="superscript"/>
              </w:rPr>
              <w:t>(4)</w:t>
            </w: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Long-term inventory costing adjustments </w:t>
            </w:r>
            <w:r>
              <w:rPr>
                <w:rFonts w:ascii="Times New Roman" w:cs="Times New Roman" w:eastAsia="Times New Roman" w:hAnsi="Times New Roman"/>
                <w:sz w:val="23"/>
                <w:szCs w:val="23"/>
                <w:color w:val="auto"/>
                <w:vertAlign w:val="superscript"/>
              </w:rPr>
              <w:t>(5)</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Deficiencies under minimum volume commitments, net </w:t>
            </w:r>
            <w:r>
              <w:rPr>
                <w:rFonts w:ascii="Times New Roman" w:cs="Times New Roman" w:eastAsia="Times New Roman" w:hAnsi="Times New Roman"/>
                <w:sz w:val="23"/>
                <w:szCs w:val="23"/>
                <w:color w:val="auto"/>
                <w:vertAlign w:val="superscript"/>
              </w:rPr>
              <w:t>(6)</w:t>
            </w: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Equity-indexed compensation expense </w:t>
            </w:r>
            <w:r>
              <w:rPr>
                <w:rFonts w:ascii="Times New Roman" w:cs="Times New Roman" w:eastAsia="Times New Roman" w:hAnsi="Times New Roman"/>
                <w:sz w:val="23"/>
                <w:szCs w:val="23"/>
                <w:color w:val="auto"/>
                <w:vertAlign w:val="superscript"/>
              </w:rPr>
              <w:t>(7)</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Foreign currency revaluation </w:t>
            </w:r>
            <w:r>
              <w:rPr>
                <w:rFonts w:ascii="Times New Roman" w:cs="Times New Roman" w:eastAsia="Times New Roman" w:hAnsi="Times New Roman"/>
                <w:sz w:val="23"/>
                <w:szCs w:val="23"/>
                <w:color w:val="auto"/>
                <w:vertAlign w:val="superscript"/>
              </w:rPr>
              <w:t>(8)</w:t>
            </w: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tcBorders>
              <w:bottom w:val="single" w:sz="8" w:color="CCEEFF"/>
            </w:tcBorders>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Segment amounts attributable to noncontrolling interests </w:t>
            </w:r>
            <w:r>
              <w:rPr>
                <w:rFonts w:ascii="Times New Roman" w:cs="Times New Roman" w:eastAsia="Times New Roman" w:hAnsi="Times New Roman"/>
                <w:sz w:val="23"/>
                <w:szCs w:val="23"/>
                <w:color w:val="auto"/>
                <w:vertAlign w:val="superscript"/>
              </w:rPr>
              <w:t>(9)</w:t>
            </w:r>
          </w:p>
        </w:tc>
        <w:tc>
          <w:tcPr>
            <w:tcW w:w="6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other segment items</w:t>
            </w:r>
          </w:p>
        </w:tc>
        <w:tc>
          <w:tcPr>
            <w:tcW w:w="6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000" w:type="dxa"/>
            <w:vAlign w:val="bottom"/>
            <w:tcBorders>
              <w:bottom w:val="single" w:sz="8" w:color="CCEEFF"/>
            </w:tcBorders>
          </w:tcPr>
          <w:p>
            <w:pPr>
              <w:spacing w:after="0"/>
              <w:rPr>
                <w:sz w:val="23"/>
                <w:szCs w:val="23"/>
                <w:color w:val="auto"/>
              </w:rPr>
            </w:pPr>
          </w:p>
        </w:tc>
        <w:tc>
          <w:tcPr>
            <w:tcW w:w="66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11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Investment and acquisition capital expenditures </w:t>
            </w:r>
            <w:r>
              <w:rPr>
                <w:rFonts w:ascii="Times New Roman" w:cs="Times New Roman" w:eastAsia="Times New Roman" w:hAnsi="Times New Roman"/>
                <w:sz w:val="23"/>
                <w:szCs w:val="23"/>
                <w:color w:val="auto"/>
                <w:vertAlign w:val="superscript"/>
              </w:rPr>
              <w:t>(10) (11)</w:t>
            </w:r>
          </w:p>
        </w:tc>
        <w:tc>
          <w:tcPr>
            <w:tcW w:w="8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Maintenance capital expenditures </w:t>
            </w:r>
            <w:r>
              <w:rPr>
                <w:rFonts w:ascii="Times New Roman" w:cs="Times New Roman" w:eastAsia="Times New Roman" w:hAnsi="Times New Roman"/>
                <w:sz w:val="23"/>
                <w:szCs w:val="23"/>
                <w:color w:val="auto"/>
                <w:vertAlign w:val="superscript"/>
              </w:rPr>
              <w:t>(11)</w:t>
            </w:r>
          </w:p>
        </w:tc>
        <w:tc>
          <w:tcPr>
            <w:tcW w:w="8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70"/>
        </w:trPr>
        <w:tc>
          <w:tcPr>
            <w:tcW w:w="50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 of March 31, 2026</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8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2,838</w:t>
            </w:r>
          </w:p>
        </w:tc>
        <w:tc>
          <w:tcPr>
            <w:tcW w:w="0" w:type="dxa"/>
            <w:vAlign w:val="bottom"/>
          </w:tcPr>
          <w:p>
            <w:pPr>
              <w:spacing w:after="0"/>
              <w:rPr>
                <w:sz w:val="1"/>
                <w:szCs w:val="1"/>
                <w:color w:val="auto"/>
              </w:rPr>
            </w:pPr>
          </w:p>
        </w:tc>
      </w:tr>
      <w:tr>
        <w:trPr>
          <w:trHeight w:val="905"/>
        </w:trPr>
        <w:tc>
          <w:tcPr>
            <w:tcW w:w="5000" w:type="dxa"/>
            <w:vAlign w:val="bottom"/>
          </w:tcPr>
          <w:p>
            <w:pPr>
              <w:spacing w:after="0"/>
              <w:rPr>
                <w:sz w:val="24"/>
                <w:szCs w:val="24"/>
                <w:color w:val="auto"/>
              </w:rPr>
            </w:pPr>
          </w:p>
        </w:tc>
        <w:tc>
          <w:tcPr>
            <w:tcW w:w="8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29</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Crude Oil</w:t>
            </w:r>
          </w:p>
        </w:tc>
        <w:tc>
          <w:tcPr>
            <w:tcW w:w="320" w:type="dxa"/>
            <w:vAlign w:val="bottom"/>
          </w:tcPr>
          <w:p>
            <w:pPr>
              <w:spacing w:after="0"/>
              <w:rPr>
                <w:sz w:val="13"/>
                <w:szCs w:val="13"/>
                <w:color w:val="auto"/>
              </w:rPr>
            </w:pPr>
          </w:p>
        </w:tc>
        <w:tc>
          <w:tcPr>
            <w:tcW w:w="1000" w:type="dxa"/>
            <w:vAlign w:val="bottom"/>
            <w:vMerge w:val="restart"/>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NGL</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300" w:type="dxa"/>
            <w:vAlign w:val="bottom"/>
          </w:tcPr>
          <w:p>
            <w:pPr>
              <w:spacing w:after="0"/>
              <w:rPr>
                <w:sz w:val="13"/>
                <w:szCs w:val="13"/>
                <w:color w:val="auto"/>
              </w:rPr>
            </w:pPr>
          </w:p>
        </w:tc>
        <w:tc>
          <w:tcPr>
            <w:tcW w:w="102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Elimination</w:t>
            </w: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Revenues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 sales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11,046</w:t>
            </w:r>
          </w:p>
        </w:tc>
        <w:tc>
          <w:tcPr>
            <w:tcW w:w="0" w:type="dxa"/>
            <w:vAlign w:val="bottom"/>
          </w:tcPr>
          <w:p>
            <w:pPr>
              <w:spacing w:after="0"/>
              <w:rPr>
                <w:sz w:val="1"/>
                <w:szCs w:val="1"/>
                <w:color w:val="auto"/>
              </w:rPr>
            </w:pPr>
          </w:p>
        </w:tc>
      </w:tr>
      <w:tr>
        <w:trPr>
          <w:trHeight w:val="229"/>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23"/>
        </w:trPr>
        <w:tc>
          <w:tcPr>
            <w:tcW w:w="56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11,477</w:t>
            </w:r>
          </w:p>
        </w:tc>
        <w:tc>
          <w:tcPr>
            <w:tcW w:w="0" w:type="dxa"/>
            <w:vAlign w:val="bottom"/>
          </w:tcPr>
          <w:p>
            <w:pPr>
              <w:spacing w:after="0"/>
              <w:rPr>
                <w:sz w:val="1"/>
                <w:szCs w:val="1"/>
                <w:color w:val="auto"/>
              </w:rPr>
            </w:pPr>
          </w:p>
        </w:tc>
      </w:tr>
      <w:tr>
        <w:trPr>
          <w:trHeight w:val="270"/>
        </w:trPr>
        <w:tc>
          <w:tcPr>
            <w:tcW w:w="5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Significant segment expenses: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Purchases and related costs </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(10,517)</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Field operating costs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29"/>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Segment general and administrative expenses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23"/>
        </w:trPr>
        <w:tc>
          <w:tcPr>
            <w:tcW w:w="566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significant segment expenses</w:t>
            </w:r>
          </w:p>
        </w:tc>
        <w:tc>
          <w:tcPr>
            <w:tcW w:w="2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(10,902)</w:t>
            </w:r>
          </w:p>
        </w:tc>
        <w:tc>
          <w:tcPr>
            <w:tcW w:w="0" w:type="dxa"/>
            <w:vAlign w:val="bottom"/>
          </w:tcPr>
          <w:p>
            <w:pPr>
              <w:spacing w:after="0"/>
              <w:rPr>
                <w:sz w:val="1"/>
                <w:szCs w:val="1"/>
                <w:color w:val="auto"/>
              </w:rPr>
            </w:pPr>
          </w:p>
        </w:tc>
      </w:tr>
      <w:tr>
        <w:trPr>
          <w:trHeight w:val="270"/>
        </w:trPr>
        <w:tc>
          <w:tcPr>
            <w:tcW w:w="5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Depreciation and amortization of unconsolidated entities </w:t>
            </w:r>
            <w:r>
              <w:rPr>
                <w:rFonts w:ascii="Times New Roman" w:cs="Times New Roman" w:eastAsia="Times New Roman" w:hAnsi="Times New Roman"/>
                <w:sz w:val="23"/>
                <w:szCs w:val="23"/>
                <w:color w:val="auto"/>
                <w:vertAlign w:val="superscript"/>
              </w:rPr>
              <w:t>(3)</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Derivative activities and inventory valuation adjustments </w:t>
            </w:r>
            <w:r>
              <w:rPr>
                <w:rFonts w:ascii="Times New Roman" w:cs="Times New Roman" w:eastAsia="Times New Roman" w:hAnsi="Times New Roman"/>
                <w:sz w:val="23"/>
                <w:szCs w:val="23"/>
                <w:color w:val="auto"/>
                <w:vertAlign w:val="superscript"/>
              </w:rPr>
              <w:t>(4)</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Deficiencies under minimum volume commitments, net </w:t>
            </w:r>
            <w:r>
              <w:rPr>
                <w:rFonts w:ascii="Times New Roman" w:cs="Times New Roman" w:eastAsia="Times New Roman" w:hAnsi="Times New Roman"/>
                <w:sz w:val="23"/>
                <w:szCs w:val="23"/>
                <w:color w:val="auto"/>
                <w:vertAlign w:val="superscript"/>
              </w:rPr>
              <w:t>(6)</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Equity-indexed compensation expense </w:t>
            </w:r>
            <w:r>
              <w:rPr>
                <w:rFonts w:ascii="Times New Roman" w:cs="Times New Roman" w:eastAsia="Times New Roman" w:hAnsi="Times New Roman"/>
                <w:sz w:val="23"/>
                <w:szCs w:val="23"/>
                <w:color w:val="auto"/>
                <w:vertAlign w:val="superscript"/>
              </w:rPr>
              <w:t>(7)</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Transaction-related expenses </w:t>
            </w:r>
            <w:r>
              <w:rPr>
                <w:rFonts w:ascii="Times New Roman" w:cs="Times New Roman" w:eastAsia="Times New Roman" w:hAnsi="Times New Roman"/>
                <w:sz w:val="23"/>
                <w:szCs w:val="23"/>
                <w:color w:val="auto"/>
                <w:vertAlign w:val="superscript"/>
              </w:rPr>
              <w:t>(12)</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Segment amounts attributable to noncontrolling interests </w:t>
            </w:r>
            <w:r>
              <w:rPr>
                <w:rFonts w:ascii="Times New Roman" w:cs="Times New Roman" w:eastAsia="Times New Roman" w:hAnsi="Times New Roman"/>
                <w:sz w:val="23"/>
                <w:szCs w:val="23"/>
                <w:color w:val="auto"/>
                <w:vertAlign w:val="superscript"/>
              </w:rPr>
              <w:t>(9)</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other segment items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566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Investment and acquisition capital expenditures </w:t>
            </w:r>
            <w:r>
              <w:rPr>
                <w:rFonts w:ascii="Times New Roman" w:cs="Times New Roman" w:eastAsia="Times New Roman" w:hAnsi="Times New Roman"/>
                <w:sz w:val="23"/>
                <w:szCs w:val="23"/>
                <w:color w:val="auto"/>
                <w:vertAlign w:val="superscript"/>
              </w:rPr>
              <w:t>(10) (11)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Maintenance capital expenditures </w:t>
            </w:r>
            <w:r>
              <w:rPr>
                <w:rFonts w:ascii="Times New Roman" w:cs="Times New Roman" w:eastAsia="Times New Roman" w:hAnsi="Times New Roman"/>
                <w:sz w:val="23"/>
                <w:szCs w:val="23"/>
                <w:color w:val="auto"/>
                <w:vertAlign w:val="superscript"/>
              </w:rPr>
              <w:t>(11)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70"/>
        </w:trPr>
        <w:tc>
          <w:tcPr>
            <w:tcW w:w="5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2,846</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245999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4" w:lineRule="exact"/>
        <w:rPr>
          <w:sz w:val="20"/>
          <w:szCs w:val="20"/>
          <w:color w:val="auto"/>
        </w:rPr>
      </w:pPr>
    </w:p>
    <w:p>
      <w:pPr>
        <w:ind w:left="20" w:right="40" w:hanging="11"/>
        <w:spacing w:after="0" w:line="266" w:lineRule="auto"/>
        <w:rPr>
          <w:sz w:val="20"/>
          <w:szCs w:val="20"/>
          <w:color w:val="auto"/>
        </w:rPr>
      </w:pPr>
      <w:r>
        <w:rPr>
          <w:rFonts w:ascii="Times New Roman" w:cs="Times New Roman" w:eastAsia="Times New Roman" w:hAnsi="Times New Roman"/>
          <w:sz w:val="18"/>
          <w:szCs w:val="18"/>
          <w:color w:val="auto"/>
        </w:rPr>
        <w:t>Segment revenues include intersegment amounts that are eliminated in Purchases and related costs. Intersegment activities are conducted at posted tariff rates where applicable, or otherwise at rates similar to those charged to third parties or rates that we believe approximate market at the time the agreement is executed or renegotiated.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Represents adjustments utilized by our CODM in the evaluation of segment results.</w:t>
      </w:r>
    </w:p>
    <w:p>
      <w:pPr>
        <w:spacing w:after="0" w:line="63" w:lineRule="exact"/>
        <w:rPr>
          <w:sz w:val="20"/>
          <w:szCs w:val="20"/>
          <w:color w:val="auto"/>
        </w:rPr>
      </w:pPr>
    </w:p>
    <w:p>
      <w:pPr>
        <w:ind w:left="20" w:right="900" w:hanging="11"/>
        <w:spacing w:after="0" w:line="282" w:lineRule="auto"/>
        <w:rPr>
          <w:sz w:val="20"/>
          <w:szCs w:val="20"/>
          <w:color w:val="auto"/>
        </w:rPr>
      </w:pPr>
      <w:r>
        <w:rPr>
          <w:rFonts w:ascii="Times New Roman" w:cs="Times New Roman" w:eastAsia="Times New Roman" w:hAnsi="Times New Roman"/>
          <w:sz w:val="18"/>
          <w:szCs w:val="18"/>
          <w:color w:val="auto"/>
        </w:rPr>
        <w:t>Includes our proportionate share of the depreciation and amortization expense (including write-downs related to cancelled projects and impairments) of unconsolidated entities.</w:t>
      </w:r>
    </w:p>
    <w:p>
      <w:pPr>
        <w:spacing w:after="0" w:line="200" w:lineRule="exact"/>
        <w:rPr>
          <w:sz w:val="20"/>
          <w:szCs w:val="20"/>
          <w:color w:val="auto"/>
        </w:rPr>
      </w:pPr>
    </w:p>
    <w:p>
      <w:pPr>
        <w:sectPr>
          <w:pgSz w:w="11900" w:h="16838" w:orient="portrait"/>
          <w:cols w:equalWidth="0" w:num="2">
            <w:col w:w="140" w:space="500"/>
            <w:col w:w="10600"/>
          </w:cols>
          <w:pgMar w:left="320" w:top="121" w:right="339" w:bottom="1440" w:gutter="0" w:footer="0" w:header="0"/>
          <w:type w:val="continuous"/>
        </w:sect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6" w:lineRule="exact"/>
        <w:rPr>
          <w:sz w:val="20"/>
          <w:szCs w:val="20"/>
          <w:color w:val="auto"/>
        </w:rPr>
      </w:pPr>
    </w:p>
    <w:p>
      <w:pPr>
        <w:ind w:left="660" w:right="20" w:hanging="652"/>
        <w:spacing w:after="0" w:line="245" w:lineRule="auto"/>
        <w:tabs>
          <w:tab w:leader="none" w:pos="648"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differences in the timing of earnings from the derivative instruments and the underlying transactions and exclude the related gains and losses in determining Segment Adjusted EBITDA such that the earnings from the derivative instruments and the underlying transactions impact Segment Adjusted EBITDA in the same period. In addition, we exclude gains and losses on derivatives that are related to (i) investing activities, such as the purchase of linefill, and (ii) purchases of long-term inventory. We also exclude the impact of corresponding inventory valuation adjustments, as applicable.</w:t>
      </w:r>
    </w:p>
    <w:p>
      <w:pPr>
        <w:sectPr>
          <w:pgSz w:w="11900" w:h="16838" w:orient="portrait"/>
          <w:cols w:equalWidth="0" w:num="1">
            <w:col w:w="11240"/>
          </w:cols>
          <w:pgMar w:left="320" w:top="121" w:right="339" w:bottom="1440" w:gutter="0" w:footer="0" w:header="0"/>
        </w:sectPr>
      </w:pP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ind w:right="40" w:hanging="11"/>
        <w:spacing w:after="0" w:line="277" w:lineRule="auto"/>
        <w:rPr>
          <w:sz w:val="20"/>
          <w:szCs w:val="20"/>
          <w:color w:val="auto"/>
        </w:rPr>
      </w:pPr>
      <w:r>
        <w:rPr>
          <w:rFonts w:ascii="Times New Roman" w:cs="Times New Roman" w:eastAsia="Times New Roman" w:hAnsi="Times New Roman"/>
          <w:sz w:val="17"/>
          <w:szCs w:val="17"/>
          <w:color w:val="auto"/>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exclude the impact of changes in the average cost of the long-term inventory (that result from fluctuations in market prices) and write-downs of such inventory that result from price declines from Segment Adjusted EBITDA.</w:t>
      </w:r>
    </w:p>
    <w:p>
      <w:pPr>
        <w:spacing w:after="0" w:line="60" w:lineRule="exact"/>
        <w:rPr>
          <w:sz w:val="20"/>
          <w:szCs w:val="20"/>
          <w:color w:val="auto"/>
        </w:rPr>
      </w:pPr>
    </w:p>
    <w:p>
      <w:pPr>
        <w:ind w:right="40" w:hanging="11"/>
        <w:spacing w:after="0" w:line="253" w:lineRule="auto"/>
        <w:rPr>
          <w:sz w:val="20"/>
          <w:szCs w:val="20"/>
          <w:color w:val="auto"/>
        </w:rPr>
      </w:pPr>
      <w:r>
        <w:rPr>
          <w:rFonts w:ascii="Times New Roman" w:cs="Times New Roman" w:eastAsia="Times New Roman" w:hAnsi="Times New Roman"/>
          <w:sz w:val="18"/>
          <w:szCs w:val="18"/>
          <w:color w:val="auto"/>
        </w:rPr>
        <w:t>We, and certain of our equity method investees, have certain agreements that require counterparties to deliver, transport or throughput a minimum volume over an agreed upon period. Substantially all of such agreements were entered into with counterparties to economically support the return on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or equity earnings, as a selected item impacting comparability. Our CODM views the inclusion of the contractually committed revenues associated with that period as meaningful to Segment Adjusted EBITDA as the related asset has been constructed, is standing ready to provide the committed service and the fixed operating costs are included in the current period results.</w:t>
      </w:r>
    </w:p>
    <w:p>
      <w:pPr>
        <w:spacing w:after="0" w:line="84" w:lineRule="exact"/>
        <w:rPr>
          <w:sz w:val="20"/>
          <w:szCs w:val="20"/>
          <w:color w:val="auto"/>
        </w:rPr>
      </w:pPr>
    </w:p>
    <w:p>
      <w:pPr>
        <w:sectPr>
          <w:pgSz w:w="11900" w:h="16838" w:orient="portrait"/>
          <w:cols w:equalWidth="0" w:num="2">
            <w:col w:w="140" w:space="520"/>
            <w:col w:w="10580"/>
          </w:cols>
          <w:pgMar w:left="320" w:top="121" w:right="339" w:bottom="1440" w:gutter="0" w:footer="0" w:header="0"/>
          <w:type w:val="continuous"/>
        </w:sectPr>
      </w:pPr>
    </w:p>
    <w:p>
      <w:pPr>
        <w:ind w:left="660" w:right="40" w:hanging="652"/>
        <w:spacing w:after="0" w:line="244" w:lineRule="auto"/>
        <w:tabs>
          <w:tab w:leader="none" w:pos="648"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Our total equity-indexed compensation expense includes expense associated with awards that will be settled in units and awards that will be settled in cash. The awards that will be settled in units are included in our diluted net income per unit calculation when the applicable performance criteria have been met. We exclude compensation expense associated with these awards in determining Segment Adjusted EBITDA as the dilutive impact of the outstanding awards is included in our diluted net income per unit calculation, as applicable. The portion of compensation expense associated with awards that will be settled in cash is not excluded in determining Segment Adjusted EBITDA. See Note 18 to our Consolidated Financial Statements included in Part IV of our 2025 Annual Report on Form 10-K for a discussion regarding our equity-indexed compensation plans.</w:t>
      </w:r>
    </w:p>
    <w:p>
      <w:pPr>
        <w:sectPr>
          <w:pgSz w:w="11900" w:h="16838" w:orient="portrait"/>
          <w:cols w:equalWidth="0" w:num="1">
            <w:col w:w="11240"/>
          </w:cols>
          <w:pgMar w:left="320" w:top="121" w:right="339" w:bottom="1440" w:gutter="0" w:footer="0" w:header="0"/>
          <w:type w:val="continuous"/>
        </w:sectPr>
      </w:pP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(8)</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(9)</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(10)</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left="20" w:hanging="11"/>
        <w:spacing w:after="0" w:line="289" w:lineRule="auto"/>
        <w:rPr>
          <w:sz w:val="20"/>
          <w:szCs w:val="20"/>
          <w:color w:val="auto"/>
        </w:rPr>
      </w:pPr>
      <w:r>
        <w:rPr>
          <w:rFonts w:ascii="Times New Roman" w:cs="Times New Roman" w:eastAsia="Times New Roman" w:hAnsi="Times New Roman"/>
          <w:sz w:val="17"/>
          <w:szCs w:val="17"/>
          <w:color w:val="auto"/>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These gains and losses are not integral to our core operating performance and were therefore excluded in determining Segment Adjusted EBITDA.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Reflects amounts attributable to noncontrolling interests in the Permian JV, Cactus II and Red River.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capital and acquisition capital expenditures, including investments in unconsolidated entities.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amounts combined represent total capital expenditures.</w:t>
      </w:r>
    </w:p>
    <w:p>
      <w:pPr>
        <w:spacing w:after="0" w:line="87" w:lineRule="exact"/>
        <w:rPr>
          <w:sz w:val="20"/>
          <w:szCs w:val="20"/>
          <w:color w:val="auto"/>
        </w:rPr>
      </w:pPr>
    </w:p>
    <w:p>
      <w:pPr>
        <w:sectPr>
          <w:pgSz w:w="11900" w:h="16838" w:orient="portrait"/>
          <w:cols w:equalWidth="0" w:num="2">
            <w:col w:w="200" w:space="440"/>
            <w:col w:w="10600"/>
          </w:cols>
          <w:pgMar w:left="320" w:top="121" w:right="339" w:bottom="1440" w:gutter="0" w:footer="0" w:header="0"/>
          <w:type w:val="continuous"/>
        </w:sectPr>
      </w:pPr>
    </w:p>
    <w:p>
      <w:pPr>
        <w:ind w:left="640" w:hanging="632"/>
        <w:spacing w:after="0"/>
        <w:tabs>
          <w:tab w:leader="none" w:pos="64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Primarily related to deal-specific costs incurred during the periods presented.</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34" w:lineRule="exact"/>
        <w:rPr>
          <w:rFonts w:ascii="Times New Roman" w:cs="Times New Roman" w:eastAsia="Times New Roman" w:hAnsi="Times New Roman"/>
          <w:sz w:val="23"/>
          <w:szCs w:val="23"/>
          <w:color w:val="auto"/>
          <w:vertAlign w:val="superscript"/>
        </w:rPr>
      </w:pPr>
    </w:p>
    <w:p>
      <w:pPr>
        <w:ind w:left="55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Adjusted EBITDA Reconciliation</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reconciles Segment Adjusted EBITDA to Income from continuing operations, net of tax (in millions):</w:t>
      </w:r>
    </w:p>
    <w:p>
      <w:pPr>
        <w:spacing w:after="0" w:line="286"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880" w:type="dxa"/>
            <w:vAlign w:val="bottom"/>
            <w:tcBorders>
              <w:bottom w:val="single" w:sz="8" w:color="CCEEFF"/>
            </w:tcBorders>
          </w:tcPr>
          <w:p>
            <w:pPr>
              <w:spacing w:after="0"/>
              <w:rPr>
                <w:sz w:val="17"/>
                <w:szCs w:val="17"/>
                <w:color w:val="auto"/>
              </w:rPr>
            </w:pPr>
          </w:p>
        </w:tc>
        <w:tc>
          <w:tcPr>
            <w:tcW w:w="438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94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r>
      <w:tr>
        <w:trPr>
          <w:trHeight w:val="230"/>
        </w:trPr>
        <w:tc>
          <w:tcPr>
            <w:tcW w:w="82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Total other segment items </w:t>
            </w:r>
            <w:r>
              <w:rPr>
                <w:rFonts w:ascii="Times New Roman" w:cs="Times New Roman" w:eastAsia="Times New Roman" w:hAnsi="Times New Roman"/>
                <w:sz w:val="23"/>
                <w:szCs w:val="23"/>
                <w:color w:val="auto"/>
                <w:vertAlign w:val="superscript"/>
              </w:rPr>
              <w:t>(1)</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2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2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Gains on asset sales and other, net</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investments in unconsolidated entities, net</w:t>
            </w:r>
          </w:p>
        </w:tc>
        <w:tc>
          <w:tcPr>
            <w:tcW w:w="9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30"/>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 tax</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r>
      <w:tr>
        <w:trPr>
          <w:trHeight w:val="229"/>
        </w:trPr>
        <w:tc>
          <w:tcPr>
            <w:tcW w:w="8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expense from continuing operations</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net of tax</w:t>
            </w:r>
          </w:p>
        </w:tc>
        <w:tc>
          <w:tcPr>
            <w:tcW w:w="94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1"/>
        </w:trPr>
        <w:tc>
          <w:tcPr>
            <w:tcW w:w="38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42"/>
        </w:trPr>
        <w:tc>
          <w:tcPr>
            <w:tcW w:w="3880" w:type="dxa"/>
            <w:vAlign w:val="bottom"/>
            <w:tcBorders>
              <w:bottom w:val="single" w:sz="8" w:color="auto"/>
            </w:tcBorders>
          </w:tcPr>
          <w:p>
            <w:pPr>
              <w:spacing w:after="0"/>
              <w:rPr>
                <w:sz w:val="12"/>
                <w:szCs w:val="12"/>
                <w:color w:val="auto"/>
              </w:rPr>
            </w:pPr>
          </w:p>
        </w:tc>
        <w:tc>
          <w:tcPr>
            <w:tcW w:w="4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r>
    </w:tbl>
    <w:p>
      <w:pPr>
        <w:spacing w:after="0" w:line="87" w:lineRule="exact"/>
        <w:rPr>
          <w:sz w:val="20"/>
          <w:szCs w:val="20"/>
          <w:color w:val="auto"/>
        </w:rPr>
      </w:pPr>
    </w:p>
    <w:p>
      <w:pPr>
        <w:ind w:left="640" w:hanging="632"/>
        <w:spacing w:after="0"/>
        <w:tabs>
          <w:tab w:leader="none" w:pos="64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footnotes to the segment financial data tables above for a more detailed discussion of Other segment items.</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18" w:lineRule="exact"/>
        <w:rPr>
          <w:rFonts w:ascii="Times New Roman" w:cs="Times New Roman" w:eastAsia="Times New Roman" w:hAnsi="Times New Roman"/>
          <w:sz w:val="23"/>
          <w:szCs w:val="23"/>
          <w:color w:val="auto"/>
          <w:vertAlign w:val="superscript"/>
        </w:rPr>
      </w:pPr>
    </w:p>
    <w:p>
      <w:pPr>
        <w:ind w:left="55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following discussion is intended to provide investors with an understanding of our financial condition and results of our operations and should be read in conjunction with our historical Consolidated Financial Statements and accompanying notes and Management’s Discussion and Analysis of Financial Condition and Results of Operations as presented in our 2025 Annual Report on Form 10-K. For more detailed information regarding the basis of presentation for the following financial information, see the Condensed Consolidated Financial Statements and related notes that are contained in Part I, Item 1 of this Quarterly Report on Form 10-Q.</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discussion and analysis includes the following:</w:t>
      </w:r>
    </w:p>
    <w:p>
      <w:pPr>
        <w:spacing w:after="0" w:line="225" w:lineRule="exact"/>
        <w:rPr>
          <w:sz w:val="20"/>
          <w:szCs w:val="20"/>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Summary</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Capital Resources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Accounting Pronouncements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Forward-Looking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Overview</w:t>
      </w:r>
    </w:p>
    <w:p>
      <w:pPr>
        <w:spacing w:after="0" w:line="229"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Our business model integrates large-scale supply aggregation capabilities with the ownership and operation of critical midstream infrastructure systems that connect major producing regions to key demand centers and export terminals. As one of the largest crude oil midstream service providers in North America, we own an extensive network of pipeline transportation, terminalling, storage and gathering assets in key crude oil producing basins (including the Permian Basin) and transportation corridors and at major market hubs in the United States and Canada. Our assets and the services we provide are primarily focused on crude oil and, to a lesser extent, NGL.</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Pending Sale of Canadian NGL Business</w:t>
      </w:r>
    </w:p>
    <w:p>
      <w:pPr>
        <w:spacing w:after="0" w:line="254"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On June 17, 2025, we entered into a definitive SPA with Keyera, pursuant to which Keyera agreed to acquire all of the issued and outstanding shares of Plains Midstream Canada ULC, our wholly-owned subsidiary that owns substantially all of the Canadian NGL Business. This transaction supports our strategic objective to focus on our core midstream crude oil operations and to reduce exposure to commodity price fluctuations and seasonality. We will divest the Canadian NGL Business as part of the sale, which includes substantially all of our NGL assets; the NGL assets that we will retain are located in the United States. This transaction is expected to close in May 2026. We determined that in conjunction with entering into the SPA, the operations of the Canadian NGL Business meet the criteria for classification as held for sale and for discontinued operations reporting, as the sale will represent a strategic shift that will have a major effect on our operations and financial results. We have applied these changes retrospectively to all periods presented. See Note 1 and Note 2 to our Condensed Consolidated Financial Statements for additional information.</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otherwise indicated, the discussion below relates to our continuing operations and excludes amounts related to discontinued operations.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Operating Results</w:t>
      </w:r>
    </w:p>
    <w:p>
      <w:pPr>
        <w:spacing w:after="0" w:line="256"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We recognized net income attributable to PAA of $152 million for the three months ended March 31, 2026 compared to net income attributable to PAA of $443 million for the first three months of 2025. See the “—Results of Operations” section below for discussion of significant drivers of our results from continuing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an overview of our consolidated financial results calculated in accordance with GAAP (in millions, except per unit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data):</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70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1620" w:type="dxa"/>
            <w:vAlign w:val="bottom"/>
            <w:gridSpan w:val="3"/>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left="57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vMerge w:val="continue"/>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1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sales revenues</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Services revenues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Field operating costs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 on asset sales and other, net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308 %</w:t>
            </w:r>
          </w:p>
        </w:tc>
        <w:tc>
          <w:tcPr>
            <w:tcW w:w="0" w:type="dxa"/>
            <w:vAlign w:val="bottom"/>
          </w:tcPr>
          <w:p>
            <w:pPr>
              <w:spacing w:after="0"/>
              <w:rPr>
                <w:sz w:val="1"/>
                <w:szCs w:val="1"/>
                <w:color w:val="auto"/>
              </w:rPr>
            </w:pPr>
          </w:p>
        </w:tc>
      </w:tr>
      <w:tr>
        <w:trPr>
          <w:trHeight w:val="23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investments in unconsolidated entities, net</w:t>
            </w:r>
          </w:p>
        </w:tc>
        <w:tc>
          <w:tcPr>
            <w:tcW w:w="3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Interest expense, net </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income, net </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29"/>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from continuing operations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0" w:type="dxa"/>
            <w:vAlign w:val="bottom"/>
          </w:tcPr>
          <w:p>
            <w:pPr>
              <w:spacing w:after="0"/>
              <w:rPr>
                <w:sz w:val="1"/>
                <w:szCs w:val="1"/>
                <w:color w:val="auto"/>
              </w:rPr>
            </w:pPr>
          </w:p>
        </w:tc>
      </w:tr>
      <w:tr>
        <w:trPr>
          <w:trHeight w:val="22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net of tax</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5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Income/(loss) from discontinued operations, net of tax</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23"/>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30"/>
        </w:trPr>
        <w:tc>
          <w:tcPr>
            <w:tcW w:w="5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8"/>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PAA</w:t>
            </w: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and diluted net income/(loss) per common unit: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Continuing operations</w:t>
            </w:r>
          </w:p>
        </w:tc>
        <w:tc>
          <w:tcPr>
            <w:tcW w:w="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100" w:type="dxa"/>
            <w:vAlign w:val="bottom"/>
          </w:tcPr>
          <w:p>
            <w:pPr>
              <w:spacing w:after="0"/>
              <w:rPr>
                <w:sz w:val="19"/>
                <w:szCs w:val="19"/>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0.30</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Discontinued operations</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2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 net income per common unit</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19"/>
                <w:szCs w:val="19"/>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weighted average common units outstanding</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245999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ind w:right="60" w:hanging="11"/>
        <w:spacing w:after="0" w:line="266" w:lineRule="auto"/>
        <w:rPr>
          <w:sz w:val="20"/>
          <w:szCs w:val="20"/>
          <w:color w:val="auto"/>
        </w:rPr>
      </w:pPr>
      <w:r>
        <w:rPr>
          <w:rFonts w:ascii="Times New Roman" w:cs="Times New Roman" w:eastAsia="Times New Roman" w:hAnsi="Times New Roman"/>
          <w:sz w:val="18"/>
          <w:szCs w:val="18"/>
          <w:color w:val="auto"/>
        </w:rPr>
        <w:t>“Interest expense, net” and “Other income, net” each include $23 million for the three months ended March 31, 2026 and $20 million for the three months ended March 31, 2025 related to interest on promissory notes by and among us and certain Plains entities.</w:t>
      </w:r>
    </w:p>
    <w:p>
      <w:pPr>
        <w:spacing w:after="0" w:line="14" w:lineRule="exact"/>
        <w:rPr>
          <w:sz w:val="20"/>
          <w:szCs w:val="20"/>
          <w:color w:val="auto"/>
        </w:rPr>
      </w:pPr>
    </w:p>
    <w:p>
      <w:pPr>
        <w:ind w:right="80" w:hanging="11"/>
        <w:spacing w:after="0" w:line="282" w:lineRule="auto"/>
        <w:rPr>
          <w:sz w:val="20"/>
          <w:szCs w:val="20"/>
          <w:color w:val="auto"/>
        </w:rPr>
      </w:pPr>
      <w:r>
        <w:rPr>
          <w:rFonts w:ascii="Times New Roman" w:cs="Times New Roman" w:eastAsia="Times New Roman" w:hAnsi="Times New Roman"/>
          <w:sz w:val="18"/>
          <w:szCs w:val="18"/>
          <w:color w:val="auto"/>
        </w:rPr>
        <w:t>See Note 2 to our Condensed Consolidated Financial Statements for a reconciliation of the line items comprising income/(loss) from discontinued operations, net of tax.</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Continuing Operations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discussion of our results of operations focuses on our continuing operations.</w:t>
      </w:r>
    </w:p>
    <w:p>
      <w:pPr>
        <w:spacing w:after="0" w:line="200" w:lineRule="exact"/>
        <w:rPr>
          <w:sz w:val="20"/>
          <w:szCs w:val="20"/>
          <w:color w:val="auto"/>
        </w:rPr>
      </w:pPr>
    </w:p>
    <w:p>
      <w:pPr>
        <w:sectPr>
          <w:pgSz w:w="11900" w:h="16838" w:orient="portrait"/>
          <w:cols w:equalWidth="0" w:num="2">
            <w:col w:w="140" w:space="520"/>
            <w:col w:w="1058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Revenues and Purchases</w:t>
      </w:r>
    </w:p>
    <w:p>
      <w:pPr>
        <w:spacing w:after="0" w:line="256" w:lineRule="exact"/>
        <w:rPr>
          <w:sz w:val="20"/>
          <w:szCs w:val="20"/>
          <w:color w:val="auto"/>
        </w:rPr>
      </w:pPr>
    </w:p>
    <w:p>
      <w:pPr>
        <w:jc w:val="both"/>
        <w:ind w:right="160" w:firstLine="648"/>
        <w:spacing w:after="0" w:line="261" w:lineRule="auto"/>
        <w:rPr>
          <w:sz w:val="20"/>
          <w:szCs w:val="20"/>
          <w:color w:val="auto"/>
        </w:rPr>
      </w:pPr>
      <w:r>
        <w:rPr>
          <w:rFonts w:ascii="Times New Roman" w:cs="Times New Roman" w:eastAsia="Times New Roman" w:hAnsi="Times New Roman"/>
          <w:sz w:val="18"/>
          <w:szCs w:val="18"/>
          <w:color w:val="auto"/>
        </w:rPr>
        <w:t>Fluctuations in our revenues and purchases and related costs are primarily associated with our merchant activities and are generally explained by changes in commodity prices and the impact of gains and losses related to derivative instruments used to manage our commodity price exposure. Because both product sales revenues and purchases and related costs are generally based off of the same pricing indices, the market price of the commodities will not necessarily have an impact on the absolute margins related to those sales and purchases.</w:t>
      </w:r>
    </w:p>
    <w:p>
      <w:pPr>
        <w:spacing w:after="0" w:line="207"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A majority of our crude oil sales and purchases are indexed to the prompt month price of the NYMEX Light, Sweet crude oil futures contract (“NYMEX Price”). The following table presents the range of the NYMEX Price over the last two years (in dollars per barrel):</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NYMEX Price</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
        </w:trPr>
        <w:tc>
          <w:tcPr>
            <w:tcW w:w="67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6740" w:type="dxa"/>
            <w:vAlign w:val="bottom"/>
          </w:tcPr>
          <w:p>
            <w:pPr>
              <w:spacing w:after="0"/>
              <w:rPr>
                <w:sz w:val="16"/>
                <w:szCs w:val="16"/>
                <w:color w:val="auto"/>
              </w:rPr>
            </w:pPr>
          </w:p>
        </w:tc>
        <w:tc>
          <w:tcPr>
            <w:tcW w:w="100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Low</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High</w:t>
            </w:r>
          </w:p>
        </w:tc>
        <w:tc>
          <w:tcPr>
            <w:tcW w:w="300" w:type="dxa"/>
            <w:vAlign w:val="bottom"/>
          </w:tcPr>
          <w:p>
            <w:pPr>
              <w:spacing w:after="0"/>
              <w:rPr>
                <w:sz w:val="16"/>
                <w:szCs w:val="16"/>
                <w:color w:val="auto"/>
              </w:rPr>
            </w:pPr>
          </w:p>
        </w:tc>
        <w:tc>
          <w:tcPr>
            <w:tcW w:w="114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229"/>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March 31, 2026</w:t>
            </w:r>
          </w:p>
        </w:tc>
        <w:tc>
          <w:tcPr>
            <w:tcW w:w="1000" w:type="dxa"/>
            <w:vAlign w:val="bottom"/>
            <w:tcBorders>
              <w:top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4"/>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Three Months Ended March 31, 2025</w:t>
            </w:r>
          </w:p>
        </w:tc>
        <w:tc>
          <w:tcPr>
            <w:tcW w:w="1000" w:type="dxa"/>
            <w:vAlign w:val="bottom"/>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bl>
    <w:p>
      <w:pPr>
        <w:spacing w:after="0" w:line="314"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Product sales revenues (including the impact of derivative mark-to-market valuations) and purchases increased for the three months ended March 31, 2026 compared to the same period in 2025 primarily due to higher crude oil sales volumes and commodity prices in the 2026 period.</w:t>
      </w:r>
    </w:p>
    <w:p>
      <w:pPr>
        <w:spacing w:after="0" w:line="18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Services revenues for the three months ended March 31, 2026 increased compared to the same period in 2025 primarily due to the impact of recently completed acquisitions, including our acquisition of the Cactus III pipeline in the fourth quarter of 2025, partially offset by the impact from certain Permian long-haul pipeline contract rates resetting to market during 2025.</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further discussion of net revenues (defined as revenues less purchases and related costs) in the “—Analysis of Operating Segments” section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2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Field Operating Costs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discussion of field operating costs in the “—Analysis of Operating Segments” section below.</w:t>
      </w: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256"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decrease in general and administrative expenses for the three months ended March 31, 2026 compared to the same period in 2025 was primarily due to (i) the recognition in the 2025 period of acquisition-related transaction costs and (ii) lower information systems costs in the 2026 period primarily due to the completion of certain systems conversion and integration work.</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p>
      <w:pPr>
        <w:spacing w:after="0" w:line="256"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increase in depreciation and amortization for the three months ended March 31, 2026 compared to the same period in 2025 was largely driven by recently completed acquisitions.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Gains on Asset Sales and Other, Net</w:t>
      </w:r>
    </w:p>
    <w:p>
      <w:pPr>
        <w:spacing w:after="0" w:line="25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pending sale of the Canadian NGL Business, we entered into a deal-contingent forward currency instrument to hedge the currency exchange risk associated with the sale in CAD. The 2026 period was impacted by the mark-to-market of this instrument. See Note 8 to our Condensed Consolidated Financial Statements for additional information regarding this instrument and our derivatives and hedging activities. See Note 1 to our Condensed Consolidated Financial Statements for additional information regarding the pending sale of the Canadian NGL Business.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Equity Earnings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discussion of Equity earnings in unconsolidated entities in the “—Analysis of Operating Segments” section below.</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Gain on Investments in Unconsolidated Entities, Net</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the first quarter of 2025, we recognized a gain of $31 million related to our acquisition of the remaining 50% interest in Cheyenne Pipeline LLC through a non-monetary transaction.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Interest Expense, Net and Other Income, Net</w:t>
      </w:r>
    </w:p>
    <w:p>
      <w:pPr>
        <w:spacing w:after="0" w:line="256"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and 2025, “Interest expense, net” and “Other income, net” each include interest expense and interest income associated with promissory notes payable and receivable by and among us and certain Plains entities. These amounts are excluded from our non-GAAP performance measures Adjusted EBITDA and Implied DCF. As such, the interest expense and interest income associated with these notes are presented on a net basis in the reconciliation of these metrics to Net Income. See the “—Non-GAAP Financial Measures” section below.</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components impacting Interest expense, net (in millions):</w:t>
      </w:r>
    </w:p>
    <w:p>
      <w:pPr>
        <w:spacing w:after="0" w:line="286"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880" w:type="dxa"/>
            <w:vAlign w:val="bottom"/>
            <w:tcBorders>
              <w:bottom w:val="single" w:sz="8" w:color="CCEEFF"/>
            </w:tcBorders>
          </w:tcPr>
          <w:p>
            <w:pPr>
              <w:spacing w:after="0"/>
              <w:rPr>
                <w:sz w:val="17"/>
                <w:szCs w:val="17"/>
                <w:color w:val="auto"/>
              </w:rPr>
            </w:pPr>
          </w:p>
        </w:tc>
        <w:tc>
          <w:tcPr>
            <w:tcW w:w="4380" w:type="dxa"/>
            <w:vAlign w:val="bottom"/>
            <w:tcBorders>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26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Interest expense on third-party borrowings </w:t>
            </w:r>
            <w:r>
              <w:rPr>
                <w:rFonts w:ascii="Times New Roman" w:cs="Times New Roman" w:eastAsia="Times New Roman" w:hAnsi="Times New Roman"/>
                <w:sz w:val="23"/>
                <w:szCs w:val="23"/>
                <w:color w:val="auto"/>
                <w:vertAlign w:val="superscript"/>
              </w:rPr>
              <w:t>(1)</w:t>
            </w:r>
          </w:p>
        </w:tc>
        <w:tc>
          <w:tcPr>
            <w:tcW w:w="98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30"/>
        </w:trPr>
        <w:tc>
          <w:tcPr>
            <w:tcW w:w="82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Interest expense on related party promissory notes </w:t>
            </w:r>
            <w:r>
              <w:rPr>
                <w:rFonts w:ascii="Times New Roman" w:cs="Times New Roman" w:eastAsia="Times New Roman" w:hAnsi="Times New Roman"/>
                <w:sz w:val="23"/>
                <w:szCs w:val="23"/>
                <w:color w:val="auto"/>
                <w:vertAlign w:val="superscript"/>
              </w:rPr>
              <w:t>(2)</w:t>
            </w: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interest</w:t>
            </w: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38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98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0"/>
        </w:trPr>
        <w:tc>
          <w:tcPr>
            <w:tcW w:w="38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4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r>
    </w:tbl>
    <w:p>
      <w:pPr>
        <w:spacing w:after="0" w:line="117" w:lineRule="exact"/>
        <w:rPr>
          <w:sz w:val="20"/>
          <w:szCs w:val="20"/>
          <w:color w:val="auto"/>
        </w:rPr>
      </w:pPr>
    </w:p>
    <w:p>
      <w:pPr>
        <w:ind w:left="660" w:right="200" w:hanging="652"/>
        <w:spacing w:after="0" w:line="241" w:lineRule="auto"/>
        <w:tabs>
          <w:tab w:leader="none" w:pos="648"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increase in interest expense for the three-month 2026 period compared to the same period in 2025 was primarily driven by higher weighted-average debt outstanding in the 2026 period from (i) the issuance of an aggregate of $3.0 billion of senior notes during 2025 and (ii) higher commercial paper and term loan borrowings in the 2026 period, primarily related to the funding of the Cactus III acquisition in November 2025, partially offset by (iii) the repayment of $1.0 billion of senior notes in October 2025. See Note 6 to our Condensed Consolidated Financial Statements for additional information regarding our outstanding debt.</w:t>
      </w:r>
    </w:p>
    <w:p>
      <w:pPr>
        <w:spacing w:after="0" w:line="37" w:lineRule="exact"/>
        <w:rPr>
          <w:rFonts w:ascii="Times New Roman" w:cs="Times New Roman" w:eastAsia="Times New Roman" w:hAnsi="Times New Roman"/>
          <w:sz w:val="23"/>
          <w:szCs w:val="23"/>
          <w:color w:val="auto"/>
          <w:vertAlign w:val="superscript"/>
        </w:rPr>
      </w:pPr>
    </w:p>
    <w:p>
      <w:pPr>
        <w:ind w:left="660" w:right="1520" w:hanging="652"/>
        <w:spacing w:after="0" w:line="484" w:lineRule="auto"/>
        <w:tabs>
          <w:tab w:leader="none" w:pos="648"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interest expense associated with promissory notes by and among us and certain Plains entities, as described above. The following table summarizes the components impacting Other income, net (in millions):</w:t>
      </w:r>
    </w:p>
    <w:p>
      <w:pPr>
        <w:spacing w:after="0" w:line="1"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880" w:type="dxa"/>
            <w:vAlign w:val="bottom"/>
            <w:tcBorders>
              <w:bottom w:val="single" w:sz="8" w:color="CCEEFF"/>
            </w:tcBorders>
          </w:tcPr>
          <w:p>
            <w:pPr>
              <w:spacing w:after="0"/>
              <w:rPr>
                <w:sz w:val="17"/>
                <w:szCs w:val="17"/>
                <w:color w:val="auto"/>
              </w:rPr>
            </w:pPr>
          </w:p>
        </w:tc>
        <w:tc>
          <w:tcPr>
            <w:tcW w:w="4380" w:type="dxa"/>
            <w:vAlign w:val="bottom"/>
            <w:tcBorders>
              <w:bottom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260" w:type="dxa"/>
            <w:vAlign w:val="bottom"/>
            <w:gridSpan w:val="2"/>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Interest income on related party promissory notes </w:t>
            </w:r>
            <w:r>
              <w:rPr>
                <w:rFonts w:ascii="Times New Roman" w:cs="Times New Roman" w:eastAsia="Times New Roman" w:hAnsi="Times New Roman"/>
                <w:sz w:val="23"/>
                <w:szCs w:val="23"/>
                <w:color w:val="auto"/>
                <w:vertAlign w:val="superscript"/>
              </w:rPr>
              <w:t>(1)</w:t>
            </w:r>
          </w:p>
        </w:tc>
        <w:tc>
          <w:tcPr>
            <w:tcW w:w="100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82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Net loss on foreign currency revaluation </w:t>
            </w:r>
            <w:r>
              <w:rPr>
                <w:rFonts w:ascii="Times New Roman" w:cs="Times New Roman" w:eastAsia="Times New Roman" w:hAnsi="Times New Roman"/>
                <w:sz w:val="23"/>
                <w:szCs w:val="23"/>
                <w:color w:val="auto"/>
                <w:vertAlign w:val="superscript"/>
              </w:rPr>
              <w:t>(2)</w:t>
            </w: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Contingent consideration fair value adjustment </w:t>
            </w:r>
            <w:r>
              <w:rPr>
                <w:rFonts w:ascii="Times New Roman" w:cs="Times New Roman" w:eastAsia="Times New Roman" w:hAnsi="Times New Roman"/>
                <w:sz w:val="23"/>
                <w:szCs w:val="23"/>
                <w:color w:val="auto"/>
                <w:vertAlign w:val="superscript"/>
              </w:rPr>
              <w:t>(3)</w:t>
            </w: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8"/>
        </w:trPr>
        <w:tc>
          <w:tcPr>
            <w:tcW w:w="3880" w:type="dxa"/>
            <w:vAlign w:val="bottom"/>
            <w:tcBorders>
              <w:bottom w:val="single" w:sz="8" w:color="CCEEFF"/>
            </w:tcBorders>
            <w:shd w:val="clear" w:color="auto" w:fill="CCEEFF"/>
          </w:tcPr>
          <w:p>
            <w:pPr>
              <w:spacing w:after="0"/>
              <w:rPr>
                <w:sz w:val="21"/>
                <w:szCs w:val="21"/>
                <w:color w:val="auto"/>
              </w:rPr>
            </w:pPr>
          </w:p>
        </w:tc>
        <w:tc>
          <w:tcPr>
            <w:tcW w:w="4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3880" w:type="dxa"/>
            <w:vAlign w:val="bottom"/>
            <w:tcBorders>
              <w:bottom w:val="single" w:sz="8" w:color="auto"/>
            </w:tcBorders>
          </w:tcPr>
          <w:p>
            <w:pPr>
              <w:spacing w:after="0"/>
              <w:rPr>
                <w:sz w:val="13"/>
                <w:szCs w:val="13"/>
                <w:color w:val="auto"/>
              </w:rPr>
            </w:pPr>
          </w:p>
        </w:tc>
        <w:tc>
          <w:tcPr>
            <w:tcW w:w="4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r>
    </w:tbl>
    <w:p>
      <w:pPr>
        <w:spacing w:after="0" w:line="127"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Represents interest income associated with promissory notes by and among us and certain Plains entities, as described above.</w:t>
      </w:r>
    </w:p>
    <w:p>
      <w:pPr>
        <w:spacing w:after="0" w:line="63" w:lineRule="exact"/>
        <w:rPr>
          <w:sz w:val="20"/>
          <w:szCs w:val="20"/>
          <w:color w:val="auto"/>
        </w:rPr>
      </w:pPr>
    </w:p>
    <w:p>
      <w:pPr>
        <w:ind w:left="20" w:right="120" w:hanging="11"/>
        <w:spacing w:after="0" w:line="281" w:lineRule="auto"/>
        <w:rPr>
          <w:sz w:val="20"/>
          <w:szCs w:val="20"/>
          <w:color w:val="auto"/>
        </w:rPr>
      </w:pPr>
      <w:r>
        <w:rPr>
          <w:rFonts w:ascii="Times New Roman" w:cs="Times New Roman" w:eastAsia="Times New Roman" w:hAnsi="Times New Roman"/>
          <w:sz w:val="18"/>
          <w:szCs w:val="18"/>
          <w:color w:val="auto"/>
        </w:rPr>
        <w:t>The activity during the periods presented was primarily related to the impact from the change in the CAD to USD exchange rate on the portion of our intercompany net investment that is not long-term in nature.</w:t>
      </w:r>
    </w:p>
    <w:p>
      <w:pPr>
        <w:spacing w:after="0" w:line="1" w:lineRule="exact"/>
        <w:rPr>
          <w:sz w:val="20"/>
          <w:szCs w:val="20"/>
          <w:color w:val="auto"/>
        </w:rPr>
      </w:pPr>
    </w:p>
    <w:p>
      <w:pPr>
        <w:ind w:left="20" w:right="160" w:hanging="11"/>
        <w:spacing w:after="0" w:line="282" w:lineRule="auto"/>
        <w:rPr>
          <w:sz w:val="20"/>
          <w:szCs w:val="20"/>
          <w:color w:val="auto"/>
        </w:rPr>
      </w:pPr>
      <w:r>
        <w:rPr>
          <w:rFonts w:ascii="Times New Roman" w:cs="Times New Roman" w:eastAsia="Times New Roman" w:hAnsi="Times New Roman"/>
          <w:sz w:val="18"/>
          <w:szCs w:val="18"/>
          <w:color w:val="auto"/>
        </w:rPr>
        <w:t>Represents the change in the estimated fair value during the period of certain potential earnout payments primarily associated with our Cactus III acquisition.</w:t>
      </w:r>
    </w:p>
    <w:p>
      <w:pPr>
        <w:spacing w:after="0" w:line="200" w:lineRule="exact"/>
        <w:rPr>
          <w:sz w:val="20"/>
          <w:szCs w:val="20"/>
          <w:color w:val="auto"/>
        </w:rPr>
      </w:pPr>
    </w:p>
    <w:p>
      <w:pPr>
        <w:sectPr>
          <w:pgSz w:w="11900" w:h="16838" w:orient="portrait"/>
          <w:cols w:equalWidth="0" w:num="2">
            <w:col w:w="140" w:space="500"/>
            <w:col w:w="10600"/>
          </w:cols>
          <w:pgMar w:left="320" w:top="121" w:right="339" w:bottom="1440" w:gutter="0" w:footer="0" w:header="0"/>
          <w:type w:val="continuous"/>
        </w:sect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Income Tax Expense from Continuing Operations</w:t>
      </w:r>
    </w:p>
    <w:p>
      <w:pPr>
        <w:spacing w:after="0" w:line="256"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The net favorable income tax variance for the three months ended March 31, 2026 compared to the same period in 2025 was primarily due to lower income within our Canadian operations as impacted by fluctuations of derivative mark-to-market valuations. In addition, tax expense was impacted by our continued progression of certain planning and restructuring activities within our organizational structure in connection with the pending Canadian NGL Business divestiture. Certain of these activities had income tax consequences that required recognition during the first quarter of 2026, including (i) current income tax expense of $216 million as a result of basis recapture and capital gains taxed at the applicable rates and (ii) an approximately offsetting deferred tax benefit primarily resulting from the transfer of the crude oil assets from PMC ULC to PCLP. See Note 1 to our Condensed Consolidated Financial Statements for additional information.</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To supplement our financial information presented in accordance with GAAP, management uses additional measures known as “non-GAAP financial measures” in its evaluation of past performance and prospects for the future and to assess the amount of cash that is available for distributions, debt repayments, common equity repurchases and other general partnership purposes. The primary additional measures used by management are Adjusted EBITDA, Adjusted EBITDA attributable to PAA, Implied distributable cash flow (“DCF”), Adjusted Free Cash Flow and Adjusted Free Cash Flow after Distributions.</w:t>
      </w:r>
    </w:p>
    <w:p>
      <w:pPr>
        <w:spacing w:after="0" w:line="21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definition and calculation of certain non-GAAP financial measures may not be comparable to similarly-titled measures of other companies. Adjusted EBITDA, Adjusted EBITDA attributable to PAA and Implied DCF are reconciled to Net Income, and Adjusted Free Cash Flow and Adjusted Free Cash Flow after Distributions are reconciled to Net Cash Provided by Operating Activities, the most directly comparable measures as reported in accordance with GAAP, and should be viewed in addition to, and not in lieu of, our Condensed Consolidated Financial Statements and accompanying notes. See “—Liquidity and Capital Resources—Non-GAAP Financial Liquidity Measures” for additional information regarding Adjusted Free Cash Flow and Adjusted Free Cash Flow after Distributions.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Non-GAAP Financial Performance Measures</w:t>
      </w:r>
    </w:p>
    <w:p>
      <w:pPr>
        <w:spacing w:after="0" w:line="256"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Adjusted EBITDA is defined as earnings from continuing operations and discontinued operations before (i) interest expense, (ii) income tax (expense)/benefit from continuing operations and discontinued operations, (iii) depreciation and amortization (including our proportionate share of depreciation and amortization, including write-downs related to cancelled projects and impairments, of unconsolidated entities) from continuing operations and discontinued operations, (iv) gains and losses on asset sales, asset impairments and other, net from continuing operations and discontinued operations,</w:t>
      </w:r>
    </w:p>
    <w:p>
      <w:pPr>
        <w:spacing w:after="0" w:line="3" w:lineRule="exact"/>
        <w:rPr>
          <w:sz w:val="20"/>
          <w:szCs w:val="20"/>
          <w:color w:val="auto"/>
        </w:rPr>
      </w:pPr>
    </w:p>
    <w:p>
      <w:pPr>
        <w:ind w:right="140" w:firstLine="8"/>
        <w:spacing w:after="0" w:line="255" w:lineRule="auto"/>
        <w:tabs>
          <w:tab w:leader="none" w:pos="2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on investments in unconsolidated entities, net and (vi) interest income on promissory notes by and among us and certain Plains entities, and (vii) adjusted for certain selected items impacting comparability. Adjusted EBITDA attributable to PAA excludes the portion of Adjusted EBITDA that is attributable to noncontrolling interests.</w:t>
      </w:r>
    </w:p>
    <w:p>
      <w:pPr>
        <w:spacing w:after="0" w:line="21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Management believes that the presentation of Adjusted EBITDA, Adjusted EBITDA attributable to PAA and Implied DCF provides useful information to investors regarding our performance and results of operations because these measures, when used to supplement related GAAP financial measures, (i) provide additional information about our operating performance and ability to fund distributions to our unitholders through cash generated by our operations, (ii) provide investors with the same financial analytical framework upon which management bases financial, operational, compensation and planning/budgeting decisions and (iii) present measures that investors, rating agencies and debt holders have indicated are useful in assessing us and our results of operations. These non-GAAP financial performance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(iii) long-term inventory costing adjustments, (iv) items that are not indicative of our operating results and/or (v) other items that we believe should be excluded in understanding our operating performance. These measures may further be adjusted to include amounts related to deficiencies associated with minimum volume commitments whereby we have billed the counterparties for their deficiency obligation and such amounts are recognized as deferred revenue in “Other current liabilities” in our Condensed Consolidated Financial Statements. We also adjust for amounts billed by our equity method investees related to deficiencies under minimum volume commitments. Such amounts are presented net of applicable amounts subsequently recognized into revenue. We have defined all such items as “selected items impacting comparability.”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spacing w:after="0" w:line="22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as discussed, as applicable, in “—Analysis of Operating Segments.”</w:t>
      </w:r>
    </w:p>
    <w:p>
      <w:pPr>
        <w:spacing w:after="0" w:line="20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Discontinued Operations. </w:t>
      </w:r>
      <w:r>
        <w:rPr>
          <w:rFonts w:ascii="Times New Roman" w:cs="Times New Roman" w:eastAsia="Times New Roman" w:hAnsi="Times New Roman"/>
          <w:sz w:val="18"/>
          <w:szCs w:val="18"/>
          <w:color w:val="auto"/>
        </w:rPr>
        <w:t>Management believes that the presentation of certain Non-GAAP financial performance measures, such as Adjusted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EBITDA, Adjusted EBITDA attributable to PAA, Implied DCF, and certain Non-GAAP financial liquidity measures, such as Adjusted Free Cash Flow and Adjusted Free Cash Flow (Excluding Changes in Assets &amp; Liabilities), on a consolidated basis (e.g., the aggregate of continuing operations and discontinued operations) provides more relevant and useful information regarding our performance and results of operations than presenting such metrics only on a continuing operations or discontinued operations basis. In addition, as the potential sale of the Canadian NGL Business is not anticipated to close until May 2026, management continues to view the Canadian NGL Business as a component of our overall company performance and ability to fund distributions to our unitholders in the near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reconciliation of the non-GAAP financial performance measures Adjusted EBITDA, Adjusted EBITDA attributable to PAA and Implied DCF to Net Income (in millions):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2420" w:type="dxa"/>
            <w:vAlign w:val="bottom"/>
            <w:gridSpan w:val="4"/>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20" w:type="dxa"/>
            <w:vAlign w:val="bottom"/>
            <w:gridSpan w:val="3"/>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1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vMerge w:val="continue"/>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16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Net income </w:t>
            </w:r>
            <w:r>
              <w:rPr>
                <w:rFonts w:ascii="Times New Roman" w:cs="Times New Roman" w:eastAsia="Times New Roman" w:hAnsi="Times New Roman"/>
                <w:sz w:val="23"/>
                <w:szCs w:val="23"/>
                <w:color w:val="auto"/>
                <w:vertAlign w:val="superscript"/>
              </w:rPr>
              <w:t>(1)</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9"/>
        </w:trPr>
        <w:tc>
          <w:tcPr>
            <w:tcW w:w="5160" w:type="dxa"/>
            <w:vAlign w:val="bottom"/>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Interest expense, net of certain items </w:t>
            </w:r>
            <w:r>
              <w:rPr>
                <w:rFonts w:ascii="Times New Roman" w:cs="Times New Roman" w:eastAsia="Times New Roman" w:hAnsi="Times New Roman"/>
                <w:sz w:val="23"/>
                <w:szCs w:val="23"/>
                <w:color w:val="auto"/>
                <w:vertAlign w:val="superscript"/>
              </w:rPr>
              <w:t>(2)</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 expense from continuing operations</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29"/>
        </w:trPr>
        <w:tc>
          <w:tcPr>
            <w:tcW w:w="5160" w:type="dxa"/>
            <w:vAlign w:val="bottom"/>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Income tax expense from discontinued operations </w:t>
            </w:r>
            <w:r>
              <w:rPr>
                <w:rFonts w:ascii="Times New Roman" w:cs="Times New Roman" w:eastAsia="Times New Roman" w:hAnsi="Times New Roman"/>
                <w:sz w:val="23"/>
                <w:szCs w:val="23"/>
                <w:color w:val="auto"/>
                <w:vertAlign w:val="superscript"/>
              </w:rPr>
              <w:t>(3)</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 from continuing operations</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30"/>
        </w:trPr>
        <w:tc>
          <w:tcPr>
            <w:tcW w:w="5160" w:type="dxa"/>
            <w:vAlign w:val="bottom"/>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Depreciation and amortization from discontinued operations </w:t>
            </w:r>
            <w:r>
              <w:rPr>
                <w:rFonts w:ascii="Times New Roman" w:cs="Times New Roman" w:eastAsia="Times New Roman" w:hAnsi="Times New Roman"/>
                <w:sz w:val="23"/>
                <w:szCs w:val="23"/>
                <w:color w:val="auto"/>
                <w:vertAlign w:val="superscript"/>
              </w:rPr>
              <w:t>(3)</w:t>
            </w:r>
          </w:p>
        </w:tc>
        <w:tc>
          <w:tcPr>
            <w:tcW w:w="90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Gains on asset sales and other, net from continuing operations</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30"/>
        </w:trPr>
        <w:tc>
          <w:tcPr>
            <w:tcW w:w="5160" w:type="dxa"/>
            <w:vAlign w:val="bottom"/>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Losses on asset sales and other, net from discontinued operations </w:t>
            </w:r>
            <w:r>
              <w:rPr>
                <w:rFonts w:ascii="Times New Roman" w:cs="Times New Roman" w:eastAsia="Times New Roman" w:hAnsi="Times New Roman"/>
                <w:sz w:val="23"/>
                <w:szCs w:val="23"/>
                <w:color w:val="auto"/>
                <w:vertAlign w:val="superscript"/>
              </w:rPr>
              <w:t>(3)</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Gain on investments in unconsolidated entities, net</w:t>
            </w:r>
          </w:p>
        </w:tc>
        <w:tc>
          <w:tcPr>
            <w:tcW w:w="9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29"/>
        </w:trPr>
        <w:tc>
          <w:tcPr>
            <w:tcW w:w="5160" w:type="dxa"/>
            <w:vAlign w:val="bottom"/>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Depreciation and amortization of unconsolidated entities </w:t>
            </w:r>
            <w:r>
              <w:rPr>
                <w:rFonts w:ascii="Times New Roman" w:cs="Times New Roman" w:eastAsia="Times New Roman" w:hAnsi="Times New Roman"/>
                <w:sz w:val="23"/>
                <w:szCs w:val="23"/>
                <w:color w:val="auto"/>
                <w:vertAlign w:val="superscript"/>
              </w:rPr>
              <w:t>(4)</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2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Selected Items Impacting Comparability </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Derivative activities and inventory valuation adjustments</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Long-term inventory costing adjustments</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Deficiencies under minimum volume commitments, net</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Rail fleet amortization expense related to discontinued operations </w:t>
            </w:r>
            <w:r>
              <w:rPr>
                <w:rFonts w:ascii="Times New Roman" w:cs="Times New Roman" w:eastAsia="Times New Roman" w:hAnsi="Times New Roman"/>
                <w:sz w:val="23"/>
                <w:szCs w:val="23"/>
                <w:color w:val="auto"/>
                <w:vertAlign w:val="superscript"/>
              </w:rPr>
              <w:t>(5)</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Equity-indexed compensation expense</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revaluation</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Transaction-related expenses</w:t>
            </w:r>
          </w:p>
        </w:tc>
        <w:tc>
          <w:tcPr>
            <w:tcW w:w="9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6"/>
        </w:trPr>
        <w:tc>
          <w:tcPr>
            <w:tcW w:w="516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Selected Items Impacting Comparability - Segment Adjusted</w:t>
            </w:r>
          </w:p>
        </w:tc>
        <w:tc>
          <w:tcPr>
            <w:tcW w:w="9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516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28"/>
                <w:szCs w:val="28"/>
                <w:color w:val="auto"/>
                <w:vertAlign w:val="subscript"/>
              </w:rPr>
              <w:t>EBITDA</w:t>
            </w:r>
            <w:r>
              <w:rPr>
                <w:rFonts w:ascii="Times New Roman" w:cs="Times New Roman" w:eastAsia="Times New Roman" w:hAnsi="Times New Roman"/>
                <w:sz w:val="11"/>
                <w:szCs w:val="11"/>
                <w:color w:val="auto"/>
              </w:rPr>
              <w:t xml:space="preserve"> (1) (6)</w:t>
            </w:r>
          </w:p>
        </w:tc>
        <w:tc>
          <w:tcPr>
            <w:tcW w:w="90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Foreign currency revaluation </w:t>
            </w:r>
            <w:r>
              <w:rPr>
                <w:rFonts w:ascii="Times New Roman" w:cs="Times New Roman" w:eastAsia="Times New Roman" w:hAnsi="Times New Roman"/>
                <w:sz w:val="23"/>
                <w:szCs w:val="23"/>
                <w:color w:val="auto"/>
                <w:vertAlign w:val="superscript"/>
              </w:rPr>
              <w:t>(7)</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Contingent consideration fair value adjustment </w:t>
            </w:r>
            <w:r>
              <w:rPr>
                <w:rFonts w:ascii="Times New Roman" w:cs="Times New Roman" w:eastAsia="Times New Roman" w:hAnsi="Times New Roman"/>
                <w:sz w:val="23"/>
                <w:szCs w:val="23"/>
                <w:color w:val="auto"/>
                <w:vertAlign w:val="superscript"/>
              </w:rPr>
              <w:t>(8)</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Selected Items Impacting Comparability - Adjusted EBITDA </w:t>
            </w:r>
            <w:r>
              <w:rPr>
                <w:rFonts w:ascii="Times New Roman" w:cs="Times New Roman" w:eastAsia="Times New Roman" w:hAnsi="Times New Roman"/>
                <w:sz w:val="23"/>
                <w:szCs w:val="23"/>
                <w:color w:val="auto"/>
                <w:vertAlign w:val="superscript"/>
              </w:rPr>
              <w:t>(1) (9)</w:t>
            </w:r>
          </w:p>
        </w:tc>
        <w:tc>
          <w:tcPr>
            <w:tcW w:w="9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Borders>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3"/>
                <w:szCs w:val="23"/>
                <w:color w:val="auto"/>
                <w:vertAlign w:val="superscript"/>
              </w:rPr>
              <w:t>(1) (9)</w:t>
            </w: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tcPr>
          <w:p>
            <w:pPr>
              <w:ind w:left="120"/>
              <w:spacing w:after="0" w:line="223" w:lineRule="exact"/>
              <w:rPr>
                <w:sz w:val="20"/>
                <w:szCs w:val="20"/>
                <w:color w:val="auto"/>
              </w:rPr>
            </w:pPr>
            <w:r>
              <w:rPr>
                <w:rFonts w:ascii="Times New Roman" w:cs="Times New Roman" w:eastAsia="Times New Roman" w:hAnsi="Times New Roman"/>
                <w:sz w:val="18"/>
                <w:szCs w:val="18"/>
                <w:color w:val="auto"/>
              </w:rPr>
              <w:t xml:space="preserve">Adjusted EBITDA attributable to noncontrolling interests </w:t>
            </w:r>
            <w:r>
              <w:rPr>
                <w:rFonts w:ascii="Times New Roman" w:cs="Times New Roman" w:eastAsia="Times New Roman" w:hAnsi="Times New Roman"/>
                <w:sz w:val="23"/>
                <w:szCs w:val="23"/>
                <w:color w:val="auto"/>
                <w:vertAlign w:val="superscript"/>
              </w:rPr>
              <w:t>(10)</w:t>
            </w: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EBITDA attributable to PAA </w:t>
            </w:r>
            <w:r>
              <w:rPr>
                <w:rFonts w:ascii="Times New Roman" w:cs="Times New Roman" w:eastAsia="Times New Roman" w:hAnsi="Times New Roman"/>
                <w:sz w:val="23"/>
                <w:szCs w:val="23"/>
                <w:color w:val="auto"/>
                <w:vertAlign w:val="superscript"/>
              </w:rPr>
              <w:t>(1)</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905"/>
        </w:trPr>
        <w:tc>
          <w:tcPr>
            <w:tcW w:w="5160" w:type="dxa"/>
            <w:vAlign w:val="bottom"/>
          </w:tcPr>
          <w:p>
            <w:pPr>
              <w:spacing w:after="0"/>
              <w:rPr>
                <w:sz w:val="24"/>
                <w:szCs w:val="24"/>
                <w:color w:val="auto"/>
              </w:rPr>
            </w:pPr>
          </w:p>
        </w:tc>
        <w:tc>
          <w:tcPr>
            <w:tcW w:w="90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39</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20" w:type="dxa"/>
            <w:vAlign w:val="bottom"/>
            <w:gridSpan w:val="4"/>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20" w:type="dxa"/>
            <w:vAlign w:val="bottom"/>
            <w:gridSpan w:val="3"/>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8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vMerge w:val="continue"/>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8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7"/>
        </w:trPr>
        <w:tc>
          <w:tcPr>
            <w:tcW w:w="5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3"/>
                <w:szCs w:val="23"/>
                <w:color w:val="auto"/>
                <w:vertAlign w:val="superscript"/>
              </w:rPr>
              <w:t>(1) (9) (11)</w:t>
            </w: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160" w:type="dxa"/>
            <w:vAlign w:val="bottom"/>
            <w:gridSpan w:val="2"/>
            <w:vMerge w:val="continue"/>
          </w:tcPr>
          <w:p>
            <w:pPr>
              <w:spacing w:after="0"/>
              <w:rPr>
                <w:sz w:val="19"/>
                <w:szCs w:val="19"/>
                <w:color w:val="auto"/>
              </w:rPr>
            </w:pPr>
          </w:p>
        </w:tc>
        <w:tc>
          <w:tcPr>
            <w:tcW w:w="900" w:type="dxa"/>
            <w:vAlign w:val="bottom"/>
            <w:tcBorders>
              <w:top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tcPr>
          <w:p>
            <w:pPr>
              <w:spacing w:after="0"/>
              <w:rPr>
                <w:sz w:val="19"/>
                <w:szCs w:val="19"/>
                <w:color w:val="auto"/>
              </w:rPr>
            </w:pPr>
          </w:p>
        </w:tc>
        <w:tc>
          <w:tcPr>
            <w:tcW w:w="920" w:type="dxa"/>
            <w:vAlign w:val="bottom"/>
            <w:tcBorders>
              <w:top w:val="single" w:sz="8" w:color="auto"/>
            </w:tcBorders>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20" w:type="dxa"/>
            <w:vAlign w:val="bottom"/>
          </w:tcPr>
          <w:p>
            <w:pPr>
              <w:spacing w:after="0"/>
              <w:rPr>
                <w:sz w:val="19"/>
                <w:szCs w:val="19"/>
                <w:color w:val="auto"/>
              </w:rPr>
            </w:pP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516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Interest expense, net of certain non-cash and other items </w:t>
            </w:r>
            <w:r>
              <w:rPr>
                <w:rFonts w:ascii="Times New Roman" w:cs="Times New Roman" w:eastAsia="Times New Roman" w:hAnsi="Times New Roman"/>
                <w:sz w:val="23"/>
                <w:szCs w:val="23"/>
                <w:color w:val="auto"/>
                <w:vertAlign w:val="superscript"/>
              </w:rPr>
              <w:t>(12)</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9"/>
        </w:trPr>
        <w:tc>
          <w:tcPr>
            <w:tcW w:w="516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Maintenance capital from continuing operations </w:t>
            </w:r>
            <w:r>
              <w:rPr>
                <w:rFonts w:ascii="Times New Roman" w:cs="Times New Roman" w:eastAsia="Times New Roman" w:hAnsi="Times New Roman"/>
                <w:sz w:val="23"/>
                <w:szCs w:val="23"/>
                <w:color w:val="auto"/>
                <w:vertAlign w:val="superscript"/>
              </w:rPr>
              <w:t>(13)</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Maintenance capital from discontinued operations </w:t>
            </w:r>
            <w:r>
              <w:rPr>
                <w:rFonts w:ascii="Times New Roman" w:cs="Times New Roman" w:eastAsia="Times New Roman" w:hAnsi="Times New Roman"/>
                <w:sz w:val="23"/>
                <w:szCs w:val="23"/>
                <w:color w:val="auto"/>
                <w:vertAlign w:val="superscript"/>
              </w:rPr>
              <w:t>(13)</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9"/>
        </w:trPr>
        <w:tc>
          <w:tcPr>
            <w:tcW w:w="516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Investment capital of noncontrolling interests </w:t>
            </w:r>
            <w:r>
              <w:rPr>
                <w:rFonts w:ascii="Times New Roman" w:cs="Times New Roman" w:eastAsia="Times New Roman" w:hAnsi="Times New Roman"/>
                <w:sz w:val="23"/>
                <w:szCs w:val="23"/>
                <w:color w:val="auto"/>
                <w:vertAlign w:val="superscript"/>
              </w:rPr>
              <w:t>(14)</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176"/>
        </w:trPr>
        <w:tc>
          <w:tcPr>
            <w:tcW w:w="5160" w:type="dxa"/>
            <w:vAlign w:val="bottom"/>
            <w:gridSpan w:val="2"/>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Current income tax expense from continuing operations, net of</w:t>
            </w:r>
          </w:p>
        </w:tc>
        <w:tc>
          <w:tcPr>
            <w:tcW w:w="9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160" w:type="dxa"/>
            <w:vAlign w:val="bottom"/>
            <w:gridSpan w:val="2"/>
            <w:shd w:val="clear" w:color="auto" w:fill="CCEEFF"/>
          </w:tcPr>
          <w:p>
            <w:pPr>
              <w:ind w:left="320"/>
              <w:spacing w:after="0" w:line="181" w:lineRule="exact"/>
              <w:rPr>
                <w:sz w:val="20"/>
                <w:szCs w:val="20"/>
                <w:color w:val="auto"/>
              </w:rPr>
            </w:pPr>
            <w:r>
              <w:rPr>
                <w:rFonts w:ascii="Times New Roman" w:cs="Times New Roman" w:eastAsia="Times New Roman" w:hAnsi="Times New Roman"/>
                <w:sz w:val="18"/>
                <w:szCs w:val="18"/>
                <w:color w:val="auto"/>
              </w:rPr>
              <w:t>certain tax effects related to the pending Canadian NGL Business</w:t>
            </w:r>
          </w:p>
        </w:tc>
        <w:tc>
          <w:tcPr>
            <w:tcW w:w="9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160" w:type="dxa"/>
            <w:vAlign w:val="bottom"/>
            <w:gridSpan w:val="2"/>
            <w:shd w:val="clear" w:color="auto" w:fill="CCEEFF"/>
          </w:tcPr>
          <w:p>
            <w:pPr>
              <w:ind w:left="320"/>
              <w:spacing w:after="0" w:line="237" w:lineRule="exact"/>
              <w:rPr>
                <w:sz w:val="20"/>
                <w:szCs w:val="20"/>
                <w:color w:val="auto"/>
              </w:rPr>
            </w:pPr>
            <w:r>
              <w:rPr>
                <w:rFonts w:ascii="Times New Roman" w:cs="Times New Roman" w:eastAsia="Times New Roman" w:hAnsi="Times New Roman"/>
                <w:sz w:val="18"/>
                <w:szCs w:val="18"/>
                <w:color w:val="auto"/>
              </w:rPr>
              <w:t xml:space="preserve">divestiture </w:t>
            </w:r>
            <w:r>
              <w:rPr>
                <w:rFonts w:ascii="Times New Roman" w:cs="Times New Roman" w:eastAsia="Times New Roman" w:hAnsi="Times New Roman"/>
                <w:sz w:val="23"/>
                <w:szCs w:val="23"/>
                <w:color w:val="auto"/>
                <w:vertAlign w:val="superscript"/>
              </w:rPr>
              <w:t>(15)</w:t>
            </w:r>
          </w:p>
        </w:tc>
        <w:tc>
          <w:tcPr>
            <w:tcW w:w="9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29"/>
        </w:trPr>
        <w:tc>
          <w:tcPr>
            <w:tcW w:w="5160" w:type="dxa"/>
            <w:vAlign w:val="bottom"/>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Current income tax expense from discontinued operations </w:t>
            </w:r>
            <w:r>
              <w:rPr>
                <w:rFonts w:ascii="Times New Roman" w:cs="Times New Roman" w:eastAsia="Times New Roman" w:hAnsi="Times New Roman"/>
                <w:sz w:val="23"/>
                <w:szCs w:val="23"/>
                <w:color w:val="auto"/>
                <w:vertAlign w:val="superscript"/>
              </w:rPr>
              <w:t>(3)</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76"/>
        </w:trPr>
        <w:tc>
          <w:tcPr>
            <w:tcW w:w="5160" w:type="dxa"/>
            <w:vAlign w:val="bottom"/>
            <w:gridSpan w:val="2"/>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Distributions from unconsolidated entities in excess of/(less than)</w:t>
            </w:r>
          </w:p>
        </w:tc>
        <w:tc>
          <w:tcPr>
            <w:tcW w:w="9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160" w:type="dxa"/>
            <w:vAlign w:val="bottom"/>
            <w:gridSpan w:val="2"/>
            <w:shd w:val="clear" w:color="auto" w:fill="CCEEFF"/>
          </w:tcPr>
          <w:p>
            <w:pPr>
              <w:ind w:left="320"/>
              <w:spacing w:after="0" w:line="243" w:lineRule="exact"/>
              <w:rPr>
                <w:sz w:val="20"/>
                <w:szCs w:val="20"/>
                <w:color w:val="auto"/>
              </w:rPr>
            </w:pPr>
            <w:r>
              <w:rPr>
                <w:rFonts w:ascii="Times New Roman" w:cs="Times New Roman" w:eastAsia="Times New Roman" w:hAnsi="Times New Roman"/>
                <w:sz w:val="18"/>
                <w:szCs w:val="18"/>
                <w:color w:val="auto"/>
              </w:rPr>
              <w:t xml:space="preserve">adjusted equity earnings </w:t>
            </w:r>
            <w:r>
              <w:rPr>
                <w:rFonts w:ascii="Times New Roman" w:cs="Times New Roman" w:eastAsia="Times New Roman" w:hAnsi="Times New Roman"/>
                <w:sz w:val="23"/>
                <w:szCs w:val="23"/>
                <w:color w:val="auto"/>
                <w:vertAlign w:val="superscript"/>
              </w:rPr>
              <w:t>(16)</w:t>
            </w:r>
          </w:p>
        </w:tc>
        <w:tc>
          <w:tcPr>
            <w:tcW w:w="90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Distributions to noncontrolling interests </w:t>
            </w:r>
            <w:r>
              <w:rPr>
                <w:rFonts w:ascii="Times New Roman" w:cs="Times New Roman" w:eastAsia="Times New Roman" w:hAnsi="Times New Roman"/>
                <w:sz w:val="23"/>
                <w:szCs w:val="23"/>
                <w:color w:val="auto"/>
                <w:vertAlign w:val="superscript"/>
              </w:rPr>
              <w:t>(17)</w:t>
            </w: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23"/>
        </w:trPr>
        <w:tc>
          <w:tcPr>
            <w:tcW w:w="5160" w:type="dxa"/>
            <w:vAlign w:val="bottom"/>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Implied DCF </w:t>
            </w:r>
            <w:r>
              <w:rPr>
                <w:rFonts w:ascii="Times New Roman" w:cs="Times New Roman" w:eastAsia="Times New Roman" w:hAnsi="Times New Roman"/>
                <w:sz w:val="23"/>
                <w:szCs w:val="23"/>
                <w:color w:val="auto"/>
                <w:vertAlign w:val="superscript"/>
              </w:rPr>
              <w:t>(1)</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gridSpan w:val="2"/>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Preferred unit distributions </w:t>
            </w:r>
            <w:r>
              <w:rPr>
                <w:rFonts w:ascii="Times New Roman" w:cs="Times New Roman" w:eastAsia="Times New Roman" w:hAnsi="Times New Roman"/>
                <w:sz w:val="23"/>
                <w:szCs w:val="23"/>
                <w:color w:val="auto"/>
                <w:vertAlign w:val="superscript"/>
              </w:rPr>
              <w:t>(17)</w:t>
            </w: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Implied DCF Available to Common Unitholders </w:t>
            </w:r>
            <w:r>
              <w:rPr>
                <w:rFonts w:ascii="Times New Roman" w:cs="Times New Roman" w:eastAsia="Times New Roman" w:hAnsi="Times New Roman"/>
                <w:sz w:val="23"/>
                <w:szCs w:val="23"/>
                <w:color w:val="auto"/>
                <w:vertAlign w:val="superscript"/>
              </w:rPr>
              <w:t>(1)</w:t>
            </w: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gridSpan w:val="2"/>
            <w:vMerge w:val="restart"/>
          </w:tcPr>
          <w:p>
            <w:pPr>
              <w:ind w:left="120"/>
              <w:spacing w:after="0" w:line="243" w:lineRule="exact"/>
              <w:rPr>
                <w:sz w:val="20"/>
                <w:szCs w:val="20"/>
                <w:color w:val="auto"/>
              </w:rPr>
            </w:pPr>
            <w:r>
              <w:rPr>
                <w:rFonts w:ascii="Times New Roman" w:cs="Times New Roman" w:eastAsia="Times New Roman" w:hAnsi="Times New Roman"/>
                <w:sz w:val="18"/>
                <w:szCs w:val="18"/>
                <w:color w:val="auto"/>
              </w:rPr>
              <w:t xml:space="preserve">Common unit cash distributions </w:t>
            </w:r>
            <w:r>
              <w:rPr>
                <w:rFonts w:ascii="Times New Roman" w:cs="Times New Roman" w:eastAsia="Times New Roman" w:hAnsi="Times New Roman"/>
                <w:sz w:val="23"/>
                <w:szCs w:val="23"/>
                <w:color w:val="auto"/>
                <w:vertAlign w:val="superscript"/>
              </w:rPr>
              <w:t>(17)</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tcBorders>
              <w:bottom w:val="single" w:sz="8" w:color="CCEEFF"/>
            </w:tcBorders>
            <w:gridSpan w:val="2"/>
            <w:vMerge w:val="continue"/>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(295)</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(267)</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Implied DCF Excess </w:t>
            </w:r>
            <w:r>
              <w:rPr>
                <w:rFonts w:ascii="Times New Roman" w:cs="Times New Roman" w:eastAsia="Times New Roman" w:hAnsi="Times New Roman"/>
                <w:sz w:val="23"/>
                <w:szCs w:val="23"/>
                <w:color w:val="auto"/>
                <w:vertAlign w:val="superscript"/>
              </w:rPr>
              <w:t>(1) (18)</w:t>
            </w: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880" w:type="dxa"/>
            <w:vAlign w:val="bottom"/>
            <w:tcBorders>
              <w:bottom w:val="single" w:sz="8" w:color="auto"/>
            </w:tcBorders>
          </w:tcPr>
          <w:p>
            <w:pPr>
              <w:spacing w:after="0"/>
              <w:rPr>
                <w:sz w:val="13"/>
                <w:szCs w:val="13"/>
                <w:color w:val="auto"/>
              </w:rPr>
            </w:pPr>
          </w:p>
        </w:tc>
        <w:tc>
          <w:tcPr>
            <w:tcW w:w="1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Indicates that variance as a percentage is not meaningful.</w:t>
      </w:r>
    </w:p>
    <w:p>
      <w:pPr>
        <w:sectPr>
          <w:pgSz w:w="11900" w:h="16838" w:orient="portrait"/>
          <w:cols w:equalWidth="0" w:num="1">
            <w:col w:w="11240"/>
          </w:cols>
          <w:pgMar w:left="320" w:top="121" w:right="339" w:bottom="1440" w:gutter="0" w:footer="0" w:header="0"/>
        </w:sectPr>
      </w:pP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Includes results from continuing operations and discontinued operations.</w:t>
      </w:r>
    </w:p>
    <w:p>
      <w:pPr>
        <w:spacing w:after="0" w:line="97" w:lineRule="exact"/>
        <w:rPr>
          <w:sz w:val="20"/>
          <w:szCs w:val="20"/>
          <w:color w:val="auto"/>
        </w:rPr>
      </w:pPr>
    </w:p>
    <w:p>
      <w:pPr>
        <w:ind w:left="20" w:right="280" w:hanging="11"/>
        <w:spacing w:after="0" w:line="282" w:lineRule="auto"/>
        <w:rPr>
          <w:sz w:val="20"/>
          <w:szCs w:val="20"/>
          <w:color w:val="auto"/>
        </w:rPr>
      </w:pPr>
      <w:r>
        <w:rPr>
          <w:rFonts w:ascii="Times New Roman" w:cs="Times New Roman" w:eastAsia="Times New Roman" w:hAnsi="Times New Roman"/>
          <w:sz w:val="18"/>
          <w:szCs w:val="18"/>
          <w:color w:val="auto"/>
        </w:rPr>
        <w:t>Represents “Interest expense, net” as reported on our Condensed Consolidated Statements of Operations, net of interest income associated with promissory notes by and among us and certain Plains entities.</w:t>
      </w:r>
    </w:p>
    <w:p>
      <w:pPr>
        <w:spacing w:after="0" w:line="54" w:lineRule="exact"/>
        <w:rPr>
          <w:sz w:val="20"/>
          <w:szCs w:val="20"/>
          <w:color w:val="auto"/>
        </w:rPr>
      </w:pPr>
    </w:p>
    <w:p>
      <w:pPr>
        <w:sectPr>
          <w:pgSz w:w="11900" w:h="16838" w:orient="portrait"/>
          <w:cols w:equalWidth="0" w:num="2">
            <w:col w:w="140" w:space="500"/>
            <w:col w:w="10600"/>
          </w:cols>
          <w:pgMar w:left="320" w:top="121" w:right="33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See Note 2 to our Condensed Consolidated Financial Statements for additional information.</w:t>
      </w:r>
    </w:p>
    <w:p>
      <w:pPr>
        <w:spacing w:after="0" w:line="117" w:lineRule="exact"/>
        <w:rPr>
          <w:sz w:val="20"/>
          <w:szCs w:val="20"/>
          <w:color w:val="auto"/>
        </w:rPr>
      </w:pPr>
    </w:p>
    <w:p>
      <w:pPr>
        <w:ind w:left="20" w:right="660" w:hanging="11"/>
        <w:spacing w:after="0" w:line="282" w:lineRule="auto"/>
        <w:rPr>
          <w:sz w:val="20"/>
          <w:szCs w:val="20"/>
          <w:color w:val="auto"/>
        </w:rPr>
      </w:pPr>
      <w:r>
        <w:rPr>
          <w:rFonts w:ascii="Times New Roman" w:cs="Times New Roman" w:eastAsia="Times New Roman" w:hAnsi="Times New Roman"/>
          <w:sz w:val="18"/>
          <w:szCs w:val="18"/>
          <w:color w:val="auto"/>
        </w:rPr>
        <w:t>We exclude our proportionate share of the depreciation and amortization expense (including write-downs related to cancelled projects and impairments) of unconsolidated entities when reviewing Adjusted EBITDA, similar to our consolidated assets.</w:t>
      </w:r>
    </w:p>
    <w:p>
      <w:pPr>
        <w:spacing w:after="0" w:line="54" w:lineRule="exact"/>
        <w:rPr>
          <w:sz w:val="20"/>
          <w:szCs w:val="20"/>
          <w:color w:val="auto"/>
        </w:rPr>
      </w:pPr>
    </w:p>
    <w:p>
      <w:pPr>
        <w:sectPr>
          <w:pgSz w:w="11900" w:h="16838" w:orient="portrait"/>
          <w:cols w:equalWidth="0" w:num="2">
            <w:col w:w="140" w:space="500"/>
            <w:col w:w="10600"/>
          </w:cols>
          <w:pgMar w:left="320" w:top="121" w:right="339" w:bottom="1440" w:gutter="0" w:footer="0" w:header="0"/>
          <w:type w:val="continuous"/>
        </w:sectPr>
      </w:pPr>
    </w:p>
    <w:p>
      <w:pPr>
        <w:ind w:left="660" w:right="20" w:hanging="652"/>
        <w:spacing w:after="0" w:line="244" w:lineRule="auto"/>
        <w:tabs>
          <w:tab w:leader="none" w:pos="648"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Depreciation and amortization on the long-lived assets of the Canadian NGL Business disposal group ceased upon meeting the criteria to be classified as assets held for sale. Management believes that the presentation of Adjusted EBITDA and Implied DCF on a consolidated basis (e.g., the aggregate of continuing operations and discontinued operations) provides more relevant and useful information regarding our performance and results of operations than presenting such metrics only on a continuing operations or discontinued operations basis. We therefore include an adjustment for the impact of amortization of the rail fleet associated with the Canadian NGL Business in our calculation of Adjusted EBITDA. See Note 1 to our Condensed Consolidated Financial Statements for additional information regarding the pending sale of the Canadian NGL Business. Also see the “—Non-GAAP Financial Measures” section above.</w:t>
      </w:r>
    </w:p>
    <w:p>
      <w:pPr>
        <w:spacing w:after="0" w:line="88" w:lineRule="exact"/>
        <w:rPr>
          <w:rFonts w:ascii="Times New Roman" w:cs="Times New Roman" w:eastAsia="Times New Roman" w:hAnsi="Times New Roman"/>
          <w:sz w:val="23"/>
          <w:szCs w:val="23"/>
          <w:color w:val="auto"/>
          <w:vertAlign w:val="superscript"/>
        </w:rPr>
      </w:pPr>
    </w:p>
    <w:p>
      <w:pPr>
        <w:ind w:left="660" w:right="80" w:hanging="652"/>
        <w:spacing w:after="0" w:line="229" w:lineRule="auto"/>
        <w:tabs>
          <w:tab w:leader="none" w:pos="648"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a more detailed discussion of these selected items impacting comparability, see the footnotes to the segment financial data tables in Note 11 to our Condensed Consolidated Financial Statements.</w:t>
      </w:r>
    </w:p>
    <w:p>
      <w:pPr>
        <w:spacing w:after="0" w:line="90" w:lineRule="exact"/>
        <w:rPr>
          <w:rFonts w:ascii="Times New Roman" w:cs="Times New Roman" w:eastAsia="Times New Roman" w:hAnsi="Times New Roman"/>
          <w:sz w:val="23"/>
          <w:szCs w:val="23"/>
          <w:color w:val="auto"/>
          <w:vertAlign w:val="superscript"/>
        </w:rPr>
      </w:pPr>
    </w:p>
    <w:p>
      <w:pPr>
        <w:ind w:left="660" w:right="20" w:hanging="652"/>
        <w:spacing w:after="0" w:line="235" w:lineRule="auto"/>
        <w:tabs>
          <w:tab w:leader="none" w:pos="648"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 associated gains and losses are not integral to our results and were thus classified as a selected item impacting comparability.</w:t>
      </w:r>
    </w:p>
    <w:p>
      <w:pPr>
        <w:spacing w:after="0" w:line="91" w:lineRule="exact"/>
        <w:rPr>
          <w:rFonts w:ascii="Times New Roman" w:cs="Times New Roman" w:eastAsia="Times New Roman" w:hAnsi="Times New Roman"/>
          <w:sz w:val="23"/>
          <w:szCs w:val="23"/>
          <w:color w:val="auto"/>
          <w:vertAlign w:val="superscript"/>
        </w:rPr>
      </w:pPr>
    </w:p>
    <w:p>
      <w:pPr>
        <w:ind w:left="660" w:right="300" w:hanging="652"/>
        <w:spacing w:after="0" w:line="229" w:lineRule="auto"/>
        <w:tabs>
          <w:tab w:leader="none" w:pos="648"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agreed to potential earnout payments associated with recently completed acquisitions, primarily our Cactus III acquisition. We consider the non-cash change in the estimated fair value of such earnout payments as a selected item impacting comparability.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(9)</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(10)</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0" w:hanging="11"/>
        <w:spacing w:after="0" w:line="266" w:lineRule="auto"/>
        <w:rPr>
          <w:sz w:val="20"/>
          <w:szCs w:val="20"/>
          <w:color w:val="auto"/>
        </w:rPr>
      </w:pPr>
      <w:r>
        <w:rPr>
          <w:rFonts w:ascii="Times New Roman" w:cs="Times New Roman" w:eastAsia="Times New Roman" w:hAnsi="Times New Roman"/>
          <w:sz w:val="18"/>
          <w:szCs w:val="18"/>
          <w:color w:val="auto"/>
        </w:rPr>
        <w:t>“Other income, net” on our Condensed Consolidated Statements of Operations, excluding interest income associated with promissory notes by and among us and certain Plains entities, adjusted for selected items impacting comparability (“Adjusted other income, net”) is included in Adjusted EBITDA and excluded from Segment Adjusted EBITDA.</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Reflects amounts attributable to noncontrolling interests in the Permian JV, Cactus II and Red River.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table above for a reconciliation from Net Income to Adjusted EBITDA.</w:t>
      </w:r>
    </w:p>
    <w:p>
      <w:pPr>
        <w:spacing w:after="0" w:line="117" w:lineRule="exact"/>
        <w:rPr>
          <w:sz w:val="20"/>
          <w:szCs w:val="20"/>
          <w:color w:val="auto"/>
        </w:rPr>
      </w:pPr>
    </w:p>
    <w:p>
      <w:pPr>
        <w:sectPr>
          <w:pgSz w:w="11900" w:h="16838" w:orient="portrait"/>
          <w:cols w:equalWidth="0" w:num="2">
            <w:col w:w="200" w:space="440"/>
            <w:col w:w="10580"/>
          </w:cols>
          <w:pgMar w:left="320" w:top="121" w:right="359" w:bottom="1440" w:gutter="0" w:footer="0" w:header="0"/>
          <w:type w:val="continuous"/>
        </w:sectPr>
      </w:pPr>
    </w:p>
    <w:p>
      <w:pPr>
        <w:ind w:left="660" w:right="60" w:hanging="652"/>
        <w:spacing w:after="0" w:line="229" w:lineRule="auto"/>
        <w:tabs>
          <w:tab w:leader="none" w:pos="652"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 excludes certain non-cash items impacting interest expense such as amortization of debt issuance costs and terminated interest rate swaps and is net of interest income associated with promissory notes by and among us and certain Plains entities.</w:t>
      </w:r>
    </w:p>
    <w:p>
      <w:pPr>
        <w:spacing w:after="0" w:line="90" w:lineRule="exact"/>
        <w:rPr>
          <w:rFonts w:ascii="Times New Roman" w:cs="Times New Roman" w:eastAsia="Times New Roman" w:hAnsi="Times New Roman"/>
          <w:sz w:val="23"/>
          <w:szCs w:val="23"/>
          <w:color w:val="auto"/>
          <w:vertAlign w:val="superscript"/>
        </w:rPr>
      </w:pPr>
    </w:p>
    <w:p>
      <w:pPr>
        <w:ind w:left="660" w:right="320" w:hanging="652"/>
        <w:spacing w:after="0" w:line="229" w:lineRule="auto"/>
        <w:tabs>
          <w:tab w:leader="none" w:pos="652"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Maintenance capital expenditures are defined as capital expenditures for the replacement and/or refurbishment of partially or fully depreciated assets in order to maintain the operating and/or earnings capacity of our existing assets.</w:t>
      </w:r>
    </w:p>
    <w:p>
      <w:pPr>
        <w:spacing w:after="0" w:line="60" w:lineRule="exact"/>
        <w:rPr>
          <w:rFonts w:ascii="Times New Roman" w:cs="Times New Roman" w:eastAsia="Times New Roman" w:hAnsi="Times New Roman"/>
          <w:sz w:val="23"/>
          <w:szCs w:val="23"/>
          <w:color w:val="auto"/>
          <w:vertAlign w:val="superscript"/>
        </w:rPr>
      </w:pPr>
    </w:p>
    <w:p>
      <w:pPr>
        <w:ind w:left="640" w:hanging="632"/>
        <w:spacing w:after="0"/>
        <w:tabs>
          <w:tab w:leader="none" w:pos="640"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Investment capital expenditures attributable to noncontrolling interests that reduce Implied DCF available to PAA common unitholders.</w:t>
      </w:r>
    </w:p>
    <w:p>
      <w:pPr>
        <w:spacing w:after="0" w:line="89" w:lineRule="exact"/>
        <w:rPr>
          <w:rFonts w:ascii="Times New Roman" w:cs="Times New Roman" w:eastAsia="Times New Roman" w:hAnsi="Times New Roman"/>
          <w:sz w:val="23"/>
          <w:szCs w:val="23"/>
          <w:color w:val="auto"/>
          <w:vertAlign w:val="superscript"/>
        </w:rPr>
      </w:pPr>
    </w:p>
    <w:p>
      <w:pPr>
        <w:ind w:left="660" w:right="160" w:hanging="652"/>
        <w:spacing w:after="0" w:line="239" w:lineRule="auto"/>
        <w:tabs>
          <w:tab w:leader="none" w:pos="652"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the three months ended March 31, 2026, amount excludes approximately $216 million of current income tax expense associated with certain planning and restructuring activities within our organizational structure in connection with the pending Canadian NGL Business divestiture that had income tax consequences that required recognition during the first quarter of 2026. See Note 1 to our Condensed Consolidated Financial Statements for additional information.</w:t>
      </w:r>
    </w:p>
    <w:p>
      <w:pPr>
        <w:spacing w:after="0" w:line="90" w:lineRule="exact"/>
        <w:rPr>
          <w:rFonts w:ascii="Times New Roman" w:cs="Times New Roman" w:eastAsia="Times New Roman" w:hAnsi="Times New Roman"/>
          <w:sz w:val="23"/>
          <w:szCs w:val="23"/>
          <w:color w:val="auto"/>
          <w:vertAlign w:val="superscript"/>
        </w:rPr>
      </w:pPr>
    </w:p>
    <w:p>
      <w:pPr>
        <w:ind w:left="660" w:right="840" w:hanging="652"/>
        <w:spacing w:after="0" w:line="235" w:lineRule="auto"/>
        <w:tabs>
          <w:tab w:leader="none" w:pos="652"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Comprised of cash distributions received from unconsolidated entities less equity earnings in unconsolidated entities (adjusted for our proportionate share of depreciation and amortization, including write-downs related to cancelled projects, and selected items impacting comparability of unconsolidated entities).</w:t>
      </w:r>
    </w:p>
    <w:p>
      <w:pPr>
        <w:spacing w:after="0" w:line="61" w:lineRule="exact"/>
        <w:rPr>
          <w:rFonts w:ascii="Times New Roman" w:cs="Times New Roman" w:eastAsia="Times New Roman" w:hAnsi="Times New Roman"/>
          <w:sz w:val="23"/>
          <w:szCs w:val="23"/>
          <w:color w:val="auto"/>
          <w:vertAlign w:val="superscript"/>
        </w:rPr>
      </w:pPr>
    </w:p>
    <w:p>
      <w:pPr>
        <w:ind w:left="640" w:hanging="632"/>
        <w:spacing w:after="0"/>
        <w:tabs>
          <w:tab w:leader="none" w:pos="640"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Cash distributions paid during the period presented.</w:t>
      </w:r>
    </w:p>
    <w:p>
      <w:pPr>
        <w:spacing w:after="0" w:line="89" w:lineRule="exact"/>
        <w:rPr>
          <w:rFonts w:ascii="Times New Roman" w:cs="Times New Roman" w:eastAsia="Times New Roman" w:hAnsi="Times New Roman"/>
          <w:sz w:val="23"/>
          <w:szCs w:val="23"/>
          <w:color w:val="auto"/>
          <w:vertAlign w:val="superscript"/>
        </w:rPr>
      </w:pPr>
    </w:p>
    <w:p>
      <w:pPr>
        <w:ind w:left="660" w:right="160" w:hanging="652"/>
        <w:spacing w:after="0" w:line="229" w:lineRule="auto"/>
        <w:tabs>
          <w:tab w:leader="none" w:pos="652"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Excess DCF is retained to establish reserves for debt repayment, future distributions, common equity repurchases, capital expenditures and other partnership purposes.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Analysis of Operating Segments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manage our operations through two operating segments: Crude Oil and NGL. Our CODM (our Chief Executive Officer) evaluates segment performance based on measures including Segment Adjusted EBITDA. See Note 11 to our Condensed Consolidated Financial Statements for our definition of Segment Adjusted EBITDA and a reconciliation of Segment Adjusted EBITDA to Income from Continuing Operations, Net of Tax. See Note 20 to our Consolidated Financial Statements included in Part IV of our 2025 Annual Report on Form 10-K for our definition of maintenance capital.</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Crude Oil Segment</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Our Crude Oil segment operations generally consist of gathering and transporting crude oil using pipelines (including gathering systems), trucks and, at times, on barges or railcars, in addition to providing terminalling, storage and other related services utilizing our integrated assets across the United States and Canada. Our assets provide services to third parties as well as to our merchant activities. Our merchant activities include the purchase of crude oil supply and the movement of this supply on our assets or third-party assets to sales locations, including our terminals, third-party connecting carriers, regional hubs or to refineries. Our merchant activities are governed by our risk management policies.</w:t>
      </w:r>
    </w:p>
    <w:p>
      <w:pPr>
        <w:spacing w:after="0" w:line="21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Crude Oil segment generates revenue through a combination of tariffs, pipeline capacity agreements and other transportation fees, month-to-month and multi-year storage and terminalling agreements and the sale of gathered and bulk-purchased crude oil. Tariffs and other fees on our pipeline systems are typically based on volumes transported and vary by receipt point and delivery point. Fees for our terminalling and storage services are based on capacity leases and throughput volumes. Generally, results from our merchant activities are impacted by (i) increases or decreases in our lease gathering crude oil purchases volumes and (ii) volatility in commodity price differentials, particularly grade and location differentials, as well as time spreads. The segment results also include the direct fixed and variable field costs of operating the crude oil assets, as well as an allocation of indirect operating and general and administrative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set forth our operating results from our Crude Oil segment:</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Operating Results </w:t>
            </w:r>
            <w:r>
              <w:rPr>
                <w:rFonts w:ascii="Times New Roman" w:cs="Times New Roman" w:eastAsia="Times New Roman" w:hAnsi="Times New Roman"/>
                <w:sz w:val="18"/>
                <w:szCs w:val="18"/>
                <w:b w:val="1"/>
                <w:bCs w:val="1"/>
                <w:color w:val="auto"/>
                <w:vertAlign w:val="superscript"/>
              </w:rPr>
              <w:t>(1)</w:t>
            </w:r>
          </w:p>
        </w:tc>
        <w:tc>
          <w:tcPr>
            <w:tcW w:w="320" w:type="dxa"/>
            <w:vAlign w:val="bottom"/>
          </w:tcPr>
          <w:p>
            <w:pPr>
              <w:spacing w:after="0"/>
              <w:rPr>
                <w:sz w:val="13"/>
                <w:szCs w:val="13"/>
                <w:color w:val="auto"/>
              </w:rPr>
            </w:pPr>
          </w:p>
        </w:tc>
        <w:tc>
          <w:tcPr>
            <w:tcW w:w="270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1740" w:type="dxa"/>
            <w:vAlign w:val="bottom"/>
            <w:gridSpan w:val="3"/>
            <w:vMerge w:val="restart"/>
          </w:tcPr>
          <w:p>
            <w:pPr>
              <w:ind w:left="100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5160" w:type="dxa"/>
            <w:vAlign w:val="bottom"/>
            <w:gridSpan w:val="2"/>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center"/>
              <w:ind w:left="57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vMerge w:val="continue"/>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6"/>
                <w:szCs w:val="16"/>
                <w:color w:val="auto"/>
              </w:rPr>
            </w:pPr>
          </w:p>
        </w:tc>
        <w:tc>
          <w:tcPr>
            <w:tcW w:w="108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5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12,548</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11,439</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29"/>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Field operating costs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51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Segment general and administrative expenses </w:t>
            </w:r>
            <w:r>
              <w:rPr>
                <w:rFonts w:ascii="Times New Roman" w:cs="Times New Roman" w:eastAsia="Times New Roman" w:hAnsi="Times New Roman"/>
                <w:sz w:val="23"/>
                <w:szCs w:val="23"/>
                <w:color w:val="auto"/>
                <w:vertAlign w:val="superscript"/>
              </w:rPr>
              <w:t>(2)</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29"/>
        </w:trPr>
        <w:tc>
          <w:tcPr>
            <w:tcW w:w="5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earnings in unconsolidated entities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0"/>
        </w:trPr>
        <w:tc>
          <w:tcPr>
            <w:tcW w:w="5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 of unconsolidated entities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activities and inventory valuation adjustments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Long-term inventory costing adjustments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Deficiencies under minimum volume commitments, net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Equity-indexed compensation expense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revaluation</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Transaction-related expenses</w:t>
            </w: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Segment amounts attributable to 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1"/>
        </w:trPr>
        <w:tc>
          <w:tcPr>
            <w:tcW w:w="5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5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0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24"/>
                <w:szCs w:val="24"/>
                <w:color w:val="auto"/>
              </w:rPr>
            </w:pPr>
          </w:p>
        </w:tc>
        <w:tc>
          <w:tcPr>
            <w:tcW w:w="1740" w:type="dxa"/>
            <w:vAlign w:val="bottom"/>
            <w:gridSpan w:val="3"/>
            <w:vMerge w:val="restart"/>
          </w:tcPr>
          <w:p>
            <w:pPr>
              <w:ind w:left="100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center"/>
              <w:ind w:left="57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vMerge w:val="continue"/>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Average Volumes</w:t>
            </w:r>
          </w:p>
        </w:tc>
        <w:tc>
          <w:tcPr>
            <w:tcW w:w="320" w:type="dxa"/>
            <w:vAlign w:val="bottom"/>
          </w:tcPr>
          <w:p>
            <w:pPr>
              <w:spacing w:after="0"/>
              <w:rPr>
                <w:sz w:val="17"/>
                <w:szCs w:val="17"/>
                <w:color w:val="auto"/>
              </w:rPr>
            </w:pPr>
          </w:p>
        </w:tc>
        <w:tc>
          <w:tcPr>
            <w:tcW w:w="108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Volumes</w:t>
            </w:r>
          </w:p>
        </w:tc>
        <w:tc>
          <w:tcPr>
            <w:tcW w:w="1060" w:type="dxa"/>
            <w:vAlign w:val="bottom"/>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5060" w:type="dxa"/>
            <w:vAlign w:val="bottom"/>
            <w:tcBorders>
              <w:top w:val="single" w:sz="8" w:color="auto"/>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Crude oil pipeline tariff (by region) </w:t>
            </w:r>
            <w:r>
              <w:rPr>
                <w:rFonts w:ascii="Times New Roman" w:cs="Times New Roman" w:eastAsia="Times New Roman" w:hAnsi="Times New Roman"/>
                <w:sz w:val="23"/>
                <w:szCs w:val="23"/>
                <w:color w:val="auto"/>
                <w:vertAlign w:val="superscript"/>
              </w:rPr>
              <w:t>(4) (5)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Permian Basin</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South Texas / Eagle Ford</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29"/>
        </w:trPr>
        <w:tc>
          <w:tcPr>
            <w:tcW w:w="5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Mid-Continent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8"/>
        </w:trPr>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crude oil pipeline tariff</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24599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51" w:lineRule="exact"/>
        <w:rPr>
          <w:sz w:val="20"/>
          <w:szCs w:val="20"/>
          <w:color w:val="auto"/>
        </w:rPr>
      </w:pPr>
    </w:p>
    <w:p>
      <w:pPr>
        <w:ind w:left="240" w:hanging="232"/>
        <w:spacing w:after="0"/>
        <w:tabs>
          <w:tab w:leader="none" w:pos="240"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Indicates that variance as a percentage is not meaningful.</w:t>
      </w:r>
    </w:p>
    <w:p>
      <w:pPr>
        <w:spacing w:after="0" w:line="60" w:lineRule="exact"/>
        <w:rPr>
          <w:sz w:val="20"/>
          <w:szCs w:val="20"/>
          <w:color w:val="auto"/>
        </w:rPr>
      </w:pPr>
    </w:p>
    <w:p>
      <w:pPr>
        <w:ind w:left="640" w:hanging="632"/>
        <w:spacing w:after="0"/>
        <w:tabs>
          <w:tab w:leader="none" w:pos="640"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Revenues and costs and expenses include intersegment amounts.</w:t>
      </w:r>
    </w:p>
    <w:p>
      <w:pPr>
        <w:spacing w:after="0" w:line="89" w:lineRule="exact"/>
        <w:rPr>
          <w:rFonts w:ascii="Times New Roman" w:cs="Times New Roman" w:eastAsia="Times New Roman" w:hAnsi="Times New Roman"/>
          <w:sz w:val="23"/>
          <w:szCs w:val="23"/>
          <w:color w:val="auto"/>
          <w:vertAlign w:val="superscript"/>
        </w:rPr>
      </w:pPr>
    </w:p>
    <w:p>
      <w:pPr>
        <w:ind w:left="660" w:right="100" w:hanging="652"/>
        <w:spacing w:after="0" w:line="242" w:lineRule="auto"/>
        <w:tabs>
          <w:tab w:leader="none" w:pos="648" w:val="left"/>
        </w:tabs>
        <w:numPr>
          <w:ilvl w:val="0"/>
          <w:numId w:val="2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87" w:lineRule="exact"/>
        <w:rPr>
          <w:rFonts w:ascii="Times New Roman" w:cs="Times New Roman" w:eastAsia="Times New Roman" w:hAnsi="Times New Roman"/>
          <w:sz w:val="22"/>
          <w:szCs w:val="22"/>
          <w:color w:val="auto"/>
          <w:vertAlign w:val="superscript"/>
        </w:rPr>
      </w:pPr>
    </w:p>
    <w:p>
      <w:pPr>
        <w:ind w:left="660" w:right="480" w:hanging="652"/>
        <w:spacing w:after="0" w:line="229" w:lineRule="auto"/>
        <w:tabs>
          <w:tab w:leader="none" w:pos="648"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adjustments included in the performance measure utilized by our CODM in the evaluation of segment results. See Note 11 to our Condensed Consolidated Financial Statements for additional discussion of such adjustments.</w:t>
      </w:r>
    </w:p>
    <w:p>
      <w:pPr>
        <w:spacing w:after="0" w:line="90" w:lineRule="exact"/>
        <w:rPr>
          <w:rFonts w:ascii="Times New Roman" w:cs="Times New Roman" w:eastAsia="Times New Roman" w:hAnsi="Times New Roman"/>
          <w:sz w:val="23"/>
          <w:szCs w:val="23"/>
          <w:color w:val="auto"/>
          <w:vertAlign w:val="superscript"/>
        </w:rPr>
      </w:pPr>
    </w:p>
    <w:p>
      <w:pPr>
        <w:ind w:left="660" w:right="200" w:hanging="652"/>
        <w:spacing w:after="0" w:line="235" w:lineRule="auto"/>
        <w:tabs>
          <w:tab w:leader="none" w:pos="648"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Average daily volumes in thousands of barrels per day calculated as the total volumes (attributable to our interest for assets owned by unconsolidated entities or through undivided joint interests) for the period divided by the number of days in the period. Volumes associated with acquisitions represent total volumes for the number of days we actually owned the assets divided by the number of days in the period.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right="3960" w:hanging="652"/>
        <w:spacing w:after="0" w:line="453" w:lineRule="auto"/>
        <w:tabs>
          <w:tab w:leader="none" w:pos="648"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Includes volumes (attributable to our interest) from assets owned by unconsolidated entities. </w:t>
      </w:r>
      <w:r>
        <w:rPr>
          <w:rFonts w:ascii="Times New Roman" w:cs="Times New Roman" w:eastAsia="Times New Roman" w:hAnsi="Times New Roman"/>
          <w:sz w:val="18"/>
          <w:szCs w:val="18"/>
          <w:i w:val="1"/>
          <w:iCs w:val="1"/>
          <w:color w:val="auto"/>
        </w:rPr>
        <w:t>Segment Adjusted EBITDA</w:t>
      </w:r>
    </w:p>
    <w:p>
      <w:pPr>
        <w:spacing w:after="0" w:line="1"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Crude Oil Segment Adjusted EBITDA for the three months ended March 31, 2026 increased versus comparable results for the three months ended March 31, 2025. The benefit to the 2026 period results from (i) contributions from recently completed acquisitions and (ii) volume growth across our pipeline systems was partially offset by (iii) the impact from certain Permian long-haul contract rates resetting to market in 2025.</w:t>
      </w:r>
    </w:p>
    <w:p>
      <w:pPr>
        <w:spacing w:after="0" w:line="203"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more detailed discussion of the significant factors impacting Segment Adjusted EBITDA for the three months ended March 31, 2026 compared to the same periods in 2025.</w:t>
      </w:r>
    </w:p>
    <w:p>
      <w:pPr>
        <w:spacing w:after="0" w:line="187"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Revenues and Equity Earnings. </w:t>
      </w:r>
      <w:r>
        <w:rPr>
          <w:rFonts w:ascii="Times New Roman" w:cs="Times New Roman" w:eastAsia="Times New Roman" w:hAnsi="Times New Roman"/>
          <w:sz w:val="18"/>
          <w:szCs w:val="18"/>
          <w:color w:val="auto"/>
        </w:rPr>
        <w:t>Our results were favorably impacted by (i) contributions from recently completed acquisitions in the Permian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Basin and South Texas regions, including our Cactus III acquisition completed in the fourth quarter of 2025, and (ii) volume growth across our pipeline systems largely driven by increased production in the Permian Basin region. These favorable impacts were partially offset by (iii) the impact from certain Permian long-haul contract rates resetting to market in 2025, including on certain of our equity method investments.</w:t>
      </w:r>
    </w:p>
    <w:p>
      <w:pPr>
        <w:spacing w:after="0" w:line="207" w:lineRule="exact"/>
        <w:rPr>
          <w:sz w:val="20"/>
          <w:szCs w:val="20"/>
          <w:color w:val="auto"/>
        </w:rPr>
      </w:pPr>
    </w:p>
    <w:p>
      <w:pPr>
        <w:ind w:right="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Field Operating Costs. </w:t>
      </w:r>
      <w:r>
        <w:rPr>
          <w:rFonts w:ascii="Times New Roman" w:cs="Times New Roman" w:eastAsia="Times New Roman" w:hAnsi="Times New Roman"/>
          <w:sz w:val="18"/>
          <w:szCs w:val="18"/>
          <w:color w:val="auto"/>
        </w:rPr>
        <w:t>Field operating costs were relatively flat for the three months ended March 31, 2026 compared to the same period in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impact to the 2026 period from (i) lower environmental remediation expense and (ii) lower employee-related costs and fuel expenses associated with the divestiture of certain trucking operations was mostly offset by (iii) incremental operating costs associated with recently completed acquisitions.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Maintenance Capital</w:t>
      </w:r>
    </w:p>
    <w:p>
      <w:pPr>
        <w:spacing w:after="0" w:line="254"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increase in maintenance capital spending for the three months ended March 31, 2026 compared to the same period in 2025 was primarily due to higher costs resulting from timing of certain pipeline integrity activities.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NGL Segment</w:t>
      </w:r>
    </w:p>
    <w:p>
      <w:pPr>
        <w:spacing w:after="0" w:line="256"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Our NGL segment operations involve NGL storage and terminalling from our NGL assets located in the United States. Our NGL segment revenues are primarily derived from (i) providing storage and/or terminalling services at these facilities to third-party customers for a fee and (ii) the transport, storage and sale of specification NGL products. The segment results also include the direct fixed and variable field costs of operating our four NGL facilities, as well as an allocation of indirect operating costs and general and administrative expenses.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operating results from our NGL segment:</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Operating Results </w:t>
            </w:r>
            <w:r>
              <w:rPr>
                <w:rFonts w:ascii="Times New Roman" w:cs="Times New Roman" w:eastAsia="Times New Roman" w:hAnsi="Times New Roman"/>
                <w:sz w:val="18"/>
                <w:szCs w:val="18"/>
                <w:b w:val="1"/>
                <w:bCs w:val="1"/>
                <w:color w:val="auto"/>
                <w:vertAlign w:val="superscript"/>
              </w:rPr>
              <w:t>(1)</w:t>
            </w:r>
          </w:p>
        </w:tc>
        <w:tc>
          <w:tcPr>
            <w:tcW w:w="2460" w:type="dxa"/>
            <w:vAlign w:val="bottom"/>
            <w:gridSpan w:val="4"/>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60" w:type="dxa"/>
            <w:vAlign w:val="bottom"/>
            <w:gridSpan w:val="3"/>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5160" w:type="dxa"/>
            <w:vAlign w:val="bottom"/>
            <w:gridSpan w:val="3"/>
            <w:vMerge w:val="continue"/>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3"/>
            <w:vMerge w:val="continue"/>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6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29"/>
        </w:trPr>
        <w:tc>
          <w:tcPr>
            <w:tcW w:w="50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77"/>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5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Purchases and related costs</w:t>
            </w: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5160" w:type="dxa"/>
            <w:vAlign w:val="bottom"/>
            <w:gridSpan w:val="3"/>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Field operating costs </w:t>
            </w:r>
            <w:r>
              <w:rPr>
                <w:rFonts w:ascii="Times New Roman" w:cs="Times New Roman" w:eastAsia="Times New Roman" w:hAnsi="Times New Roman"/>
                <w:sz w:val="23"/>
                <w:szCs w:val="23"/>
                <w:color w:val="auto"/>
                <w:vertAlign w:val="superscript"/>
              </w:rPr>
              <w:t>(2)</w:t>
            </w: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gridSpan w:val="3"/>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Segment general and administrative expenses </w:t>
            </w:r>
            <w:r>
              <w:rPr>
                <w:rFonts w:ascii="Times New Roman" w:cs="Times New Roman" w:eastAsia="Times New Roman" w:hAnsi="Times New Roman"/>
                <w:sz w:val="23"/>
                <w:szCs w:val="23"/>
                <w:color w:val="auto"/>
                <w:vertAlign w:val="superscript"/>
              </w:rPr>
              <w:t>(2) (3)</w:t>
            </w:r>
          </w:p>
        </w:tc>
        <w:tc>
          <w:tcPr>
            <w:tcW w:w="9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960" w:type="dxa"/>
            <w:vAlign w:val="bottom"/>
            <w:tcBorders>
              <w:bottom w:val="single" w:sz="8" w:color="auto"/>
            </w:tcBorders>
            <w:shd w:val="clear" w:color="auto" w:fill="CCEEFF"/>
          </w:tcPr>
          <w:p>
            <w:pPr>
              <w:jc w:val="right"/>
              <w:ind w:right="777"/>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8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Maintenance capital expenditures</w:t>
            </w:r>
          </w:p>
        </w:tc>
        <w:tc>
          <w:tcPr>
            <w:tcW w:w="960" w:type="dxa"/>
            <w:vAlign w:val="bottom"/>
            <w:shd w:val="clear" w:color="auto" w:fill="CCEEFF"/>
          </w:tcPr>
          <w:p>
            <w:pPr>
              <w:jc w:val="right"/>
              <w:ind w:right="777"/>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880" w:type="dxa"/>
            <w:vAlign w:val="bottom"/>
            <w:tcBorders>
              <w:bottom w:val="single" w:sz="8" w:color="auto"/>
            </w:tcBorders>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Revenues and costs and expenses include intersegment amounts.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Field operating costs and segment general and administrative expenses include certain costs that are part of the overhead of continuing operations.</w:t>
      </w:r>
    </w:p>
    <w:p>
      <w:pPr>
        <w:spacing w:after="0" w:line="200" w:lineRule="exact"/>
        <w:rPr>
          <w:sz w:val="20"/>
          <w:szCs w:val="20"/>
          <w:color w:val="auto"/>
        </w:rPr>
      </w:pPr>
    </w:p>
    <w:p>
      <w:pPr>
        <w:sectPr>
          <w:pgSz w:w="11900" w:h="16838" w:orient="portrait"/>
          <w:cols w:equalWidth="0" w:num="2">
            <w:col w:w="140" w:space="500"/>
            <w:col w:w="10600"/>
          </w:cols>
          <w:pgMar w:left="320" w:top="121" w:right="339" w:bottom="1440" w:gutter="0" w:footer="0" w:header="0"/>
          <w:type w:val="continuous"/>
        </w:sect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right="100" w:hanging="652"/>
        <w:spacing w:after="0" w:line="242" w:lineRule="auto"/>
        <w:tabs>
          <w:tab w:leader="none" w:pos="648" w:val="left"/>
        </w:tabs>
        <w:numPr>
          <w:ilvl w:val="0"/>
          <w:numId w:val="2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274" w:lineRule="exact"/>
        <w:rPr>
          <w:rFonts w:ascii="Times New Roman" w:cs="Times New Roman" w:eastAsia="Times New Roman" w:hAnsi="Times New Roman"/>
          <w:sz w:val="22"/>
          <w:szCs w:val="22"/>
          <w:color w:val="auto"/>
          <w:vertAlign w:val="superscript"/>
        </w:rPr>
      </w:pPr>
    </w:p>
    <w:p>
      <w:pPr>
        <w:ind w:left="66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i w:val="1"/>
          <w:iCs w:val="1"/>
          <w:color w:val="auto"/>
        </w:rPr>
        <w:t>Segment Adjusted EBITDA</w:t>
      </w:r>
    </w:p>
    <w:p>
      <w:pPr>
        <w:spacing w:after="0" w:line="254"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NGL Segment Adjusted EBITDA loss for the period presented was largely driven by costs that are part of the overhead of our NGL activities and are included in continuing operations as they are not related to contracts or arrangements that will be included in the sale of the Canadian NGL Business. These costs include information technology, insurance and other shared services costs.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ind w:right="240" w:firstLine="648"/>
        <w:spacing w:after="0" w:line="254" w:lineRule="auto"/>
        <w:rPr>
          <w:sz w:val="20"/>
          <w:szCs w:val="20"/>
          <w:color w:val="auto"/>
        </w:rPr>
      </w:pPr>
      <w:r>
        <w:rPr>
          <w:rFonts w:ascii="Times New Roman" w:cs="Times New Roman" w:eastAsia="Times New Roman" w:hAnsi="Times New Roman"/>
          <w:sz w:val="18"/>
          <w:szCs w:val="18"/>
          <w:color w:val="auto"/>
        </w:rPr>
        <w:t>Our primary sources of liquidity are (i) cash flow from operating activities and (ii) borrowings under our credit facilities or commercial paper program. In addition, we may supplement these primary sources of liquidity with proceeds from asset sales, and in the past have utilized funds received from sales of equity and debt securities. Our primary cash requirements include, but are not limited to, (i) ordinary course of business uses, such as the payment of amounts related to the purchase of crude oil, NGL and other products, payment of other expenses and interest payments on outstanding debt, (ii) investment and maintenance capital activities, (iii) acquisitions of assets or businesses, (iv) repayment of principal on our long-term debt and</w:t>
      </w:r>
    </w:p>
    <w:p>
      <w:pPr>
        <w:spacing w:after="0" w:line="3" w:lineRule="exact"/>
        <w:rPr>
          <w:sz w:val="20"/>
          <w:szCs w:val="20"/>
          <w:color w:val="auto"/>
        </w:rPr>
      </w:pPr>
    </w:p>
    <w:p>
      <w:pPr>
        <w:jc w:val="both"/>
        <w:ind w:right="260" w:firstLine="8"/>
        <w:spacing w:after="0" w:line="253" w:lineRule="auto"/>
        <w:tabs>
          <w:tab w:leader="none" w:pos="2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to our unitholders and noncontrolling interests. In addition, we may use cash for repurchases of common equity. We generally expect to fund our short-term cash requirements through cash flow generated from operating activities and/or borrowings under our credit facilities or commercial paper program. In addition, we generally expect to fund our long-term needs, such as those resulting from investment capital activities, acquisitions or refinancing our long-term debt, through a variety of sources, which may include any or a combination of the sources listed above.</w:t>
      </w:r>
    </w:p>
    <w:p>
      <w:pPr>
        <w:spacing w:after="0" w:line="216"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2026, although we had a working capital deficit of $380 million, we had approximately $1.8 billion of liquidity available to meet our ongoing operating, investing and financing needs, subject to continued covenant compliance, as noted below (in millions):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 xml:space="preserve">Availability under senior unsecured revolving credit facility </w:t>
      </w:r>
      <w:r>
        <w:rPr>
          <w:rFonts w:ascii="Times New Roman" w:cs="Times New Roman" w:eastAsia="Times New Roman" w:hAnsi="Times New Roman"/>
          <w:sz w:val="22"/>
          <w:szCs w:val="22"/>
          <w:color w:val="auto"/>
          <w:vertAlign w:val="superscript"/>
        </w:rPr>
        <w:t>(1)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spacing w:after="0" w:line="228" w:lineRule="auto"/>
        <w:rPr>
          <w:sz w:val="20"/>
          <w:szCs w:val="20"/>
          <w:color w:val="auto"/>
        </w:rPr>
      </w:pPr>
      <w:r>
        <w:rPr>
          <w:rFonts w:ascii="Times New Roman" w:cs="Times New Roman" w:eastAsia="Times New Roman" w:hAnsi="Times New Roman"/>
          <w:sz w:val="17"/>
          <w:szCs w:val="17"/>
          <w:color w:val="auto"/>
        </w:rPr>
        <w:t xml:space="preserve">Availability under senior secured hedged inventory facility </w:t>
      </w:r>
      <w:r>
        <w:rPr>
          <w:rFonts w:ascii="Times New Roman" w:cs="Times New Roman" w:eastAsia="Times New Roman" w:hAnsi="Times New Roman"/>
          <w:sz w:val="22"/>
          <w:szCs w:val="22"/>
          <w:color w:val="auto"/>
          <w:vertAlign w:val="superscript"/>
        </w:rPr>
        <w:t>(1)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454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Amounts outstanding under commercial paper program</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As of</w:t>
      </w:r>
    </w:p>
    <w:p>
      <w:pPr>
        <w:spacing w:after="0" w:line="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March 31, 2026</w:t>
      </w:r>
    </w:p>
    <w:p>
      <w:pPr>
        <w:spacing w:after="0" w:line="30" w:lineRule="exact"/>
        <w:rPr>
          <w:sz w:val="20"/>
          <w:szCs w:val="20"/>
          <w:color w:val="auto"/>
        </w:rPr>
      </w:pPr>
    </w:p>
    <w:p>
      <w:pPr>
        <w:ind w:left="940" w:hanging="933"/>
        <w:spacing w:after="0"/>
        <w:tabs>
          <w:tab w:leader="none" w:pos="9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1,350</w:t>
      </w:r>
    </w:p>
    <w:p>
      <w:pPr>
        <w:spacing w:after="0" w:line="27" w:lineRule="exact"/>
        <w:rPr>
          <w:rFonts w:ascii="Times New Roman" w:cs="Times New Roman" w:eastAsia="Times New Roman" w:hAnsi="Times New Roman"/>
          <w:sz w:val="18"/>
          <w:szCs w:val="18"/>
          <w:color w:val="auto"/>
        </w:rPr>
      </w:pPr>
    </w:p>
    <w:p>
      <w:pPr>
        <w:ind w:left="9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1,344</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(1,086)</w:t>
      </w:r>
    </w:p>
    <w:p>
      <w:pPr>
        <w:spacing w:after="0" w:line="22" w:lineRule="exact"/>
        <w:rPr>
          <w:sz w:val="20"/>
          <w:szCs w:val="20"/>
          <w:color w:val="auto"/>
        </w:rPr>
      </w:pPr>
    </w:p>
    <w:p>
      <w:pPr>
        <w:sectPr>
          <w:pgSz w:w="11900" w:h="16838" w:orient="portrait"/>
          <w:cols w:equalWidth="0" w:num="2">
            <w:col w:w="9100" w:space="720"/>
            <w:col w:w="14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9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Subtotal</w:t>
            </w:r>
          </w:p>
        </w:tc>
        <w:tc>
          <w:tcPr>
            <w:tcW w:w="5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1,608</w:t>
            </w:r>
          </w:p>
        </w:tc>
      </w:tr>
      <w:tr>
        <w:trPr>
          <w:trHeight w:val="230"/>
        </w:trPr>
        <w:tc>
          <w:tcPr>
            <w:tcW w:w="9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23"/>
        </w:trPr>
        <w:tc>
          <w:tcPr>
            <w:tcW w:w="98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w:t>
            </w:r>
          </w:p>
        </w:tc>
      </w:tr>
      <w:tr>
        <w:trPr>
          <w:trHeight w:val="21"/>
        </w:trPr>
        <w:tc>
          <w:tcPr>
            <w:tcW w:w="388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69"/>
        </w:trPr>
        <w:tc>
          <w:tcPr>
            <w:tcW w:w="3880" w:type="dxa"/>
            <w:vAlign w:val="bottom"/>
            <w:tcBorders>
              <w:bottom w:val="single" w:sz="8" w:color="auto"/>
            </w:tcBorders>
          </w:tcPr>
          <w:p>
            <w:pPr>
              <w:spacing w:after="0"/>
              <w:rPr>
                <w:sz w:val="14"/>
                <w:szCs w:val="14"/>
                <w:color w:val="auto"/>
              </w:rPr>
            </w:pPr>
          </w:p>
        </w:tc>
        <w:tc>
          <w:tcPr>
            <w:tcW w:w="5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r>
    </w:tbl>
    <w:p>
      <w:pPr>
        <w:spacing w:after="0" w:line="117"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ind w:right="360" w:hanging="11"/>
        <w:spacing w:after="0" w:line="282" w:lineRule="auto"/>
        <w:rPr>
          <w:sz w:val="20"/>
          <w:szCs w:val="20"/>
          <w:color w:val="auto"/>
        </w:rPr>
      </w:pPr>
      <w:r>
        <w:rPr>
          <w:rFonts w:ascii="Times New Roman" w:cs="Times New Roman" w:eastAsia="Times New Roman" w:hAnsi="Times New Roman"/>
          <w:sz w:val="18"/>
          <w:szCs w:val="18"/>
          <w:color w:val="auto"/>
        </w:rPr>
        <w:t>Represents availability prior to giving effect to borrowings outstanding under our commercial paper program, which reduce available capacity under our credit facilities.</w:t>
      </w:r>
    </w:p>
    <w:p>
      <w:pPr>
        <w:spacing w:after="0" w:line="54" w:lineRule="exact"/>
        <w:rPr>
          <w:sz w:val="20"/>
          <w:szCs w:val="20"/>
          <w:color w:val="auto"/>
        </w:rPr>
      </w:pPr>
    </w:p>
    <w:p>
      <w:pPr>
        <w:ind w:right="240" w:hanging="11"/>
        <w:spacing w:after="0" w:line="282" w:lineRule="auto"/>
        <w:rPr>
          <w:sz w:val="20"/>
          <w:szCs w:val="20"/>
          <w:color w:val="auto"/>
        </w:rPr>
      </w:pPr>
      <w:r>
        <w:rPr>
          <w:rFonts w:ascii="Times New Roman" w:cs="Times New Roman" w:eastAsia="Times New Roman" w:hAnsi="Times New Roman"/>
          <w:sz w:val="18"/>
          <w:szCs w:val="18"/>
          <w:color w:val="auto"/>
        </w:rPr>
        <w:t>Available capacity under our senior unsecured revolving credit facility and senior secured hedged inventory facility was reduced by outstanding letters of credit issued under these facilities of less than $1 million and $6 million, respectively.</w:t>
      </w:r>
    </w:p>
    <w:p>
      <w:pPr>
        <w:spacing w:after="0" w:line="200" w:lineRule="exact"/>
        <w:rPr>
          <w:sz w:val="20"/>
          <w:szCs w:val="20"/>
          <w:color w:val="auto"/>
        </w:rPr>
      </w:pPr>
    </w:p>
    <w:p>
      <w:pPr>
        <w:sectPr>
          <w:pgSz w:w="11900" w:h="16838" w:orient="portrait"/>
          <w:cols w:equalWidth="0" w:num="2">
            <w:col w:w="140" w:space="520"/>
            <w:col w:w="10580"/>
          </w:cols>
          <w:pgMar w:left="320" w:top="121" w:right="339" w:bottom="1440" w:gutter="0" w:footer="0" w:header="0"/>
          <w:type w:val="continuous"/>
        </w:sectPr>
      </w:pPr>
    </w:p>
    <w:p>
      <w:pPr>
        <w:spacing w:after="0" w:line="43"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Usage of our credit facilities, and, in turn, our commercial paper program, is subject to ongoing compliance with covenants. The credit agreements for our revolving credit facilities (which impact our ability to access our commercial paper program because they provide the financial backstop that supports our short-term credit ratings), the term loan and the indentures governing our senior notes contain cross-default provisions. A default under our credit agreements, term loan or indentures would permit the lenders to accelerate the maturity of the outstanding debt. As long as we are in compliance with the provisions in our credit agreements and term loan agreement, our ability to make distributions of available cash is not restricted. We were in compliance with the covenants contained in our credit agreements, term loan and indentures as of March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believe that we have, and will continue to have, the ability to access our commercial paper program and credit facilities, which we use to meet our short-term cash needs. We believe that our financial position remains strong and we have sufficient liquid assets, cash flow from operating activities and borrowing capacity under our credit agreements to meet our financial commitments, debt service obligations, contingencies and anticipated capital expenditures. We are, however, subject to business and operational risks that could adversely affect our cash flow, including extended disruptions in the financial markets and/or energy price volatility resulting from current macroeconomic and geopolitical conditions, including actions by the Organization of Petroleum Exporting Countries (OPEC). A prolonged material decrease in our cash flows would likely produce an adverse effect on our borrowing capacity and cost of borrowing. Our borrowing capacity and borrowing costs are also impacted by our credit rating. See Item 1A. “Risk Factors” included in our 2025 Annual Report on Form 10-K for further discussion regarding risks that may impact our liquidity and capital resources.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Liquidity Measures</w:t>
      </w:r>
    </w:p>
    <w:p>
      <w:pPr>
        <w:spacing w:after="0" w:line="25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Management uses the non-GAAP financial liquidity measures Adjusted Free Cash Flow and Adjusted Free Cash Flow after Distributions to assess the amount of cash that is available for distributions, debt repayments, common equity repurchases and other general partnership purposes. Adjusted Free Cash Flow is defined as Net cash provided by operating activities, less Net cash provided by/(used in) investing activities, which primarily includes acquisition, investment and maintenance capital expenditures, investments in unconsolidated entities and related party notes and the impact from the purchase and sale of linefill, net of proceeds from the sales of assets and further impacted by distributions to and contributions from noncontrolling interests and proceeds from the issuance of related party notes. Adjusted Free Cash Flow is further reduced by cash distributions paid to our preferred and common unitholders to arrive at Adjusted Free Cash Flow after Distributions. Also see “Results of Operations—Non-GAAP Financial Measures” above for more information about our non-GAAP measures.</w:t>
      </w:r>
    </w:p>
    <w:p>
      <w:pPr>
        <w:spacing w:after="0" w:line="219"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reconciliation of the non-GAAP financial liquidity measures Adjusted Free Cash Flow and Adjusted Free Cash Flow after Distributions from Net Cash Provided by Operating Activities and includes results from continuing operations and discontinued operations for all periods presented (in millions):</w:t>
      </w:r>
    </w:p>
    <w:p>
      <w:pPr>
        <w:spacing w:after="0" w:line="237"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880" w:type="dxa"/>
            <w:vAlign w:val="bottom"/>
            <w:tcBorders>
              <w:bottom w:val="single" w:sz="8" w:color="CCEEFF"/>
            </w:tcBorders>
          </w:tcPr>
          <w:p>
            <w:pPr>
              <w:spacing w:after="0"/>
              <w:rPr>
                <w:sz w:val="17"/>
                <w:szCs w:val="17"/>
                <w:color w:val="auto"/>
              </w:rPr>
            </w:pPr>
          </w:p>
        </w:tc>
        <w:tc>
          <w:tcPr>
            <w:tcW w:w="438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40" w:type="dxa"/>
            <w:vAlign w:val="bottom"/>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r>
      <w:tr>
        <w:trPr>
          <w:trHeight w:val="230"/>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cash provided by operating activities to adjusted free cash flow:</w:t>
            </w: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26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Net cash used in investing activities </w:t>
            </w:r>
            <w:r>
              <w:rPr>
                <w:rFonts w:ascii="Times New Roman" w:cs="Times New Roman" w:eastAsia="Times New Roman" w:hAnsi="Times New Roman"/>
                <w:sz w:val="23"/>
                <w:szCs w:val="23"/>
                <w:color w:val="auto"/>
                <w:vertAlign w:val="superscript"/>
              </w:rPr>
              <w:t>(1)</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r>
      <w:tr>
        <w:trPr>
          <w:trHeight w:val="229"/>
        </w:trPr>
        <w:tc>
          <w:tcPr>
            <w:tcW w:w="8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Cash contributions from noncontrolling interests</w:t>
            </w:r>
          </w:p>
        </w:tc>
        <w:tc>
          <w:tcPr>
            <w:tcW w:w="9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826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Cash distributions paid to noncontrolling interests </w:t>
            </w:r>
            <w:r>
              <w:rPr>
                <w:rFonts w:ascii="Times New Roman" w:cs="Times New Roman" w:eastAsia="Times New Roman" w:hAnsi="Times New Roman"/>
                <w:sz w:val="23"/>
                <w:szCs w:val="23"/>
                <w:color w:val="auto"/>
                <w:vertAlign w:val="superscript"/>
              </w:rPr>
              <w:t>(2)</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30"/>
        </w:trPr>
        <w:tc>
          <w:tcPr>
            <w:tcW w:w="826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Proceeds from the issuance of related party notes </w:t>
            </w:r>
            <w:r>
              <w:rPr>
                <w:rFonts w:ascii="Times New Roman" w:cs="Times New Roman" w:eastAsia="Times New Roman" w:hAnsi="Times New Roman"/>
                <w:sz w:val="23"/>
                <w:szCs w:val="23"/>
                <w:color w:val="auto"/>
                <w:vertAlign w:val="superscript"/>
              </w:rPr>
              <w:t>(1)</w:t>
            </w:r>
          </w:p>
        </w:tc>
        <w:tc>
          <w:tcPr>
            <w:tcW w:w="9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r>
      <w:tr>
        <w:trPr>
          <w:trHeight w:val="223"/>
        </w:trPr>
        <w:tc>
          <w:tcPr>
            <w:tcW w:w="82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Free Cash Flow</w:t>
            </w:r>
          </w:p>
        </w:tc>
        <w:tc>
          <w:tcPr>
            <w:tcW w:w="940" w:type="dxa"/>
            <w:vAlign w:val="bottom"/>
            <w:tcBorders>
              <w:top w:val="single" w:sz="8" w:color="auto"/>
            </w:tcBorders>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230"/>
        </w:trPr>
        <w:tc>
          <w:tcPr>
            <w:tcW w:w="8260" w:type="dxa"/>
            <w:vAlign w:val="bottom"/>
            <w:tcBorders>
              <w:bottom w:val="single" w:sz="8" w:color="CCEEFF"/>
            </w:tcBorders>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Cash distributions </w:t>
            </w:r>
            <w:r>
              <w:rPr>
                <w:rFonts w:ascii="Times New Roman" w:cs="Times New Roman" w:eastAsia="Times New Roman" w:hAnsi="Times New Roman"/>
                <w:sz w:val="23"/>
                <w:szCs w:val="23"/>
                <w:color w:val="auto"/>
                <w:vertAlign w:val="superscript"/>
              </w:rPr>
              <w:t>(3)</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48"/>
        </w:trPr>
        <w:tc>
          <w:tcPr>
            <w:tcW w:w="8260" w:type="dxa"/>
            <w:vAlign w:val="bottom"/>
            <w:tcBorders>
              <w:bottom w:val="single" w:sz="8" w:color="CCEEFF"/>
            </w:tcBorders>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Adjusted Free Cash Flow after Distributions </w:t>
            </w:r>
            <w:r>
              <w:rPr>
                <w:rFonts w:ascii="Times New Roman" w:cs="Times New Roman" w:eastAsia="Times New Roman" w:hAnsi="Times New Roman"/>
                <w:sz w:val="23"/>
                <w:szCs w:val="23"/>
                <w:color w:val="auto"/>
                <w:vertAlign w:val="superscript"/>
              </w:rPr>
              <w:t>(4)</w:t>
            </w:r>
          </w:p>
        </w:tc>
        <w:tc>
          <w:tcPr>
            <w:tcW w:w="940" w:type="dxa"/>
            <w:vAlign w:val="bottom"/>
            <w:tcBorders>
              <w:bottom w:val="single" w:sz="8" w:color="auto"/>
            </w:tcBorders>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3880" w:type="dxa"/>
            <w:vAlign w:val="bottom"/>
            <w:tcBorders>
              <w:bottom w:val="single" w:sz="8" w:color="auto"/>
            </w:tcBorders>
          </w:tcPr>
          <w:p>
            <w:pPr>
              <w:spacing w:after="0"/>
              <w:rPr>
                <w:sz w:val="17"/>
                <w:szCs w:val="17"/>
                <w:color w:val="auto"/>
              </w:rPr>
            </w:pPr>
          </w:p>
        </w:tc>
        <w:tc>
          <w:tcPr>
            <w:tcW w:w="4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bl>
    <w:p>
      <w:pPr>
        <w:spacing w:after="0" w:line="117"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br w:type="column"/>
      </w:r>
    </w:p>
    <w:p>
      <w:pPr>
        <w:ind w:left="20" w:right="140" w:hanging="11"/>
        <w:spacing w:after="0" w:line="261" w:lineRule="auto"/>
        <w:rPr>
          <w:sz w:val="20"/>
          <w:szCs w:val="20"/>
          <w:color w:val="auto"/>
        </w:rPr>
      </w:pPr>
      <w:r>
        <w:rPr>
          <w:rFonts w:ascii="Times New Roman" w:cs="Times New Roman" w:eastAsia="Times New Roman" w:hAnsi="Times New Roman"/>
          <w:sz w:val="18"/>
          <w:szCs w:val="18"/>
          <w:color w:val="auto"/>
        </w:rPr>
        <w:t>Certain Plains entities have issued promissory notes by and among such entities to facilitate financing. “Proceeds from the issuance of related party notes” has an equal and offsetting cash outflow associated with our investment in related party notes, which is included as a component of “Net cash used in investing activities.” See Note 9 to our Condensed Consolidated Financial Statements for additional information on our related party notes.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distributions paid during the period presented.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distributions paid to our preferred and common unitholders during the period presented.</w:t>
      </w:r>
    </w:p>
    <w:p>
      <w:pPr>
        <w:spacing w:after="0" w:line="63" w:lineRule="exact"/>
        <w:rPr>
          <w:sz w:val="20"/>
          <w:szCs w:val="20"/>
          <w:color w:val="auto"/>
        </w:rPr>
      </w:pPr>
    </w:p>
    <w:p>
      <w:pPr>
        <w:ind w:left="20" w:right="240" w:hanging="11"/>
        <w:spacing w:after="0" w:line="266" w:lineRule="auto"/>
        <w:rPr>
          <w:sz w:val="20"/>
          <w:szCs w:val="20"/>
          <w:color w:val="auto"/>
        </w:rPr>
      </w:pPr>
      <w:r>
        <w:rPr>
          <w:rFonts w:ascii="Times New Roman" w:cs="Times New Roman" w:eastAsia="Times New Roman" w:hAnsi="Times New Roman"/>
          <w:sz w:val="18"/>
          <w:szCs w:val="18"/>
          <w:color w:val="auto"/>
        </w:rPr>
        <w:t>Excess Adjusted Free Cash Flow after Distributions is retained to establish reserves for future distributions, capital expenditures, debt reduction and other partnership purposes. Adjusted Free Cash Flow after Distributions shortages, if any, may be funded from previously established reserves, cash on hand or from borrowings under our credit facilities or commercial paper program.</w:t>
      </w:r>
    </w:p>
    <w:p>
      <w:pPr>
        <w:spacing w:after="0" w:line="200" w:lineRule="exact"/>
        <w:rPr>
          <w:sz w:val="20"/>
          <w:szCs w:val="20"/>
          <w:color w:val="auto"/>
        </w:rPr>
      </w:pPr>
    </w:p>
    <w:p>
      <w:pPr>
        <w:sectPr>
          <w:pgSz w:w="11900" w:h="16838" w:orient="portrait"/>
          <w:cols w:equalWidth="0" w:num="2">
            <w:col w:w="140" w:space="500"/>
            <w:col w:w="10600"/>
          </w:cols>
          <w:pgMar w:left="320" w:top="121" w:right="339" w:bottom="1440" w:gutter="0" w:footer="0" w:header="0"/>
          <w:type w:val="continuous"/>
        </w:sect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from Operating Activities</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For a comprehensive discussion of the primary drivers of cash flow from operating activities, including the impact of varying market conditions and the timing of settlement of our derivatives, see Item 7. “Liquidity and Capital Resources—Cash Flow from Operating Activities” included in our 2025 Annual Report on Form 10-K.</w:t>
      </w:r>
    </w:p>
    <w:p>
      <w:pPr>
        <w:spacing w:after="0" w:line="176"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from continuing operations for the first three months of 2026 and 2025 was $400 million and $429 million, respectively, and primarily resulted from earnings from our operations. In addition, both periods were also impacted by changes in net operating working capital items, while the 2026 period was impacted by higher margin requirements related to our hedging activities.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addition to our operating needs, we also use cash for our investment capital projects, maintenance capital activities and acquisition activities. We fund these expenditures with cash generated by operating activities, financing activities and/or proceeds from asset sales. In the near term, we do not plan to issue common equity to fund such expenditures. The following table summarizes our investment, maintenance and acquisition capital expenditures related to continuing operations and discontinued operations (in millions):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gridSpan w:val="4"/>
          </w:tcPr>
          <w:p>
            <w:pPr>
              <w:jc w:val="center"/>
              <w:ind w:left="495"/>
              <w:spacing w:after="0"/>
              <w:rPr>
                <w:sz w:val="20"/>
                <w:szCs w:val="20"/>
                <w:color w:val="auto"/>
              </w:rPr>
            </w:pPr>
            <w:r>
              <w:rPr>
                <w:rFonts w:ascii="Times New Roman" w:cs="Times New Roman" w:eastAsia="Times New Roman" w:hAnsi="Times New Roman"/>
                <w:sz w:val="14"/>
                <w:szCs w:val="14"/>
                <w:b w:val="1"/>
                <w:bCs w:val="1"/>
                <w:color w:val="auto"/>
                <w:w w:val="93"/>
              </w:rPr>
              <w:t xml:space="preserve">Net to PAA </w:t>
            </w:r>
            <w:r>
              <w:rPr>
                <w:rFonts w:ascii="Times New Roman" w:cs="Times New Roman" w:eastAsia="Times New Roman" w:hAnsi="Times New Roman"/>
                <w:sz w:val="18"/>
                <w:szCs w:val="18"/>
                <w:b w:val="1"/>
                <w:bCs w:val="1"/>
                <w:color w:val="auto"/>
                <w:w w:val="93"/>
                <w:vertAlign w:val="superscript"/>
              </w:rPr>
              <w:t>(1) (2)</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60" w:type="dxa"/>
            <w:vAlign w:val="bottom"/>
            <w:gridSpan w:val="3"/>
          </w:tcPr>
          <w:p>
            <w:pPr>
              <w:jc w:val="center"/>
              <w:ind w:left="475"/>
              <w:spacing w:after="0"/>
              <w:rPr>
                <w:sz w:val="20"/>
                <w:szCs w:val="20"/>
                <w:color w:val="auto"/>
              </w:rPr>
            </w:pPr>
            <w:r>
              <w:rPr>
                <w:rFonts w:ascii="Times New Roman" w:cs="Times New Roman" w:eastAsia="Times New Roman" w:hAnsi="Times New Roman"/>
                <w:sz w:val="14"/>
                <w:szCs w:val="14"/>
                <w:b w:val="1"/>
                <w:bCs w:val="1"/>
                <w:color w:val="auto"/>
                <w:w w:val="97"/>
              </w:rPr>
              <w:t xml:space="preserve">Consolidated </w:t>
            </w:r>
            <w:r>
              <w:rPr>
                <w:rFonts w:ascii="Times New Roman" w:cs="Times New Roman" w:eastAsia="Times New Roman" w:hAnsi="Times New Roman"/>
                <w:sz w:val="18"/>
                <w:szCs w:val="18"/>
                <w:b w:val="1"/>
                <w:bCs w:val="1"/>
                <w:color w:val="auto"/>
                <w:w w:val="97"/>
                <w:vertAlign w:val="superscript"/>
              </w:rPr>
              <w:t>(2)</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560" w:type="dxa"/>
            <w:vAlign w:val="bottom"/>
            <w:gridSpan w:val="4"/>
          </w:tcPr>
          <w:p>
            <w:pPr>
              <w:jc w:val="center"/>
              <w:ind w:right="252"/>
              <w:spacing w:after="0"/>
              <w:rPr>
                <w:sz w:val="20"/>
                <w:szCs w:val="20"/>
                <w:color w:val="auto"/>
              </w:rPr>
            </w:pPr>
            <w:r>
              <w:rPr>
                <w:rFonts w:ascii="Times New Roman" w:cs="Times New Roman" w:eastAsia="Times New Roman" w:hAnsi="Times New Roman"/>
                <w:sz w:val="14"/>
                <w:szCs w:val="14"/>
                <w:b w:val="1"/>
                <w:bCs w:val="1"/>
                <w:color w:val="auto"/>
              </w:rPr>
              <w:t>Continuing Operations</w:t>
            </w:r>
          </w:p>
        </w:tc>
      </w:tr>
      <w:tr>
        <w:trPr>
          <w:trHeight w:val="148"/>
        </w:trPr>
        <w:tc>
          <w:tcPr>
            <w:tcW w:w="2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60" w:type="dxa"/>
            <w:vAlign w:val="bottom"/>
            <w:gridSpan w:val="6"/>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2"/>
                <w:szCs w:val="12"/>
                <w:color w:val="auto"/>
              </w:rPr>
            </w:pPr>
          </w:p>
        </w:tc>
        <w:tc>
          <w:tcPr>
            <w:tcW w:w="2740" w:type="dxa"/>
            <w:vAlign w:val="bottom"/>
            <w:gridSpan w:val="6"/>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2"/>
                <w:szCs w:val="12"/>
                <w:color w:val="auto"/>
              </w:rPr>
            </w:pPr>
          </w:p>
        </w:tc>
        <w:tc>
          <w:tcPr>
            <w:tcW w:w="2560" w:type="dxa"/>
            <w:vAlign w:val="bottom"/>
            <w:gridSpan w:val="4"/>
          </w:tcPr>
          <w:p>
            <w:pPr>
              <w:jc w:val="center"/>
              <w:ind w:right="252"/>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4"/>
        </w:trPr>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center"/>
              <w:ind w:left="49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left="47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left="57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Borders>
              <w:bottom w:val="single" w:sz="8" w:color="auto"/>
            </w:tcBorders>
          </w:tcPr>
          <w:p>
            <w:pPr>
              <w:spacing w:after="0"/>
              <w:rPr>
                <w:sz w:val="16"/>
                <w:szCs w:val="16"/>
                <w:color w:val="auto"/>
              </w:rPr>
            </w:pPr>
          </w:p>
        </w:tc>
      </w:tr>
      <w:tr>
        <w:trPr>
          <w:trHeight w:val="203"/>
        </w:trPr>
        <w:tc>
          <w:tcPr>
            <w:tcW w:w="222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Capital Expenditures </w:t>
            </w:r>
            <w:r>
              <w:rPr>
                <w:rFonts w:ascii="Times New Roman" w:cs="Times New Roman" w:eastAsia="Times New Roman" w:hAnsi="Times New Roman"/>
                <w:sz w:val="18"/>
                <w:szCs w:val="18"/>
                <w:color w:val="auto"/>
                <w:vertAlign w:val="superscript"/>
              </w:rPr>
              <w:t>(3) (4)</w:t>
            </w:r>
          </w:p>
        </w:tc>
        <w:tc>
          <w:tcPr>
            <w:tcW w:w="320" w:type="dxa"/>
            <w:vAlign w:val="bottom"/>
          </w:tcPr>
          <w:p>
            <w:pPr>
              <w:spacing w:after="0"/>
              <w:rPr>
                <w:sz w:val="17"/>
                <w:szCs w:val="17"/>
                <w:color w:val="auto"/>
              </w:rPr>
            </w:pPr>
          </w:p>
        </w:tc>
        <w:tc>
          <w:tcPr>
            <w:tcW w:w="106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3"/>
        </w:trPr>
        <w:tc>
          <w:tcPr>
            <w:tcW w:w="2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Crude Oil:</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right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r>
      <w:tr>
        <w:trPr>
          <w:trHeight w:val="229"/>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Investment capital</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30"/>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Maintenance capital</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22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Acquisition capital</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w:t>
            </w:r>
          </w:p>
        </w:tc>
      </w:tr>
      <w:tr>
        <w:trPr>
          <w:trHeight w:val="248"/>
        </w:trPr>
        <w:tc>
          <w:tcPr>
            <w:tcW w:w="2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00" w:type="dxa"/>
            <w:vAlign w:val="bottom"/>
            <w:tcBorders>
              <w:bottom w:val="single" w:sz="8" w:color="CCEEFF"/>
              <w:right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30"/>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NGL:</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Investment capital</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Maintenance capital</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2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3"/>
        </w:trPr>
        <w:tc>
          <w:tcPr>
            <w:tcW w:w="2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 capital</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29"/>
        </w:trPr>
        <w:tc>
          <w:tcPr>
            <w:tcW w:w="2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Maintenance capital</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2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 capital</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r>
      <w:tr>
        <w:trPr>
          <w:trHeight w:val="263"/>
        </w:trPr>
        <w:tc>
          <w:tcPr>
            <w:tcW w:w="2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22"/>
                <w:szCs w:val="22"/>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w:t>
            </w:r>
          </w:p>
        </w:tc>
      </w:tr>
      <w:tr>
        <w:trPr>
          <w:trHeight w:val="224"/>
        </w:trPr>
        <w:tc>
          <w:tcPr>
            <w:tcW w:w="2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right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r>
      <w:tr>
        <w:trPr>
          <w:trHeight w:val="175"/>
        </w:trPr>
        <w:tc>
          <w:tcPr>
            <w:tcW w:w="2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r>
    </w:tbl>
    <w:p>
      <w:pPr>
        <w:spacing w:after="0" w:line="117" w:lineRule="exact"/>
        <w:rPr>
          <w:sz w:val="20"/>
          <w:szCs w:val="20"/>
          <w:color w:val="auto"/>
        </w:rPr>
      </w:pPr>
    </w:p>
    <w:p>
      <w:pPr>
        <w:sectPr>
          <w:pgSz w:w="11900" w:h="16838" w:orient="portrait"/>
          <w:cols w:equalWidth="0" w:num="1">
            <w:col w:w="11180"/>
          </w:cols>
          <w:pgMar w:left="320" w:top="121" w:right="399" w:bottom="1440" w:gutter="0" w:footer="0" w:header="0"/>
        </w:sectPr>
      </w:pP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br w:type="column"/>
      </w:r>
    </w:p>
    <w:p>
      <w:pPr>
        <w:ind w:right="680" w:hanging="11"/>
        <w:spacing w:after="0" w:line="282" w:lineRule="auto"/>
        <w:rPr>
          <w:sz w:val="20"/>
          <w:szCs w:val="20"/>
          <w:color w:val="auto"/>
        </w:rPr>
      </w:pPr>
      <w:r>
        <w:rPr>
          <w:rFonts w:ascii="Times New Roman" w:cs="Times New Roman" w:eastAsia="Times New Roman" w:hAnsi="Times New Roman"/>
          <w:sz w:val="18"/>
          <w:szCs w:val="18"/>
          <w:color w:val="auto"/>
        </w:rPr>
        <w:t>Excludes expenditures attributable to noncontrolling interests, which primarily relate to the Permian JV. Includes results from continuing operations and discontinued operations for all periods presented.</w:t>
      </w:r>
    </w:p>
    <w:p>
      <w:pPr>
        <w:spacing w:after="0" w:line="54" w:lineRule="exact"/>
        <w:rPr>
          <w:sz w:val="20"/>
          <w:szCs w:val="20"/>
          <w:color w:val="auto"/>
        </w:rPr>
      </w:pPr>
    </w:p>
    <w:p>
      <w:pPr>
        <w:ind w:right="300" w:hanging="11"/>
        <w:spacing w:after="0" w:line="258" w:lineRule="auto"/>
        <w:rPr>
          <w:sz w:val="20"/>
          <w:szCs w:val="20"/>
          <w:color w:val="auto"/>
        </w:rPr>
      </w:pPr>
      <w:r>
        <w:rPr>
          <w:rFonts w:ascii="Times New Roman" w:cs="Times New Roman" w:eastAsia="Times New Roman" w:hAnsi="Times New Roman"/>
          <w:sz w:val="18"/>
          <w:szCs w:val="18"/>
          <w:color w:val="auto"/>
        </w:rPr>
        <w:t>Includes results from continuing operations and discontinued operations for all periods presented. Capital expenditures related to discontinued operations were $3 million and $11 million for investment and maintenance capital for the three months ended March 31, 2026, respectively. Capital expenditures for investment and maintenance capital related to discontinued operations were $41 million and $8 million for the three months ended March 31, 2025, respectively. There was no investment capital or acquisition capital related to discontinued operations for any period presented.</w:t>
      </w:r>
    </w:p>
    <w:p>
      <w:pPr>
        <w:spacing w:after="0" w:line="75" w:lineRule="exact"/>
        <w:rPr>
          <w:sz w:val="20"/>
          <w:szCs w:val="20"/>
          <w:color w:val="auto"/>
        </w:rPr>
      </w:pPr>
    </w:p>
    <w:p>
      <w:pPr>
        <w:jc w:val="both"/>
        <w:ind w:right="200" w:hanging="11"/>
        <w:spacing w:after="0" w:line="266" w:lineRule="auto"/>
        <w:rPr>
          <w:sz w:val="20"/>
          <w:szCs w:val="20"/>
          <w:color w:val="auto"/>
        </w:rPr>
      </w:pPr>
      <w:r>
        <w:rPr>
          <w:rFonts w:ascii="Times New Roman" w:cs="Times New Roman" w:eastAsia="Times New Roman" w:hAnsi="Times New Roman"/>
          <w:sz w:val="18"/>
          <w:szCs w:val="18"/>
          <w:color w:val="auto"/>
        </w:rPr>
        <w:t>Capital expenditures made to expand the existing operating and/or earnings capacity of our assets are classified as “Investment capital.” Capital expenditures made to replace and/or refurbish partially or fully depreciated assets in order to maintain the operating and/or earnings capacity of our existing assets are classified as “Maintenance capital.”</w:t>
      </w:r>
    </w:p>
    <w:p>
      <w:pPr>
        <w:spacing w:after="0" w:line="200" w:lineRule="exact"/>
        <w:rPr>
          <w:sz w:val="20"/>
          <w:szCs w:val="20"/>
          <w:color w:val="auto"/>
        </w:rPr>
      </w:pPr>
    </w:p>
    <w:p>
      <w:pPr>
        <w:sectPr>
          <w:pgSz w:w="11900" w:h="16838" w:orient="portrait"/>
          <w:cols w:equalWidth="0" w:num="2">
            <w:col w:w="140" w:space="520"/>
            <w:col w:w="10520"/>
          </w:cols>
          <w:pgMar w:left="320" w:top="121" w:right="399" w:bottom="1440" w:gutter="0" w:footer="0" w:header="0"/>
          <w:type w:val="continuous"/>
        </w:sectPr>
      </w:pPr>
    </w:p>
    <w:p>
      <w:pPr>
        <w:spacing w:after="0" w:line="200" w:lineRule="exact"/>
        <w:rPr>
          <w:sz w:val="20"/>
          <w:szCs w:val="20"/>
          <w:color w:val="auto"/>
        </w:rPr>
      </w:pPr>
    </w:p>
    <w:p>
      <w:pPr>
        <w:spacing w:after="0" w:line="2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right="280" w:hanging="652"/>
        <w:spacing w:after="0" w:line="235" w:lineRule="auto"/>
        <w:tabs>
          <w:tab w:leader="none" w:pos="648" w:val="left"/>
        </w:tabs>
        <w:numPr>
          <w:ilvl w:val="0"/>
          <w:numId w:val="3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Contributions to unconsolidated entities, accounted for under the equity method of accounting, that are related to investment capital projects by such entities are recognized in “Investment capital.” Acquisitions of initial investments or additional interests in unconsolidated entities are included in “Acquisition capital.”</w:t>
      </w:r>
    </w:p>
    <w:p>
      <w:pPr>
        <w:spacing w:after="0" w:line="90"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Projected 2026 Capital Expenditures. </w:t>
      </w:r>
      <w:r>
        <w:rPr>
          <w:rFonts w:ascii="Times New Roman" w:cs="Times New Roman" w:eastAsia="Times New Roman" w:hAnsi="Times New Roman"/>
          <w:sz w:val="18"/>
          <w:szCs w:val="18"/>
          <w:color w:val="auto"/>
        </w:rPr>
        <w:t>Total investment capital for the year ending December 31, 2026 is currently projected to be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$440 million ($350 million net to our interest), which includes approximately $15 million related to discontinued operations. Approximately half of our projected investment capital expenditures are expected to be invested in the Permian JV assets. Additionally, maintenance capital for 2026 is currently projected to be approximately $205 million ($185 million net to our interest), which includes approximately $30 million related to discontinued operations. Note that potential variation to current capital cost estimates may result from (i) changes to project design, (ii) final cost of materials and labor, (iii) timing of incurrence of costs due to uncontrollable factors such as receipt of permits or regulatory approvals and weather and (iv) timely closing of the Canadian NGL Business divestiture.</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Pending Sale of Canadian NGL Business</w:t>
      </w:r>
    </w:p>
    <w:p>
      <w:pPr>
        <w:spacing w:after="0" w:line="25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June 17, 2025, we entered into a definitive SPA with Keyera, pursuant to which Keyera agreed to acquire all of the issued and outstanding shares of PMC ULC, our wholly-owned subsidiary that owns substantially all of the Canadian NGL Business. This transaction is expected to close in May 2026. We expect to receive net proceeds from the sale of approximately $3.3 billion, after taxes and expenses. Any proceeds from the pending sale of the Canadian NGL Business will be used to reduce leverage, including outstanding borrowings under our commercial paper program and term loan. See Note 1 to our Condensed Consolidated Financial Statements for additional information regarding the pending sale of the Canadian NGL Business.</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Ongoing Activities Related to Strategic Transactions</w:t>
      </w:r>
    </w:p>
    <w:p>
      <w:pPr>
        <w:spacing w:after="0" w:line="25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are continuously engaged in the evaluation of potential transactions that support our current business strategy. In the past, such transactions have included the acquisition of assets that complement our existing footprint, the sale of non-core assets, the sale of partial interests in assets to strategic joint venture partners, and large investment capital projects. With respect to a potential acquisition or divestiture, we may conduct an auction process or participate in an auction process conducted by a third-party or we may negotiate a transaction with one or a limited number of potential sellers (in the case of an acquisition) or buyers (in the case of a divestiture). Such transactions could have a material effect on our financial condition and results of operations.</w:t>
      </w:r>
    </w:p>
    <w:p>
      <w:pPr>
        <w:spacing w:after="0" w:line="210"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We typically do not announce a transaction until after we have executed a definitive agreement.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efforts with respect to any such transactions will be successful, and we can provide no assurance that our financial expectations with respect to such transactions will ultimately be realized. See Item 1A. “Risk Factors—Risks Related to Our Business—Acquisitions and divestitures involve risks that may adversely affect our business” included in our 2025 Annual Report on Form 10-K.</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56"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Our financing activities primarily relate to funding investment capital projects, acquisitions and refinancing of our debt maturities, as well as short-term working capital (including borrowings for NYMEX and ICE margin deposits) and hedged inventory borrowings related to our NGL business and contango market activities, and the payment of distributions to our unitholders and noncontrolling interests.</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Borrowings and Repayments Under Credit Agreements and Term Loan</w:t>
      </w:r>
    </w:p>
    <w:p>
      <w:pPr>
        <w:spacing w:after="0" w:line="256" w:lineRule="exact"/>
        <w:rPr>
          <w:sz w:val="20"/>
          <w:szCs w:val="20"/>
          <w:color w:val="auto"/>
        </w:rPr>
      </w:pPr>
    </w:p>
    <w:p>
      <w:pPr>
        <w:jc w:val="both"/>
        <w:ind w:right="380"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and 2025, we had net borrowings under our credit facilities and commercial paper program of $116 million and $71 million, respectively. The net borrowings resulted primarily from funding needs for capital investments, inventory purchases and other general partnership purposes.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Common Equity Repurchase Program</w:t>
      </w:r>
    </w:p>
    <w:p>
      <w:pPr>
        <w:spacing w:after="0" w:line="256" w:lineRule="exact"/>
        <w:rPr>
          <w:sz w:val="20"/>
          <w:szCs w:val="20"/>
          <w:color w:val="auto"/>
        </w:rPr>
      </w:pPr>
    </w:p>
    <w:p>
      <w:pPr>
        <w:jc w:val="both"/>
        <w:ind w:right="320" w:firstLine="648"/>
        <w:spacing w:after="0" w:line="266" w:lineRule="auto"/>
        <w:rPr>
          <w:sz w:val="20"/>
          <w:szCs w:val="20"/>
          <w:color w:val="auto"/>
        </w:rPr>
      </w:pPr>
      <w:r>
        <w:rPr>
          <w:rFonts w:ascii="Times New Roman" w:cs="Times New Roman" w:eastAsia="Times New Roman" w:hAnsi="Times New Roman"/>
          <w:sz w:val="18"/>
          <w:szCs w:val="18"/>
          <w:color w:val="auto"/>
        </w:rPr>
        <w:t>There were no repurchases under the Common Equity Repurchase Program (the “Program”) during the three months ended March 31, 2026 or 2025. At March 31, 2026, the remaining available capacity under the Program was $190 million. See Note 12 to our Consolidated Financial Statements included in Part IV of our 2025 Annual Report on Form 10-K for additional information regarding the Program.</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Registration Statements</w:t>
      </w:r>
    </w:p>
    <w:p>
      <w:pPr>
        <w:spacing w:after="0" w:line="25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periodically access the capital markets for both equity and debt financing. We have filed with the SEC a shelf registration statement that, subject to effectiveness at the time of use, allows us to issue up to a specified amount of debt or equity securities (“Traditional Shelf”), under which we had approximately $1.1 billion of unsold securities available at March 31, 2026. We also have access to a universal shelf registration statement (“WKSI Shelf”), which provides us with the ability to offer and sell an unlimited amount of debt and equity securities, subject to market conditions and our capital needs. We did not conduct any offerings under our Traditional Shelf or WKSI Shelf during the three months ended March 31, 2026.</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Distributions to Our Unitholders</w:t>
      </w:r>
    </w:p>
    <w:p>
      <w:pPr>
        <w:spacing w:after="0" w:line="254" w:lineRule="exact"/>
        <w:rPr>
          <w:sz w:val="20"/>
          <w:szCs w:val="20"/>
          <w:color w:val="auto"/>
        </w:rPr>
      </w:pPr>
    </w:p>
    <w:p>
      <w:pPr>
        <w:ind w:right="1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Series A preferred unitholders. </w:t>
      </w:r>
      <w:r>
        <w:rPr>
          <w:rFonts w:ascii="Times New Roman" w:cs="Times New Roman" w:eastAsia="Times New Roman" w:hAnsi="Times New Roman"/>
          <w:sz w:val="18"/>
          <w:szCs w:val="18"/>
          <w:color w:val="auto"/>
        </w:rPr>
        <w:t>On May 15, 2026, we will pay a quarterly cash distribution of approximately $0.615 per unit to Series A preferred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unitholders of record at the close of business on May 1, 2026 for the period from January 1, 2026 through March 31, 2026.</w:t>
      </w:r>
    </w:p>
    <w:p>
      <w:pPr>
        <w:spacing w:after="0" w:line="185" w:lineRule="exact"/>
        <w:rPr>
          <w:sz w:val="20"/>
          <w:szCs w:val="20"/>
          <w:color w:val="auto"/>
        </w:rPr>
      </w:pPr>
    </w:p>
    <w:p>
      <w:pPr>
        <w:ind w:right="1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Series B preferred unitholders. </w:t>
      </w:r>
      <w:r>
        <w:rPr>
          <w:rFonts w:ascii="Times New Roman" w:cs="Times New Roman" w:eastAsia="Times New Roman" w:hAnsi="Times New Roman"/>
          <w:sz w:val="18"/>
          <w:szCs w:val="18"/>
          <w:color w:val="auto"/>
        </w:rPr>
        <w:t>On May 15, 2026, we will pay a quarterly cash distribution of approximately $19.84 per unit to Series B preferred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unitholders of record at the close of business on May 1, 2026 for the period from February 15, 2026 through May 14, 2026.</w:t>
      </w:r>
    </w:p>
    <w:p>
      <w:pPr>
        <w:spacing w:after="0" w:line="185" w:lineRule="exact"/>
        <w:rPr>
          <w:sz w:val="20"/>
          <w:szCs w:val="20"/>
          <w:color w:val="auto"/>
        </w:rPr>
      </w:pPr>
    </w:p>
    <w:p>
      <w:pPr>
        <w:ind w:right="2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Common Unitholders</w:t>
      </w:r>
      <w:r>
        <w:rPr>
          <w:rFonts w:ascii="Times New Roman" w:cs="Times New Roman" w:eastAsia="Times New Roman" w:hAnsi="Times New Roman"/>
          <w:sz w:val="18"/>
          <w:szCs w:val="18"/>
          <w:color w:val="auto"/>
        </w:rPr>
        <w:t>. On May 15, 2026, we will pay a quarterly cash distribution of $0.4175 per common unit ($1.67 per unit on an annualized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basis) to common unitholders of record at the close of business on May 1, 2026 for the period from January 1, 2026 through March 31, 2026.</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7 to our Condensed Consolidated Financial Statements for details of distributions paid during or pertaining to the first three months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w:t>
      </w:r>
    </w:p>
    <w:p>
      <w:pPr>
        <w:spacing w:after="0" w:line="2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Distributions to Noncontrolling Interests</w:t>
      </w:r>
    </w:p>
    <w:p>
      <w:pPr>
        <w:spacing w:after="0" w:line="25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Distributions to noncontrolling interests represent amounts paid on interests in consolidated entities that are not owned by us. As of March 31, 2026, noncontrolling interests in our subsidiaries consisted of (i) a 35% interest in the Permian JV, (ii) a 30% interest in Cactus II and (iii) a 33% interest in Red River. See Note 7 to our Condensed Consolidated Financial Statements for details of distributions paid to noncontrolling interests during the three months ended March 31,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a discussion of contingencies that may impact us, see Note 10 to our Condensed Consolidated Financial Statements.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227" w:lineRule="exact"/>
        <w:rPr>
          <w:sz w:val="20"/>
          <w:szCs w:val="20"/>
          <w:color w:val="auto"/>
        </w:rPr>
      </w:pPr>
    </w:p>
    <w:p>
      <w:pPr>
        <w:ind w:right="16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Purchase Obligations. </w:t>
      </w:r>
      <w:r>
        <w:rPr>
          <w:rFonts w:ascii="Times New Roman" w:cs="Times New Roman" w:eastAsia="Times New Roman" w:hAnsi="Times New Roman"/>
          <w:sz w:val="18"/>
          <w:szCs w:val="18"/>
          <w:color w:val="auto"/>
        </w:rPr>
        <w:t>In the ordinary course of doing business, we purchase crude oil from third parties under contracts, the majority of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range in term from thirty-day evergreen to five years, with a limited number of contracts with remaining terms extending up to 10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We do not expect to use a significant amount of internal capital to meet these obligations, as the obligations will be funded by corresponding sales to entities that we deem creditworthy or who have provided credit support we consider adequate.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includes our best estimate of the amount and timing of these payments as of March 31, 2026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116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Remainder of</w:t>
            </w:r>
          </w:p>
        </w:tc>
        <w:tc>
          <w:tcPr>
            <w:tcW w:w="240" w:type="dxa"/>
            <w:vAlign w:val="bottom"/>
          </w:tcPr>
          <w:p>
            <w:pPr>
              <w:spacing w:after="0"/>
              <w:rPr>
                <w:sz w:val="13"/>
                <w:szCs w:val="13"/>
                <w:color w:val="auto"/>
              </w:rPr>
            </w:pPr>
          </w:p>
        </w:tc>
        <w:tc>
          <w:tcPr>
            <w:tcW w:w="80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2028</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2030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2031 and</w:t>
            </w:r>
          </w:p>
        </w:tc>
        <w:tc>
          <w:tcPr>
            <w:tcW w:w="240" w:type="dxa"/>
            <w:vAlign w:val="bottom"/>
          </w:tcPr>
          <w:p>
            <w:pPr>
              <w:spacing w:after="0"/>
              <w:rPr>
                <w:sz w:val="13"/>
                <w:szCs w:val="13"/>
                <w:color w:val="auto"/>
              </w:rPr>
            </w:pPr>
          </w:p>
        </w:tc>
        <w:tc>
          <w:tcPr>
            <w:tcW w:w="820" w:type="dxa"/>
            <w:vAlign w:val="bottom"/>
            <w:vMerge w:val="restart"/>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280" w:type="dxa"/>
            <w:vAlign w:val="bottom"/>
            <w:tcBorders>
              <w:top w:val="single" w:sz="8" w:color="CCEEFF"/>
            </w:tcBorders>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Crude oil and other purchases </w:t>
            </w:r>
            <w:r>
              <w:rPr>
                <w:rFonts w:ascii="Times New Roman" w:cs="Times New Roman" w:eastAsia="Times New Roman" w:hAnsi="Times New Roman"/>
                <w:sz w:val="23"/>
                <w:szCs w:val="23"/>
                <w:color w:val="auto"/>
                <w:vertAlign w:val="superscript"/>
              </w:rPr>
              <w:t>(1)</w:t>
            </w: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28,719</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27,559</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43,525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177,690</w:t>
            </w:r>
          </w:p>
        </w:tc>
        <w:tc>
          <w:tcPr>
            <w:tcW w:w="0" w:type="dxa"/>
            <w:vAlign w:val="bottom"/>
          </w:tcPr>
          <w:p>
            <w:pPr>
              <w:spacing w:after="0"/>
              <w:rPr>
                <w:sz w:val="1"/>
                <w:szCs w:val="1"/>
                <w:color w:val="auto"/>
              </w:rPr>
            </w:pPr>
          </w:p>
        </w:tc>
      </w:tr>
      <w:tr>
        <w:trPr>
          <w:trHeight w:val="175"/>
        </w:trPr>
        <w:tc>
          <w:tcPr>
            <w:tcW w:w="32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660" w:right="40" w:hanging="652"/>
        <w:spacing w:after="0" w:line="235" w:lineRule="auto"/>
        <w:tabs>
          <w:tab w:leader="none" w:pos="648" w:val="left"/>
        </w:tabs>
        <w:numPr>
          <w:ilvl w:val="0"/>
          <w:numId w:val="3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are primarily based on estimated volumes and market prices based on average activity during March 2026.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pacing w:after="0" w:line="225" w:lineRule="exact"/>
        <w:rPr>
          <w:sz w:val="20"/>
          <w:szCs w:val="20"/>
          <w:color w:val="auto"/>
        </w:rPr>
      </w:pPr>
    </w:p>
    <w:p>
      <w:pPr>
        <w:ind w:right="22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Letters of Credit. </w:t>
      </w:r>
      <w:r>
        <w:rPr>
          <w:rFonts w:ascii="Times New Roman" w:cs="Times New Roman" w:eastAsia="Times New Roman" w:hAnsi="Times New Roman"/>
          <w:sz w:val="18"/>
          <w:szCs w:val="18"/>
          <w:color w:val="auto"/>
        </w:rPr>
        <w:t>In connection with our merchant activities, we provide certain suppliers with irrevocable standby letters of credit to secure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 for the purchase and transportation of crude oil and NGL. Our liabilities with respect to these purchase obligations are recorded in accounts payable on our balance sheet in the month the product is purchased. Generally, these letters of credit are issued for periods of up to seventy days and are terminated upon completion of each transaction. Additionally, we issue letters of credit to support insurance programs, derivative transactions, including hedging-related margin obligations, and construction activities. At March 31, 2026 and December 31, 2025, we had outstanding letters of credit of approximately $118 million and $95 million, respectively.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1 to our Condensed Consolidated Financial Statements.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214" w:lineRule="exact"/>
        <w:rPr>
          <w:sz w:val="20"/>
          <w:szCs w:val="20"/>
          <w:color w:val="auto"/>
        </w:rPr>
      </w:pPr>
    </w:p>
    <w:p>
      <w:pPr>
        <w:ind w:left="980" w:right="200" w:hanging="324"/>
        <w:spacing w:after="0" w:line="266" w:lineRule="auto"/>
        <w:tabs>
          <w:tab w:leader="none" w:pos="9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Canadian NGL Business divestiture (as defined herein), including the risk that the Canadian NGL Business divestiture is not consummated on the terms expected or on the anticipated schedule, or at all, and the effect of the announcement or pendency of the Canadian NGL Business divestiture on our business relationships, operating results, employees, stakeholders and business generally;</w:t>
      </w:r>
    </w:p>
    <w:p>
      <w:pPr>
        <w:spacing w:after="0" w:line="67" w:lineRule="exact"/>
        <w:rPr>
          <w:rFonts w:ascii="Times New Roman" w:cs="Times New Roman" w:eastAsia="Times New Roman" w:hAnsi="Times New Roman"/>
          <w:sz w:val="18"/>
          <w:szCs w:val="18"/>
          <w:color w:val="auto"/>
        </w:rPr>
      </w:pPr>
    </w:p>
    <w:p>
      <w:pPr>
        <w:ind w:left="980" w:right="20" w:hanging="324"/>
        <w:spacing w:after="0" w:line="258" w:lineRule="auto"/>
        <w:tabs>
          <w:tab w:leader="none" w:pos="9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market or business conditions in the United States and elsewhere (including the potential for a recession or significant slowdown in economic activity levels, the risk of persistently high inflation and supply chain issues, the impact of global public health events, such as pandemics, on demand and growth, and the timing, pace and extent of economic recovery) that impact (i) demand for crude oil, drilling and production activities and therefore the demand for the midstream services we provide and (ii) commercial opportunities available to us;</w:t>
      </w:r>
    </w:p>
    <w:p>
      <w:pPr>
        <w:spacing w:after="0" w:line="75" w:lineRule="exact"/>
        <w:rPr>
          <w:rFonts w:ascii="Times New Roman" w:cs="Times New Roman" w:eastAsia="Times New Roman" w:hAnsi="Times New Roman"/>
          <w:sz w:val="18"/>
          <w:szCs w:val="18"/>
          <w:color w:val="auto"/>
        </w:rPr>
      </w:pPr>
    </w:p>
    <w:p>
      <w:pPr>
        <w:ind w:left="980" w:right="40" w:hanging="324"/>
        <w:spacing w:after="0" w:line="256" w:lineRule="auto"/>
        <w:tabs>
          <w:tab w:leader="none" w:pos="9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global crude oil demand and/or crude oil prices or other factors that correspondingly lead to a significant reduction of North American crude oil and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the margins we can earn or the commercial opportunities that might otherwise be available to us;</w:t>
      </w:r>
    </w:p>
    <w:p>
      <w:pPr>
        <w:spacing w:after="0" w:line="79" w:lineRule="exact"/>
        <w:rPr>
          <w:rFonts w:ascii="Times New Roman" w:cs="Times New Roman" w:eastAsia="Times New Roman" w:hAnsi="Times New Roman"/>
          <w:sz w:val="18"/>
          <w:szCs w:val="18"/>
          <w:color w:val="auto"/>
        </w:rPr>
      </w:pPr>
    </w:p>
    <w:p>
      <w:pPr>
        <w:ind w:left="980" w:right="520" w:hanging="324"/>
        <w:spacing w:after="0" w:line="282" w:lineRule="auto"/>
        <w:tabs>
          <w:tab w:leader="none" w:pos="9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of global geopolitical events, including conflicts in the Middle East and elsewhere, on commodity price volatility and crude oil supply and demand, as well as broader impacts on financial markets and the global macroeconomic environment;</w:t>
      </w:r>
    </w:p>
    <w:p>
      <w:pPr>
        <w:spacing w:after="0" w:line="53" w:lineRule="exact"/>
        <w:rPr>
          <w:rFonts w:ascii="Times New Roman" w:cs="Times New Roman" w:eastAsia="Times New Roman" w:hAnsi="Times New Roman"/>
          <w:sz w:val="18"/>
          <w:szCs w:val="18"/>
          <w:color w:val="auto"/>
        </w:rPr>
      </w:pPr>
    </w:p>
    <w:p>
      <w:pPr>
        <w:ind w:left="980" w:right="140" w:hanging="324"/>
        <w:spacing w:after="0" w:line="282" w:lineRule="auto"/>
        <w:tabs>
          <w:tab w:leader="none" w:pos="9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refinery capacity and other factors affecting demand for various grades of crude oil and NGL and resulting changes in pricing conditions or transportation throughput requirements;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crude oil and NGL market structure, grade differentials and volatility (or lack thereof);</w:t>
      </w:r>
    </w:p>
    <w:p>
      <w:pPr>
        <w:spacing w:after="0" w:line="117" w:lineRule="exact"/>
        <w:rPr>
          <w:rFonts w:ascii="Times New Roman" w:cs="Times New Roman" w:eastAsia="Times New Roman" w:hAnsi="Times New Roman"/>
          <w:sz w:val="18"/>
          <w:szCs w:val="18"/>
          <w:color w:val="auto"/>
        </w:rPr>
      </w:pPr>
    </w:p>
    <w:p>
      <w:pPr>
        <w:ind w:left="980" w:right="240" w:hanging="324"/>
        <w:spacing w:after="0" w:line="266" w:lineRule="auto"/>
        <w:tabs>
          <w:tab w:leader="none" w:pos="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and capacity overbuild in areas where we operate, including downward pressure on rates, volumes and margins, contract renewal risk and the risk of loss of business to other midstream operators who are willing or under pressure to aggressively reduce transportation rates in order to capture or preserve customers;</w:t>
      </w:r>
    </w:p>
    <w:p>
      <w:pPr>
        <w:spacing w:after="0" w:line="67"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and our ability to consummate, acquisitions, divestitures, joint ventures or other strategic opportunities and realize benefits therefrom, including the Canadian NGL Business divestiture (as defined herein);</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liabilities, litigation or other events that are not covered by an indemnity, insurance or existing reserves;</w:t>
      </w:r>
    </w:p>
    <w:p>
      <w:pPr>
        <w:spacing w:after="0" w:line="117" w:lineRule="exact"/>
        <w:rPr>
          <w:rFonts w:ascii="Times New Roman" w:cs="Times New Roman" w:eastAsia="Times New Roman" w:hAnsi="Times New Roman"/>
          <w:sz w:val="18"/>
          <w:szCs w:val="18"/>
          <w:color w:val="auto"/>
        </w:rPr>
      </w:pPr>
    </w:p>
    <w:p>
      <w:pPr>
        <w:ind w:left="980" w:right="340" w:hanging="324"/>
        <w:spacing w:after="0" w:line="282" w:lineRule="auto"/>
        <w:tabs>
          <w:tab w:leader="none" w:pos="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societal sentiment regarding the hydrocarbon energy industry and the continued development and consumption of hydrocarbons, which could influence consumer preferences and governmental or regulatory actions that adversely impact our business;</w:t>
      </w:r>
    </w:p>
    <w:p>
      <w:pPr>
        <w:spacing w:after="0" w:line="53" w:lineRule="exact"/>
        <w:rPr>
          <w:rFonts w:ascii="Times New Roman" w:cs="Times New Roman" w:eastAsia="Times New Roman" w:hAnsi="Times New Roman"/>
          <w:sz w:val="18"/>
          <w:szCs w:val="18"/>
          <w:color w:val="auto"/>
        </w:rPr>
      </w:pPr>
    </w:p>
    <w:p>
      <w:pPr>
        <w:ind w:left="980" w:right="360" w:hanging="324"/>
        <w:spacing w:after="0" w:line="282" w:lineRule="auto"/>
        <w:tabs>
          <w:tab w:leader="none" w:pos="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natural disaster, catastrophe, terrorist attack (including eco-terrorist attacks) or other event that materially impacts our operations, including cyber or other attacks on our or our service providers’ electronic and computer systems;</w:t>
      </w:r>
    </w:p>
    <w:p>
      <w:pPr>
        <w:spacing w:after="0" w:line="53"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interference with business operations or project construction, including the impact of extreme weather events or conditions (including hurricanes, floods, wildfires and drought);</w:t>
      </w:r>
    </w:p>
    <w:p>
      <w:pPr>
        <w:spacing w:after="0" w:line="53" w:lineRule="exact"/>
        <w:rPr>
          <w:rFonts w:ascii="Times New Roman" w:cs="Times New Roman" w:eastAsia="Times New Roman" w:hAnsi="Times New Roman"/>
          <w:sz w:val="18"/>
          <w:szCs w:val="18"/>
          <w:color w:val="auto"/>
        </w:rPr>
      </w:pPr>
    </w:p>
    <w:p>
      <w:pPr>
        <w:ind w:left="980" w:right="100" w:hanging="324"/>
        <w:spacing w:after="0" w:line="261" w:lineRule="auto"/>
        <w:tabs>
          <w:tab w:leader="none" w:pos="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current and future laws, rulings, legislation, governmental regulations, executive orders, trade policies, trade tariffs, accounting standards and statements, and related interpretations that (i) prohibit, restrict or regulate the development of oil and gas resources and the related infrastructure on lands dedicated to or served by our pipelines, (ii) negatively impact our ability to develop, operate or repair midstream assets, or (iii) otherwise negatively impact our business or increase our exposure to risk;</w:t>
      </w:r>
    </w:p>
    <w:p>
      <w:pPr>
        <w:spacing w:after="0" w:line="71" w:lineRule="exact"/>
        <w:rPr>
          <w:rFonts w:ascii="Times New Roman" w:cs="Times New Roman" w:eastAsia="Times New Roman" w:hAnsi="Times New Roman"/>
          <w:sz w:val="18"/>
          <w:szCs w:val="18"/>
          <w:color w:val="auto"/>
        </w:rPr>
      </w:pPr>
    </w:p>
    <w:p>
      <w:pPr>
        <w:ind w:left="980" w:right="200" w:hanging="324"/>
        <w:spacing w:after="0" w:line="266" w:lineRule="auto"/>
        <w:tabs>
          <w:tab w:leader="none" w:pos="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impacts on production levels in the Permian Basin or elsewhere due to issues associated with (or laws, rules or regulations relating to) hydraulic fracturing and related activities (including wastewater injection or disposal), including earthquakes, subsidence, expansion or other issues;</w:t>
      </w:r>
    </w:p>
    <w:p>
      <w:pPr>
        <w:spacing w:after="0" w:line="6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pace of development of natural gas or other infrastructure and its impact on expected crude oil production growth in the Permian Basin;</w:t>
      </w:r>
    </w:p>
    <w:p>
      <w:pPr>
        <w:spacing w:after="0" w:line="117" w:lineRule="exact"/>
        <w:rPr>
          <w:rFonts w:ascii="Times New Roman" w:cs="Times New Roman" w:eastAsia="Times New Roman" w:hAnsi="Times New Roman"/>
          <w:sz w:val="18"/>
          <w:szCs w:val="18"/>
          <w:color w:val="auto"/>
        </w:rPr>
      </w:pPr>
    </w:p>
    <w:p>
      <w:pPr>
        <w:ind w:left="980" w:right="340" w:hanging="324"/>
        <w:spacing w:after="0" w:line="258" w:lineRule="auto"/>
        <w:tabs>
          <w:tab w:leader="none" w:pos="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spacing w:after="0" w:line="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personnel and inability to attract and retain new talent;</w:t>
      </w:r>
    </w:p>
    <w:p>
      <w:pPr>
        <w:spacing w:after="0" w:line="117" w:lineRule="exact"/>
        <w:rPr>
          <w:rFonts w:ascii="Times New Roman" w:cs="Times New Roman" w:eastAsia="Times New Roman" w:hAnsi="Times New Roman"/>
          <w:sz w:val="18"/>
          <w:szCs w:val="18"/>
          <w:color w:val="auto"/>
        </w:rPr>
      </w:pPr>
    </w:p>
    <w:p>
      <w:pPr>
        <w:ind w:left="980" w:right="200" w:hanging="324"/>
        <w:spacing w:after="0" w:line="282" w:lineRule="auto"/>
        <w:tabs>
          <w:tab w:leader="none" w:pos="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futures markets for crude oil, NGL and other petroleum products, which may impair our ability to execute our commercial or hedging strategies;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risk management activities;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or cost increases of supplies, materials or labor;</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our credit ratings and ability to receive open credit from our suppliers and trade counterparties;</w:t>
      </w:r>
    </w:p>
    <w:p>
      <w:pPr>
        <w:spacing w:after="0" w:line="117" w:lineRule="exact"/>
        <w:rPr>
          <w:rFonts w:ascii="Times New Roman" w:cs="Times New Roman" w:eastAsia="Times New Roman" w:hAnsi="Times New Roman"/>
          <w:sz w:val="18"/>
          <w:szCs w:val="18"/>
          <w:color w:val="auto"/>
        </w:rPr>
      </w:pPr>
    </w:p>
    <w:p>
      <w:pPr>
        <w:ind w:left="980" w:right="80" w:hanging="324"/>
        <w:spacing w:after="0" w:line="266" w:lineRule="auto"/>
        <w:tabs>
          <w:tab w:leader="none" w:pos="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spacing w:after="0" w:line="67" w:lineRule="exact"/>
        <w:rPr>
          <w:rFonts w:ascii="Times New Roman" w:cs="Times New Roman" w:eastAsia="Times New Roman" w:hAnsi="Times New Roman"/>
          <w:sz w:val="18"/>
          <w:szCs w:val="18"/>
          <w:color w:val="auto"/>
        </w:rPr>
      </w:pPr>
    </w:p>
    <w:p>
      <w:pPr>
        <w:ind w:left="980" w:right="420" w:hanging="324"/>
        <w:spacing w:after="0" w:line="282" w:lineRule="auto"/>
        <w:tabs>
          <w:tab w:leader="none" w:pos="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costs and expenses related to unexpected or unplanned capital or maintenance expenditures, third-party claims or other factors;</w:t>
      </w:r>
    </w:p>
    <w:p>
      <w:pPr>
        <w:spacing w:after="0" w:line="53"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implement or capitalize, or delays in implementing or capitalizing, on investment capital projects, whether due to permitting delays, permitting withdrawals or other factors;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implement or realize anticipated benefits from operational and organizational streamlining and efficiency efforts and initiatives;</w:t>
      </w:r>
    </w:p>
    <w:p>
      <w:pPr>
        <w:spacing w:after="0" w:line="117" w:lineRule="exact"/>
        <w:rPr>
          <w:rFonts w:ascii="Times New Roman" w:cs="Times New Roman" w:eastAsia="Times New Roman" w:hAnsi="Times New Roman"/>
          <w:sz w:val="18"/>
          <w:szCs w:val="18"/>
          <w:color w:val="auto"/>
        </w:rPr>
      </w:pPr>
    </w:p>
    <w:p>
      <w:pPr>
        <w:ind w:left="980" w:hanging="324"/>
        <w:spacing w:after="0" w:line="266" w:lineRule="auto"/>
        <w:tabs>
          <w:tab w:leader="none" w:pos="9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spacing w:after="0" w:line="6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amplification of other risks caused by volatile or closed financial markets, capital constraints, liquidity concerns and inflation;</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or availability of third-party assets upon which our operations depend and over which we have little or no control;</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exchange rate of the Canadian dollar to the United States dollar;</w:t>
      </w:r>
    </w:p>
    <w:p>
      <w:pPr>
        <w:spacing w:after="0" w:line="117" w:lineRule="exact"/>
        <w:rPr>
          <w:rFonts w:ascii="Times New Roman" w:cs="Times New Roman" w:eastAsia="Times New Roman" w:hAnsi="Times New Roman"/>
          <w:sz w:val="18"/>
          <w:szCs w:val="18"/>
          <w:color w:val="auto"/>
        </w:rPr>
      </w:pPr>
    </w:p>
    <w:p>
      <w:pPr>
        <w:ind w:left="980" w:right="520" w:hanging="324"/>
        <w:spacing w:after="0" w:line="282" w:lineRule="auto"/>
        <w:tabs>
          <w:tab w:leader="none" w:pos="9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deferral of current revenue recognition attributable to deficiency payments received from customers who fail to ship or move their minimum contracted volumes;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under-utilization of our assets and facilities;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or lack of availability, of insurance;</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debt and equity markets, including the price of our units at the time of vesting under our long-term incentive plans;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development and operation of our assets; and</w:t>
      </w:r>
    </w:p>
    <w:p>
      <w:pPr>
        <w:spacing w:after="0" w:line="117"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9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and uncertainties inherent in the transportation, storage, terminalling and marketing of crude oil, as well as in the processing, transportation, fractionation, storage and marketing of NGL.</w:t>
      </w:r>
    </w:p>
    <w:p>
      <w:pPr>
        <w:spacing w:after="0" w:line="162"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Other factors described herein, as well as factors that are unknown or unpredictable, could also have a material adverse effect on future results. Please read “Risk Factors” discussed in Item 1A of our 2025 Annual Report on Form 10-K. Except as required by applicable securities laws, we do not intend to update these forward-looking statements and information.</w:t>
      </w:r>
    </w:p>
    <w:p>
      <w:pPr>
        <w:spacing w:after="0" w:line="200" w:lineRule="exact"/>
        <w:rPr>
          <w:sz w:val="20"/>
          <w:szCs w:val="20"/>
          <w:color w:val="auto"/>
        </w:rPr>
      </w:pPr>
    </w:p>
    <w:p>
      <w:pPr>
        <w:spacing w:after="0" w:line="35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are exposed to various market risks, including commodity price risk, interest rate risk and currency exchange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use derivative instruments to hedge price risk associated with the following:</w:t>
      </w:r>
    </w:p>
    <w:p>
      <w:pPr>
        <w:spacing w:after="0" w:line="223" w:lineRule="exact"/>
        <w:rPr>
          <w:sz w:val="20"/>
          <w:szCs w:val="20"/>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Crude oil</w:t>
      </w:r>
    </w:p>
    <w:p>
      <w:pPr>
        <w:spacing w:after="0" w:line="227" w:lineRule="exact"/>
        <w:rPr>
          <w:sz w:val="20"/>
          <w:szCs w:val="20"/>
          <w:color w:val="auto"/>
        </w:rPr>
      </w:pPr>
    </w:p>
    <w:p>
      <w:pPr>
        <w:ind w:left="1300" w:right="120"/>
        <w:spacing w:after="0" w:line="261" w:lineRule="auto"/>
        <w:rPr>
          <w:sz w:val="20"/>
          <w:szCs w:val="20"/>
          <w:color w:val="auto"/>
        </w:rPr>
      </w:pPr>
      <w:r>
        <w:rPr>
          <w:rFonts w:ascii="Times New Roman" w:cs="Times New Roman" w:eastAsia="Times New Roman" w:hAnsi="Times New Roman"/>
          <w:sz w:val="18"/>
          <w:szCs w:val="18"/>
          <w:color w:val="auto"/>
        </w:rPr>
        <w:t>We utilize crude oil derivatives to hedge commodity price risk inherent in our pipeline, terminalling and merchant activities. Our objectives for these derivatives include hedging changes in inventory positions associated with our lease gathering activities, anticipated purchases and sales, stored inventory and basis differentials. We manage these exposures with various instruments including futures, forwards, swaps and options.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8 to our Condensed Consolidated Financial Statements for further discussion regarding our hedging strategies and objectives.</w:t>
      </w:r>
    </w:p>
    <w:p>
      <w:pPr>
        <w:spacing w:after="0" w:line="25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our commodity derivatives and the change in fair value as of March 31, 2026 that would be expected from a 10% price increase or decrease is shown in the table below (in millions):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Effect of 10%</w:t>
            </w:r>
          </w:p>
        </w:tc>
        <w:tc>
          <w:tcPr>
            <w:tcW w:w="200" w:type="dxa"/>
            <w:vAlign w:val="bottom"/>
          </w:tcPr>
          <w:p>
            <w:pPr>
              <w:spacing w:after="0"/>
              <w:rPr>
                <w:sz w:val="13"/>
                <w:szCs w:val="13"/>
                <w:color w:val="auto"/>
              </w:rPr>
            </w:pPr>
          </w:p>
        </w:tc>
        <w:tc>
          <w:tcPr>
            <w:tcW w:w="124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Effect of 10%</w:t>
            </w:r>
          </w:p>
        </w:tc>
        <w:tc>
          <w:tcPr>
            <w:tcW w:w="0" w:type="dxa"/>
            <w:vAlign w:val="bottom"/>
          </w:tcPr>
          <w:p>
            <w:pPr>
              <w:spacing w:after="0"/>
              <w:rPr>
                <w:sz w:val="1"/>
                <w:szCs w:val="1"/>
                <w:color w:val="auto"/>
              </w:rPr>
            </w:pPr>
          </w:p>
        </w:tc>
      </w:tr>
      <w:tr>
        <w:trPr>
          <w:trHeight w:val="195"/>
        </w:trPr>
        <w:tc>
          <w:tcPr>
            <w:tcW w:w="67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Price Increase</w:t>
            </w:r>
          </w:p>
        </w:tc>
        <w:tc>
          <w:tcPr>
            <w:tcW w:w="200" w:type="dxa"/>
            <w:vAlign w:val="bottom"/>
          </w:tcPr>
          <w:p>
            <w:pPr>
              <w:spacing w:after="0"/>
              <w:rPr>
                <w:sz w:val="16"/>
                <w:szCs w:val="16"/>
                <w:color w:val="auto"/>
              </w:rPr>
            </w:pPr>
          </w:p>
        </w:tc>
        <w:tc>
          <w:tcPr>
            <w:tcW w:w="124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Price Decrease</w:t>
            </w:r>
          </w:p>
        </w:tc>
        <w:tc>
          <w:tcPr>
            <w:tcW w:w="0" w:type="dxa"/>
            <w:vAlign w:val="bottom"/>
          </w:tcPr>
          <w:p>
            <w:pPr>
              <w:spacing w:after="0"/>
              <w:rPr>
                <w:sz w:val="1"/>
                <w:szCs w:val="1"/>
                <w:color w:val="auto"/>
              </w:rPr>
            </w:pPr>
          </w:p>
        </w:tc>
      </w:tr>
      <w:tr>
        <w:trPr>
          <w:trHeight w:val="228"/>
        </w:trPr>
        <w:tc>
          <w:tcPr>
            <w:tcW w:w="6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Crude oil</w:t>
            </w:r>
          </w:p>
        </w:tc>
        <w:tc>
          <w:tcPr>
            <w:tcW w:w="1060" w:type="dxa"/>
            <w:vAlign w:val="bottom"/>
            <w:tcBorders>
              <w:top w:val="single" w:sz="8" w:color="auto"/>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3"/>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fair value</w:t>
            </w:r>
          </w:p>
        </w:tc>
        <w:tc>
          <w:tcPr>
            <w:tcW w:w="106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7" w:lineRule="exact"/>
        <w:rPr>
          <w:sz w:val="20"/>
          <w:szCs w:val="20"/>
          <w:color w:val="auto"/>
        </w:rPr>
      </w:pPr>
    </w:p>
    <w:p>
      <w:pPr>
        <w:jc w:val="both"/>
        <w:ind w:right="10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Our use of variable rate debt and any forecasted issuances of fixed rate debt expose us to interest rate risk. Therefore, from time to time,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 interest rate derivatives to hedge interest rate risk associated with anticipated interest payments and, in certain cases, outstanding debt instruments. We did not have any interest rate derivatives as of March 31, 2026. All of our senior notes are fixed rate notes and thus are not subject to interest rate risk. Our variable rate debt outstanding, approximately $2.185 billion, was subject to interest rate resets that generally occur within one month or less. The average interest rate on variable rate debt that was outstanding during the three months ended March 31, 2026 was approximately 4.4%, based upon rates in effect during such period. See Note 6 to our Condensed Consolidated Financial Statements for additional information regarding our debt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Series B Preferred Units</w:t>
      </w:r>
      <w:r>
        <w:rPr>
          <w:rFonts w:ascii="Times New Roman" w:cs="Times New Roman" w:eastAsia="Times New Roman" w:hAnsi="Times New Roman"/>
          <w:sz w:val="18"/>
          <w:szCs w:val="18"/>
          <w:color w:val="auto"/>
        </w:rPr>
        <w:t>. Distributions on the Series B preferred units accumulate and are payable quarterly in arrears on the 15th day of February,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August and November. Distributions on the Series B preferred units accumulate based on the applicable three-month SOFR, plus certain adjustments. Based upon the Series B preferred units outstanding at March 31, 2026 and the liquidation preference of $1,000 per unit, a change of 100 basis points in interest rates would increase or decrease the annual distributions on the Series B preferred units by approximately $8 million. See Note 12 to our Consolidated Financial Statements included in Part IV of our 2025 Annual Report on Form 10-K for additional information regarding our Series B preferred unit distributions.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Currency Exchange Rate Risk</w:t>
      </w:r>
    </w:p>
    <w:p>
      <w:pPr>
        <w:spacing w:after="0" w:line="256"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use foreign currency derivatives to hedge foreign currency exchange rate risk associated with our exposure to fluctuations in the USD-to-CAD exchange rate. The fair value of our foreign currency derivatives was an an asset of $61 million as of March 31, 2026. A 10% increase in the exchange rate (USD-to-CAD) would have resulted in an increase of $324 million to the fair value of our foreign currency derivatives. A 10% decrease in the exchange rate (USD-to-CAD) would have resulted in a decrease of $324 million to the fair value of our foreign currency derivatives. See Note 8 to our Condensed Consolidated Financial Statements for additional information regarding our currency exchange rate risk hedging.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5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pacing w:after="0" w:line="20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Applicable SEC rules require an evaluation of the effectiveness of our DCP. Management, under the supervision and with the participation of our Chief Executive Officer and Chief Financial Officer, has evaluated the effectiveness of our DCP as of March 31, 2026, the end of the period covered by this report, and, based on such evaluation, our Chief Executive Officer and Chief Financial Officer have concluded that our DCP is effective.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56"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first quarter of 2026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Certifications</w:t>
      </w:r>
    </w:p>
    <w:p>
      <w:pPr>
        <w:spacing w:after="0" w:line="22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included in Note 10 to our Condensed Consolidated Financial Statements, and is incorporated herein by reference thereto.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For a discussion of our risk factors, see Item 1A. of our 2025 Annual Report on Form 10-K. Those risks and uncertainties are not the only ones facing us and there may be additional matters of which we are unaware or that we currently consider immaterial. All of those risks and uncertainties could adversely affect our business, financial condition and/or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of Unregistered Securities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During the quarter ended March 31, 2026, none of our directors or officers (as defined in Rule 16a-1(f) of the Exchange Act) adopted or terminated any Rule 10b5-1 trading arrangement or any non-Rule 10b5-1 trading arrangement (as defined in Item 408 of Regulation S-K).</w:t>
      </w:r>
    </w:p>
    <w:p>
      <w:pPr>
        <w:spacing w:after="0" w:line="200" w:lineRule="exact"/>
        <w:rPr>
          <w:sz w:val="20"/>
          <w:szCs w:val="20"/>
          <w:color w:val="auto"/>
        </w:rPr>
      </w:pPr>
    </w:p>
    <w:p>
      <w:pPr>
        <w:spacing w:after="0" w:line="34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72" w:lineRule="exact"/>
        <w:rPr>
          <w:sz w:val="20"/>
          <w:szCs w:val="20"/>
          <w:color w:val="auto"/>
        </w:rPr>
      </w:pPr>
    </w:p>
    <w:p>
      <w:pPr>
        <w:ind w:left="200"/>
        <w:spacing w:after="0"/>
        <w:tabs>
          <w:tab w:leader="none" w:pos="6040" w:val="left"/>
        </w:tabs>
        <w:rPr>
          <w:sz w:val="20"/>
          <w:szCs w:val="20"/>
          <w:color w:val="auto"/>
        </w:rPr>
      </w:pPr>
      <w:r>
        <w:rPr>
          <w:rFonts w:ascii="Times New Roman" w:cs="Times New Roman" w:eastAsia="Times New Roman" w:hAnsi="Times New Roman"/>
          <w:sz w:val="16"/>
          <w:szCs w:val="16"/>
          <w:b w:val="1"/>
          <w:bCs w:val="1"/>
          <w:color w:val="auto"/>
        </w:rPr>
        <w:t>Exhibit No.</w:t>
      </w:r>
      <w:r>
        <w:rPr>
          <w:sz w:val="20"/>
          <w:szCs w:val="20"/>
          <w:color w:val="auto"/>
        </w:rPr>
        <w:tab/>
      </w:r>
      <w:r>
        <w:rPr>
          <w:rFonts w:ascii="Times New Roman" w:cs="Times New Roman" w:eastAsia="Times New Roman" w:hAnsi="Times New Roman"/>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0628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52" w:lineRule="exact"/>
        <w:rPr>
          <w:sz w:val="20"/>
          <w:szCs w:val="20"/>
          <w:color w:val="auto"/>
        </w:rPr>
      </w:pPr>
    </w:p>
    <w:p>
      <w:pPr>
        <w:ind w:left="480"/>
        <w:spacing w:after="0"/>
        <w:tabs>
          <w:tab w:leader="none" w:pos="1360" w:val="left"/>
          <w:tab w:leader="none" w:pos="17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hyperlink r:id="rId93">
        <w:r>
          <w:rPr>
            <w:rFonts w:ascii="Times New Roman" w:cs="Times New Roman" w:eastAsia="Times New Roman" w:hAnsi="Times New Roman"/>
            <w:sz w:val="17"/>
            <w:szCs w:val="17"/>
            <w:u w:val="single" w:color="auto"/>
            <w:color w:val="0000FF"/>
          </w:rPr>
          <w:t>Seventh Amended and Restated Agreement of Limited Partnership of Plains All American Pipeline, L.P., dated as of October 10,</w:t>
        </w:r>
      </w:hyperlink>
    </w:p>
    <w:p>
      <w:pPr>
        <w:ind w:left="1760"/>
        <w:spacing w:after="0"/>
        <w:rPr>
          <w:rFonts w:ascii="Times New Roman" w:cs="Times New Roman" w:eastAsia="Times New Roman" w:hAnsi="Times New Roman"/>
          <w:sz w:val="18"/>
          <w:szCs w:val="18"/>
          <w:u w:val="single" w:color="auto"/>
          <w:color w:val="0000FF"/>
        </w:rPr>
      </w:pPr>
      <w:hyperlink r:id="rId93">
        <w:r>
          <w:rPr>
            <w:rFonts w:ascii="Times New Roman" w:cs="Times New Roman" w:eastAsia="Times New Roman" w:hAnsi="Times New Roman"/>
            <w:sz w:val="18"/>
            <w:szCs w:val="18"/>
            <w:u w:val="single" w:color="auto"/>
            <w:color w:val="0000FF"/>
          </w:rPr>
          <w:t>2017 (incorporated by reference to Exhibit 3.1 to our Current Report on Form 8-K filed October 12, 2017).</w:t>
        </w:r>
      </w:hyperlink>
    </w:p>
    <w:p>
      <w:pPr>
        <w:spacing w:after="0" w:line="124" w:lineRule="exact"/>
        <w:rPr>
          <w:sz w:val="20"/>
          <w:szCs w:val="20"/>
          <w:color w:val="auto"/>
        </w:rPr>
      </w:pPr>
    </w:p>
    <w:p>
      <w:pPr>
        <w:ind w:left="1380" w:right="60" w:hanging="1263"/>
        <w:spacing w:after="0" w:line="237"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 xml:space="preserve">— </w:t>
      </w:r>
      <w:hyperlink r:id="rId94">
        <w:r>
          <w:rPr>
            <w:rFonts w:ascii="Times New Roman" w:cs="Times New Roman" w:eastAsia="Times New Roman" w:hAnsi="Times New Roman"/>
            <w:sz w:val="18"/>
            <w:szCs w:val="18"/>
            <w:u w:val="single" w:color="auto"/>
            <w:color w:val="0000FF"/>
          </w:rPr>
          <w:t>Third Amended and Restated Agreement of Limited Partnership of Plains Marketing, L.P. dated as of April 1, 2004 (incorporated</w:t>
        </w:r>
      </w:hyperlink>
      <w:r>
        <w:rPr>
          <w:rFonts w:ascii="Times New Roman" w:cs="Times New Roman" w:eastAsia="Times New Roman" w:hAnsi="Times New Roman"/>
          <w:sz w:val="18"/>
          <w:szCs w:val="18"/>
          <w:color w:val="auto"/>
        </w:rPr>
        <w:t xml:space="preserve"> </w:t>
      </w:r>
      <w:hyperlink r:id="rId94">
        <w:r>
          <w:rPr>
            <w:rFonts w:ascii="Times New Roman" w:cs="Times New Roman" w:eastAsia="Times New Roman" w:hAnsi="Times New Roman"/>
            <w:sz w:val="18"/>
            <w:szCs w:val="18"/>
            <w:u w:val="single" w:color="auto"/>
            <w:color w:val="0000FF"/>
          </w:rPr>
          <w:t>by reference to Exhibit 3.2 to our Quarterly Report on Form 10-Q for the quarter ended March 31, 2004).</w:t>
        </w:r>
      </w:hyperlink>
    </w:p>
    <w:p>
      <w:pPr>
        <w:spacing w:after="0" w:line="118" w:lineRule="exact"/>
        <w:rPr>
          <w:sz w:val="20"/>
          <w:szCs w:val="20"/>
          <w:color w:val="auto"/>
        </w:rPr>
      </w:pPr>
    </w:p>
    <w:p>
      <w:pPr>
        <w:ind w:left="1380" w:right="220" w:hanging="1263"/>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 xml:space="preserve">— </w:t>
      </w:r>
      <w:hyperlink r:id="rId95">
        <w:r>
          <w:rPr>
            <w:rFonts w:ascii="Times New Roman" w:cs="Times New Roman" w:eastAsia="Times New Roman" w:hAnsi="Times New Roman"/>
            <w:sz w:val="18"/>
            <w:szCs w:val="18"/>
            <w:u w:val="single" w:color="auto"/>
            <w:color w:val="0000FF"/>
          </w:rPr>
          <w:t>Amendment No. 1 dated December 31, 2010 to the Third Amended and Restated Agreement of Limited Partnership of Plains</w:t>
        </w:r>
      </w:hyperlink>
      <w:r>
        <w:rPr>
          <w:rFonts w:ascii="Times New Roman" w:cs="Times New Roman" w:eastAsia="Times New Roman" w:hAnsi="Times New Roman"/>
          <w:sz w:val="18"/>
          <w:szCs w:val="18"/>
          <w:color w:val="auto"/>
        </w:rPr>
        <w:t xml:space="preserve"> </w:t>
      </w:r>
      <w:hyperlink r:id="rId95">
        <w:r>
          <w:rPr>
            <w:rFonts w:ascii="Times New Roman" w:cs="Times New Roman" w:eastAsia="Times New Roman" w:hAnsi="Times New Roman"/>
            <w:sz w:val="18"/>
            <w:szCs w:val="18"/>
            <w:u w:val="single" w:color="auto"/>
            <w:color w:val="0000FF"/>
          </w:rPr>
          <w:t>Marketing, L.P. (incorporated by reference to Exhibit 3.9 to our Annual Report on Form 10-K for the year ended December 31,</w:t>
        </w:r>
      </w:hyperlink>
    </w:p>
    <w:p>
      <w:pPr>
        <w:spacing w:after="0" w:line="2" w:lineRule="exact"/>
        <w:rPr>
          <w:sz w:val="20"/>
          <w:szCs w:val="20"/>
          <w:color w:val="auto"/>
        </w:rPr>
      </w:pPr>
    </w:p>
    <w:p>
      <w:pPr>
        <w:ind w:left="1760"/>
        <w:spacing w:after="0"/>
        <w:rPr>
          <w:rFonts w:ascii="Times New Roman" w:cs="Times New Roman" w:eastAsia="Times New Roman" w:hAnsi="Times New Roman"/>
          <w:sz w:val="18"/>
          <w:szCs w:val="18"/>
          <w:u w:val="single" w:color="auto"/>
          <w:color w:val="0000FF"/>
        </w:rPr>
      </w:pPr>
      <w:hyperlink r:id="rId95">
        <w:r>
          <w:rPr>
            <w:rFonts w:ascii="Times New Roman" w:cs="Times New Roman" w:eastAsia="Times New Roman" w:hAnsi="Times New Roman"/>
            <w:sz w:val="18"/>
            <w:szCs w:val="18"/>
            <w:u w:val="single" w:color="auto"/>
            <w:color w:val="0000FF"/>
          </w:rPr>
          <w:t>2010).</w:t>
        </w:r>
      </w:hyperlink>
    </w:p>
    <w:p>
      <w:pPr>
        <w:spacing w:after="0" w:line="111" w:lineRule="exact"/>
        <w:rPr>
          <w:sz w:val="20"/>
          <w:szCs w:val="20"/>
          <w:color w:val="auto"/>
        </w:rPr>
      </w:pPr>
    </w:p>
    <w:p>
      <w:pPr>
        <w:ind w:left="1380" w:right="140" w:hanging="1263"/>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color w:val="auto"/>
        </w:rPr>
        <w:t xml:space="preserve">— </w:t>
      </w:r>
      <w:hyperlink r:id="rId96">
        <w:r>
          <w:rPr>
            <w:rFonts w:ascii="Times New Roman" w:cs="Times New Roman" w:eastAsia="Times New Roman" w:hAnsi="Times New Roman"/>
            <w:sz w:val="18"/>
            <w:szCs w:val="18"/>
            <w:u w:val="single" w:color="auto"/>
            <w:color w:val="0000FF"/>
          </w:rPr>
          <w:t>Amendment No. 2 dated January 1, 2011 to the Third Amended and Restated Agreement of Limited Partnership of Plains</w:t>
        </w:r>
      </w:hyperlink>
      <w:r>
        <w:rPr>
          <w:rFonts w:ascii="Times New Roman" w:cs="Times New Roman" w:eastAsia="Times New Roman" w:hAnsi="Times New Roman"/>
          <w:sz w:val="18"/>
          <w:szCs w:val="18"/>
          <w:color w:val="auto"/>
        </w:rPr>
        <w:t xml:space="preserve"> </w:t>
      </w:r>
      <w:hyperlink r:id="rId96">
        <w:r>
          <w:rPr>
            <w:rFonts w:ascii="Times New Roman" w:cs="Times New Roman" w:eastAsia="Times New Roman" w:hAnsi="Times New Roman"/>
            <w:sz w:val="18"/>
            <w:szCs w:val="18"/>
            <w:u w:val="single" w:color="auto"/>
            <w:color w:val="0000FF"/>
          </w:rPr>
          <w:t>Marketing, L.P. (incorporated by reference to Exhibit 3.10 to our Annual Report on Form 10-K for the year ended December 31,</w:t>
        </w:r>
      </w:hyperlink>
    </w:p>
    <w:p>
      <w:pPr>
        <w:spacing w:after="0" w:line="2" w:lineRule="exact"/>
        <w:rPr>
          <w:sz w:val="20"/>
          <w:szCs w:val="20"/>
          <w:color w:val="auto"/>
        </w:rPr>
      </w:pPr>
    </w:p>
    <w:p>
      <w:pPr>
        <w:ind w:left="1760"/>
        <w:spacing w:after="0"/>
        <w:rPr>
          <w:rFonts w:ascii="Times New Roman" w:cs="Times New Roman" w:eastAsia="Times New Roman" w:hAnsi="Times New Roman"/>
          <w:sz w:val="18"/>
          <w:szCs w:val="18"/>
          <w:u w:val="single" w:color="auto"/>
          <w:color w:val="0000FF"/>
        </w:rPr>
      </w:pPr>
      <w:hyperlink r:id="rId96">
        <w:r>
          <w:rPr>
            <w:rFonts w:ascii="Times New Roman" w:cs="Times New Roman" w:eastAsia="Times New Roman" w:hAnsi="Times New Roman"/>
            <w:sz w:val="18"/>
            <w:szCs w:val="18"/>
            <w:u w:val="single" w:color="auto"/>
            <w:color w:val="0000FF"/>
          </w:rPr>
          <w:t>2010).</w:t>
        </w:r>
      </w:hyperlink>
    </w:p>
    <w:p>
      <w:pPr>
        <w:spacing w:after="0" w:line="111" w:lineRule="exact"/>
        <w:rPr>
          <w:sz w:val="20"/>
          <w:szCs w:val="20"/>
          <w:color w:val="auto"/>
        </w:rPr>
      </w:pPr>
    </w:p>
    <w:p>
      <w:pPr>
        <w:ind w:left="1380" w:right="220" w:hanging="1263"/>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color w:val="auto"/>
        </w:rPr>
        <w:t xml:space="preserve">— </w:t>
      </w:r>
      <w:hyperlink r:id="rId97">
        <w:r>
          <w:rPr>
            <w:rFonts w:ascii="Times New Roman" w:cs="Times New Roman" w:eastAsia="Times New Roman" w:hAnsi="Times New Roman"/>
            <w:sz w:val="18"/>
            <w:szCs w:val="18"/>
            <w:u w:val="single" w:color="auto"/>
            <w:color w:val="0000FF"/>
          </w:rPr>
          <w:t>Amendment No. 3 dated June 30, 2011 to the Third Amended and Restated Agreement of Limited Partnership of Plains</w:t>
        </w:r>
      </w:hyperlink>
      <w:r>
        <w:rPr>
          <w:rFonts w:ascii="Times New Roman" w:cs="Times New Roman" w:eastAsia="Times New Roman" w:hAnsi="Times New Roman"/>
          <w:sz w:val="18"/>
          <w:szCs w:val="18"/>
          <w:color w:val="auto"/>
        </w:rPr>
        <w:t xml:space="preserve"> </w:t>
      </w:r>
      <w:hyperlink r:id="rId97">
        <w:r>
          <w:rPr>
            <w:rFonts w:ascii="Times New Roman" w:cs="Times New Roman" w:eastAsia="Times New Roman" w:hAnsi="Times New Roman"/>
            <w:sz w:val="18"/>
            <w:szCs w:val="18"/>
            <w:u w:val="single" w:color="auto"/>
            <w:color w:val="0000FF"/>
          </w:rPr>
          <w:t>Marketing, L.P. (incorporated by reference to Exhibit 3.7 to our Annual Report on Form 10-K for the year ended December 31,</w:t>
        </w:r>
      </w:hyperlink>
    </w:p>
    <w:p>
      <w:pPr>
        <w:spacing w:after="0" w:line="2" w:lineRule="exact"/>
        <w:rPr>
          <w:sz w:val="20"/>
          <w:szCs w:val="20"/>
          <w:color w:val="auto"/>
        </w:rPr>
      </w:pPr>
    </w:p>
    <w:p>
      <w:pPr>
        <w:ind w:left="1760"/>
        <w:spacing w:after="0"/>
        <w:rPr>
          <w:rFonts w:ascii="Times New Roman" w:cs="Times New Roman" w:eastAsia="Times New Roman" w:hAnsi="Times New Roman"/>
          <w:sz w:val="18"/>
          <w:szCs w:val="18"/>
          <w:u w:val="single" w:color="auto"/>
          <w:color w:val="0000FF"/>
        </w:rPr>
      </w:pPr>
      <w:hyperlink r:id="rId97">
        <w:r>
          <w:rPr>
            <w:rFonts w:ascii="Times New Roman" w:cs="Times New Roman" w:eastAsia="Times New Roman" w:hAnsi="Times New Roman"/>
            <w:sz w:val="18"/>
            <w:szCs w:val="18"/>
            <w:u w:val="single" w:color="auto"/>
            <w:color w:val="0000FF"/>
          </w:rPr>
          <w:t>2013).</w:t>
        </w:r>
      </w:hyperlink>
    </w:p>
    <w:p>
      <w:pPr>
        <w:spacing w:after="0" w:line="111" w:lineRule="exact"/>
        <w:rPr>
          <w:sz w:val="20"/>
          <w:szCs w:val="20"/>
          <w:color w:val="auto"/>
        </w:rPr>
      </w:pPr>
    </w:p>
    <w:p>
      <w:pPr>
        <w:ind w:left="1380" w:right="260" w:hanging="1263"/>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8"/>
          <w:szCs w:val="18"/>
          <w:color w:val="auto"/>
        </w:rPr>
        <w:t xml:space="preserve">— </w:t>
      </w:r>
      <w:hyperlink r:id="rId98">
        <w:r>
          <w:rPr>
            <w:rFonts w:ascii="Times New Roman" w:cs="Times New Roman" w:eastAsia="Times New Roman" w:hAnsi="Times New Roman"/>
            <w:sz w:val="18"/>
            <w:szCs w:val="18"/>
            <w:u w:val="single" w:color="auto"/>
            <w:color w:val="0000FF"/>
          </w:rPr>
          <w:t>Amendment No. 4 dated January 1, 2013 to the Third Amended and Restated Agreement of Limited Partnership of Plains</w:t>
        </w:r>
      </w:hyperlink>
      <w:r>
        <w:rPr>
          <w:rFonts w:ascii="Times New Roman" w:cs="Times New Roman" w:eastAsia="Times New Roman" w:hAnsi="Times New Roman"/>
          <w:sz w:val="18"/>
          <w:szCs w:val="18"/>
          <w:color w:val="auto"/>
        </w:rPr>
        <w:t xml:space="preserve"> </w:t>
      </w:r>
      <w:hyperlink r:id="rId98">
        <w:r>
          <w:rPr>
            <w:rFonts w:ascii="Times New Roman" w:cs="Times New Roman" w:eastAsia="Times New Roman" w:hAnsi="Times New Roman"/>
            <w:sz w:val="18"/>
            <w:szCs w:val="18"/>
            <w:u w:val="single" w:color="auto"/>
            <w:color w:val="0000FF"/>
          </w:rPr>
          <w:t>Marketing, L.P (incorporated by reference to Exhibit 3.8 to our Annual Report on Form 10-K for the year ended December 31,</w:t>
        </w:r>
      </w:hyperlink>
    </w:p>
    <w:p>
      <w:pPr>
        <w:spacing w:after="0" w:line="2" w:lineRule="exact"/>
        <w:rPr>
          <w:sz w:val="20"/>
          <w:szCs w:val="20"/>
          <w:color w:val="auto"/>
        </w:rPr>
      </w:pPr>
    </w:p>
    <w:p>
      <w:pPr>
        <w:ind w:left="1760"/>
        <w:spacing w:after="0"/>
        <w:rPr>
          <w:rFonts w:ascii="Times New Roman" w:cs="Times New Roman" w:eastAsia="Times New Roman" w:hAnsi="Times New Roman"/>
          <w:sz w:val="18"/>
          <w:szCs w:val="18"/>
          <w:u w:val="single" w:color="auto"/>
          <w:color w:val="0000FF"/>
        </w:rPr>
      </w:pPr>
      <w:hyperlink r:id="rId98">
        <w:r>
          <w:rPr>
            <w:rFonts w:ascii="Times New Roman" w:cs="Times New Roman" w:eastAsia="Times New Roman" w:hAnsi="Times New Roman"/>
            <w:sz w:val="18"/>
            <w:szCs w:val="18"/>
            <w:u w:val="single" w:color="auto"/>
            <w:color w:val="0000FF"/>
          </w:rPr>
          <w:t>2013).</w:t>
        </w:r>
      </w:hyperlink>
    </w:p>
    <w:p>
      <w:pPr>
        <w:spacing w:after="0" w:line="111" w:lineRule="exact"/>
        <w:rPr>
          <w:sz w:val="20"/>
          <w:szCs w:val="20"/>
          <w:color w:val="auto"/>
        </w:rPr>
      </w:pPr>
    </w:p>
    <w:p>
      <w:pPr>
        <w:ind w:left="1380" w:right="180" w:hanging="1263"/>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8"/>
          <w:szCs w:val="18"/>
          <w:color w:val="auto"/>
        </w:rPr>
        <w:t xml:space="preserve">— </w:t>
      </w:r>
      <w:hyperlink r:id="rId99">
        <w:r>
          <w:rPr>
            <w:rFonts w:ascii="Times New Roman" w:cs="Times New Roman" w:eastAsia="Times New Roman" w:hAnsi="Times New Roman"/>
            <w:sz w:val="18"/>
            <w:szCs w:val="18"/>
            <w:u w:val="single" w:color="auto"/>
            <w:color w:val="0000FF"/>
          </w:rPr>
          <w:t>Amendment No. 5 dated December 1, 2019 to the Third Amended and Restated Agreement of Limited Partnership of Plains</w:t>
        </w:r>
      </w:hyperlink>
      <w:r>
        <w:rPr>
          <w:rFonts w:ascii="Times New Roman" w:cs="Times New Roman" w:eastAsia="Times New Roman" w:hAnsi="Times New Roman"/>
          <w:sz w:val="18"/>
          <w:szCs w:val="18"/>
          <w:color w:val="auto"/>
        </w:rPr>
        <w:t xml:space="preserve"> </w:t>
      </w:r>
      <w:hyperlink r:id="rId99">
        <w:r>
          <w:rPr>
            <w:rFonts w:ascii="Times New Roman" w:cs="Times New Roman" w:eastAsia="Times New Roman" w:hAnsi="Times New Roman"/>
            <w:sz w:val="18"/>
            <w:szCs w:val="18"/>
            <w:u w:val="single" w:color="auto"/>
            <w:color w:val="0000FF"/>
          </w:rPr>
          <w:t>Marketing, L.P. (incorporated by reference to Exhibit 3.7 to our Annual Report on Form 10-K for the year ended December, 31,</w:t>
        </w:r>
      </w:hyperlink>
    </w:p>
    <w:p>
      <w:pPr>
        <w:spacing w:after="0" w:line="2" w:lineRule="exact"/>
        <w:rPr>
          <w:sz w:val="20"/>
          <w:szCs w:val="20"/>
          <w:color w:val="auto"/>
        </w:rPr>
      </w:pPr>
    </w:p>
    <w:p>
      <w:pPr>
        <w:ind w:left="1760"/>
        <w:spacing w:after="0"/>
        <w:rPr>
          <w:rFonts w:ascii="Times New Roman" w:cs="Times New Roman" w:eastAsia="Times New Roman" w:hAnsi="Times New Roman"/>
          <w:sz w:val="18"/>
          <w:szCs w:val="18"/>
          <w:u w:val="single" w:color="auto"/>
          <w:color w:val="0000FF"/>
        </w:rPr>
      </w:pPr>
      <w:hyperlink r:id="rId99">
        <w:r>
          <w:rPr>
            <w:rFonts w:ascii="Times New Roman" w:cs="Times New Roman" w:eastAsia="Times New Roman" w:hAnsi="Times New Roman"/>
            <w:sz w:val="18"/>
            <w:szCs w:val="18"/>
            <w:u w:val="single" w:color="auto"/>
            <w:color w:val="0000FF"/>
          </w:rPr>
          <w:t>2019).</w:t>
        </w:r>
      </w:hyperlink>
    </w:p>
    <w:p>
      <w:pPr>
        <w:spacing w:after="0" w:line="111" w:lineRule="exact"/>
        <w:rPr>
          <w:sz w:val="20"/>
          <w:szCs w:val="20"/>
          <w:color w:val="auto"/>
        </w:rPr>
      </w:pPr>
    </w:p>
    <w:p>
      <w:pPr>
        <w:ind w:left="1380" w:hanging="1263"/>
        <w:spacing w:after="0" w:line="237"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8"/>
          <w:szCs w:val="18"/>
          <w:color w:val="auto"/>
        </w:rPr>
        <w:t xml:space="preserve">— </w:t>
      </w:r>
      <w:hyperlink r:id="rId100">
        <w:r>
          <w:rPr>
            <w:rFonts w:ascii="Times New Roman" w:cs="Times New Roman" w:eastAsia="Times New Roman" w:hAnsi="Times New Roman"/>
            <w:sz w:val="18"/>
            <w:szCs w:val="18"/>
            <w:u w:val="single" w:color="auto"/>
            <w:color w:val="0000FF"/>
          </w:rPr>
          <w:t>Third Amended and Restated Agreement of Limited Partnership of Plains Pipeline, L.P. dated as of April 1, 2004 (incorporated by</w:t>
        </w:r>
      </w:hyperlink>
      <w:r>
        <w:rPr>
          <w:rFonts w:ascii="Times New Roman" w:cs="Times New Roman" w:eastAsia="Times New Roman" w:hAnsi="Times New Roman"/>
          <w:sz w:val="18"/>
          <w:szCs w:val="18"/>
          <w:color w:val="auto"/>
        </w:rPr>
        <w:t xml:space="preserve"> </w:t>
      </w:r>
      <w:hyperlink r:id="rId100">
        <w:r>
          <w:rPr>
            <w:rFonts w:ascii="Times New Roman" w:cs="Times New Roman" w:eastAsia="Times New Roman" w:hAnsi="Times New Roman"/>
            <w:sz w:val="18"/>
            <w:szCs w:val="18"/>
            <w:u w:val="single" w:color="auto"/>
            <w:color w:val="0000FF"/>
          </w:rPr>
          <w:t>reference to Exhibit 3.3 to our Quarterly Report on Form 10-Q for the quarter ended March 31, 2004).</w:t>
        </w:r>
      </w:hyperlink>
    </w:p>
    <w:p>
      <w:pPr>
        <w:spacing w:after="0" w:line="118" w:lineRule="exact"/>
        <w:rPr>
          <w:sz w:val="20"/>
          <w:szCs w:val="20"/>
          <w:color w:val="auto"/>
        </w:rPr>
      </w:pPr>
    </w:p>
    <w:p>
      <w:pPr>
        <w:ind w:left="1380" w:right="300" w:hanging="1263"/>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3.9</w:t>
      </w:r>
      <w:r>
        <w:rPr>
          <w:sz w:val="20"/>
          <w:szCs w:val="20"/>
          <w:color w:val="auto"/>
        </w:rPr>
        <w:tab/>
      </w:r>
      <w:r>
        <w:rPr>
          <w:rFonts w:ascii="Times New Roman" w:cs="Times New Roman" w:eastAsia="Times New Roman" w:hAnsi="Times New Roman"/>
          <w:sz w:val="18"/>
          <w:szCs w:val="18"/>
          <w:color w:val="auto"/>
        </w:rPr>
        <w:t xml:space="preserve">— </w:t>
      </w:r>
      <w:hyperlink r:id="rId101">
        <w:r>
          <w:rPr>
            <w:rFonts w:ascii="Times New Roman" w:cs="Times New Roman" w:eastAsia="Times New Roman" w:hAnsi="Times New Roman"/>
            <w:sz w:val="18"/>
            <w:szCs w:val="18"/>
            <w:u w:val="single" w:color="auto"/>
            <w:color w:val="0000FF"/>
          </w:rPr>
          <w:t>Amendment No. 1 dated January 1, 2013 to the Third Amended and Restated Agreement of Limited Partnership of Plains</w:t>
        </w:r>
      </w:hyperlink>
      <w:r>
        <w:rPr>
          <w:rFonts w:ascii="Times New Roman" w:cs="Times New Roman" w:eastAsia="Times New Roman" w:hAnsi="Times New Roman"/>
          <w:sz w:val="18"/>
          <w:szCs w:val="18"/>
          <w:color w:val="auto"/>
        </w:rPr>
        <w:t xml:space="preserve"> </w:t>
      </w:r>
      <w:hyperlink r:id="rId101">
        <w:r>
          <w:rPr>
            <w:rFonts w:ascii="Times New Roman" w:cs="Times New Roman" w:eastAsia="Times New Roman" w:hAnsi="Times New Roman"/>
            <w:sz w:val="18"/>
            <w:szCs w:val="18"/>
            <w:u w:val="single" w:color="auto"/>
            <w:color w:val="0000FF"/>
          </w:rPr>
          <w:t>Pipeline, L.P. (incorporated by reference to Exhibit 3.10 to our Annual Report on Form 10-K for the year ended December 31,</w:t>
        </w:r>
      </w:hyperlink>
    </w:p>
    <w:p>
      <w:pPr>
        <w:spacing w:after="0" w:line="2" w:lineRule="exact"/>
        <w:rPr>
          <w:sz w:val="20"/>
          <w:szCs w:val="20"/>
          <w:color w:val="auto"/>
        </w:rPr>
      </w:pPr>
    </w:p>
    <w:p>
      <w:pPr>
        <w:ind w:left="1760"/>
        <w:spacing w:after="0"/>
        <w:rPr>
          <w:rFonts w:ascii="Times New Roman" w:cs="Times New Roman" w:eastAsia="Times New Roman" w:hAnsi="Times New Roman"/>
          <w:sz w:val="18"/>
          <w:szCs w:val="18"/>
          <w:u w:val="single" w:color="auto"/>
          <w:color w:val="0000FF"/>
        </w:rPr>
      </w:pPr>
      <w:hyperlink r:id="rId101">
        <w:r>
          <w:rPr>
            <w:rFonts w:ascii="Times New Roman" w:cs="Times New Roman" w:eastAsia="Times New Roman" w:hAnsi="Times New Roman"/>
            <w:sz w:val="18"/>
            <w:szCs w:val="18"/>
            <w:u w:val="single" w:color="auto"/>
            <w:color w:val="0000FF"/>
          </w:rPr>
          <w:t>2013).</w:t>
        </w:r>
      </w:hyperlink>
    </w:p>
    <w:p>
      <w:pPr>
        <w:spacing w:after="0" w:line="99" w:lineRule="exact"/>
        <w:rPr>
          <w:sz w:val="20"/>
          <w:szCs w:val="20"/>
          <w:color w:val="auto"/>
        </w:rPr>
      </w:pPr>
    </w:p>
    <w:p>
      <w:pPr>
        <w:ind w:left="440"/>
        <w:spacing w:after="0"/>
        <w:tabs>
          <w:tab w:leader="none" w:pos="1360" w:val="left"/>
          <w:tab w:leader="none" w:pos="17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3.10</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hyperlink r:id="rId102">
        <w:r>
          <w:rPr>
            <w:rFonts w:ascii="Times New Roman" w:cs="Times New Roman" w:eastAsia="Times New Roman" w:hAnsi="Times New Roman"/>
            <w:sz w:val="17"/>
            <w:szCs w:val="17"/>
            <w:u w:val="single" w:color="auto"/>
            <w:color w:val="0000FF"/>
          </w:rPr>
          <w:t>Seventh Amended and Restated Limited Liability Company Agreement of Plains All American GP LLC dated November 15,</w:t>
        </w:r>
      </w:hyperlink>
    </w:p>
    <w:p>
      <w:pPr>
        <w:ind w:left="1760"/>
        <w:spacing w:after="0"/>
        <w:rPr>
          <w:rFonts w:ascii="Times New Roman" w:cs="Times New Roman" w:eastAsia="Times New Roman" w:hAnsi="Times New Roman"/>
          <w:sz w:val="18"/>
          <w:szCs w:val="18"/>
          <w:u w:val="single" w:color="auto"/>
          <w:color w:val="0000FF"/>
        </w:rPr>
      </w:pPr>
      <w:hyperlink r:id="rId102">
        <w:r>
          <w:rPr>
            <w:rFonts w:ascii="Times New Roman" w:cs="Times New Roman" w:eastAsia="Times New Roman" w:hAnsi="Times New Roman"/>
            <w:sz w:val="18"/>
            <w:szCs w:val="18"/>
            <w:u w:val="single" w:color="auto"/>
            <w:color w:val="0000FF"/>
          </w:rPr>
          <w:t>2016 (incorporated by reference to Exhibit 3.3 to our Current Report on Form 8-K filed November 21, 2016).</w:t>
        </w:r>
      </w:hyperlink>
    </w:p>
    <w:p>
      <w:pPr>
        <w:spacing w:after="0" w:line="124" w:lineRule="exact"/>
        <w:rPr>
          <w:sz w:val="20"/>
          <w:szCs w:val="20"/>
          <w:color w:val="auto"/>
        </w:rPr>
      </w:pPr>
    </w:p>
    <w:p>
      <w:pPr>
        <w:ind w:left="1380" w:right="280" w:hanging="1305"/>
        <w:spacing w:after="0" w:line="237"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color w:val="auto"/>
        </w:rPr>
        <w:t xml:space="preserve">— </w:t>
      </w:r>
      <w:hyperlink r:id="rId103">
        <w:r>
          <w:rPr>
            <w:rFonts w:ascii="Times New Roman" w:cs="Times New Roman" w:eastAsia="Times New Roman" w:hAnsi="Times New Roman"/>
            <w:sz w:val="18"/>
            <w:szCs w:val="18"/>
            <w:u w:val="single" w:color="auto"/>
            <w:color w:val="0000FF"/>
          </w:rPr>
          <w:t>Eighth Amended and Restated Limited Partnership Agreement of Plains AAP, L.P. dated November 15, 2016 (incorporated by</w:t>
        </w:r>
      </w:hyperlink>
      <w:r>
        <w:rPr>
          <w:rFonts w:ascii="Times New Roman" w:cs="Times New Roman" w:eastAsia="Times New Roman" w:hAnsi="Times New Roman"/>
          <w:sz w:val="18"/>
          <w:szCs w:val="18"/>
          <w:color w:val="auto"/>
        </w:rPr>
        <w:t xml:space="preserve"> </w:t>
      </w:r>
      <w:hyperlink r:id="rId103">
        <w:r>
          <w:rPr>
            <w:rFonts w:ascii="Times New Roman" w:cs="Times New Roman" w:eastAsia="Times New Roman" w:hAnsi="Times New Roman"/>
            <w:sz w:val="18"/>
            <w:szCs w:val="18"/>
            <w:u w:val="single" w:color="auto"/>
            <w:color w:val="0000FF"/>
          </w:rPr>
          <w:t>reference to Exhibit 3.4 to our Current Report on Form 8-K filed November 21, 2016).</w:t>
        </w:r>
      </w:hyperlink>
    </w:p>
    <w:p>
      <w:pPr>
        <w:spacing w:after="0" w:line="118" w:lineRule="exact"/>
        <w:rPr>
          <w:sz w:val="20"/>
          <w:szCs w:val="20"/>
          <w:color w:val="auto"/>
        </w:rPr>
      </w:pPr>
    </w:p>
    <w:p>
      <w:pPr>
        <w:ind w:left="1380" w:hanging="1308"/>
        <w:spacing w:after="0" w:line="237"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color w:val="auto"/>
        </w:rPr>
        <w:t xml:space="preserve">— </w:t>
      </w:r>
      <w:hyperlink r:id="rId104">
        <w:r>
          <w:rPr>
            <w:rFonts w:ascii="Times New Roman" w:cs="Times New Roman" w:eastAsia="Times New Roman" w:hAnsi="Times New Roman"/>
            <w:sz w:val="18"/>
            <w:szCs w:val="18"/>
            <w:u w:val="single" w:color="auto"/>
            <w:color w:val="0000FF"/>
          </w:rPr>
          <w:t>Amendment No. 1 dated September 26, 2018 to the Eighth Amended and Restated Limited Partnership Agreement of Plains AAP,</w:t>
        </w:r>
      </w:hyperlink>
      <w:r>
        <w:rPr>
          <w:rFonts w:ascii="Times New Roman" w:cs="Times New Roman" w:eastAsia="Times New Roman" w:hAnsi="Times New Roman"/>
          <w:sz w:val="18"/>
          <w:szCs w:val="18"/>
          <w:color w:val="auto"/>
        </w:rPr>
        <w:t xml:space="preserve"> </w:t>
      </w:r>
      <w:hyperlink r:id="rId104">
        <w:r>
          <w:rPr>
            <w:rFonts w:ascii="Times New Roman" w:cs="Times New Roman" w:eastAsia="Times New Roman" w:hAnsi="Times New Roman"/>
            <w:sz w:val="18"/>
            <w:szCs w:val="18"/>
            <w:u w:val="single" w:color="auto"/>
            <w:color w:val="0000FF"/>
          </w:rPr>
          <w:t>L.P. (incorporated by reference to Exhibit 3.1 to our Current Report on Form 8-K filed October 2, 2018).</w:t>
        </w:r>
      </w:hyperlink>
    </w:p>
    <w:p>
      <w:pPr>
        <w:spacing w:after="0" w:line="106" w:lineRule="exact"/>
        <w:rPr>
          <w:sz w:val="20"/>
          <w:szCs w:val="20"/>
          <w:color w:val="auto"/>
        </w:rPr>
      </w:pPr>
    </w:p>
    <w:p>
      <w:pPr>
        <w:ind w:left="440"/>
        <w:spacing w:after="0"/>
        <w:tabs>
          <w:tab w:leader="none" w:pos="1360" w:val="left"/>
          <w:tab w:leader="none" w:pos="17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3.13</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hyperlink r:id="rId105">
        <w:r>
          <w:rPr>
            <w:rFonts w:ascii="Times New Roman" w:cs="Times New Roman" w:eastAsia="Times New Roman" w:hAnsi="Times New Roman"/>
            <w:sz w:val="17"/>
            <w:szCs w:val="17"/>
            <w:u w:val="single" w:color="auto"/>
            <w:color w:val="0000FF"/>
          </w:rPr>
          <w:t>Amendment No. 2 dated May 23, 2019 to the Eighth Amended and Restated Limited Partnership Agreement of Plains AAP, L.P.</w:t>
        </w:r>
      </w:hyperlink>
    </w:p>
    <w:p>
      <w:pPr>
        <w:ind w:left="1760"/>
        <w:spacing w:after="0"/>
        <w:rPr>
          <w:rFonts w:ascii="Times New Roman" w:cs="Times New Roman" w:eastAsia="Times New Roman" w:hAnsi="Times New Roman"/>
          <w:sz w:val="18"/>
          <w:szCs w:val="18"/>
          <w:u w:val="single" w:color="auto"/>
          <w:color w:val="0000FF"/>
        </w:rPr>
      </w:pPr>
      <w:hyperlink r:id="rId105">
        <w:r>
          <w:rPr>
            <w:rFonts w:ascii="Times New Roman" w:cs="Times New Roman" w:eastAsia="Times New Roman" w:hAnsi="Times New Roman"/>
            <w:sz w:val="18"/>
            <w:szCs w:val="18"/>
            <w:u w:val="single" w:color="auto"/>
            <w:color w:val="0000FF"/>
          </w:rPr>
          <w:t>(incorporated by reference to Exhibit 3.1 to our Current Report on Form 8-K filed May 30, 2019).</w:t>
        </w:r>
      </w:hyperlink>
    </w:p>
    <w:p>
      <w:pPr>
        <w:spacing w:after="0" w:line="124" w:lineRule="exact"/>
        <w:rPr>
          <w:sz w:val="20"/>
          <w:szCs w:val="20"/>
          <w:color w:val="auto"/>
        </w:rPr>
      </w:pPr>
    </w:p>
    <w:p>
      <w:pPr>
        <w:ind w:left="1380" w:right="260" w:hanging="1308"/>
        <w:spacing w:after="0" w:line="237"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3.14</w:t>
      </w:r>
      <w:r>
        <w:rPr>
          <w:sz w:val="20"/>
          <w:szCs w:val="20"/>
          <w:color w:val="auto"/>
        </w:rPr>
        <w:tab/>
      </w:r>
      <w:r>
        <w:rPr>
          <w:rFonts w:ascii="Times New Roman" w:cs="Times New Roman" w:eastAsia="Times New Roman" w:hAnsi="Times New Roman"/>
          <w:sz w:val="18"/>
          <w:szCs w:val="18"/>
          <w:color w:val="auto"/>
        </w:rPr>
        <w:t xml:space="preserve">— </w:t>
      </w:r>
      <w:hyperlink r:id="rId106">
        <w:r>
          <w:rPr>
            <w:rFonts w:ascii="Times New Roman" w:cs="Times New Roman" w:eastAsia="Times New Roman" w:hAnsi="Times New Roman"/>
            <w:sz w:val="18"/>
            <w:szCs w:val="18"/>
            <w:u w:val="single" w:color="auto"/>
            <w:color w:val="0000FF"/>
          </w:rPr>
          <w:t>Amendment No. 3 dated August 17, 2023 to the Eighth Amended and Restated Limited Partnership Agreement of Plains AAP,</w:t>
        </w:r>
      </w:hyperlink>
      <w:r>
        <w:rPr>
          <w:rFonts w:ascii="Times New Roman" w:cs="Times New Roman" w:eastAsia="Times New Roman" w:hAnsi="Times New Roman"/>
          <w:sz w:val="18"/>
          <w:szCs w:val="18"/>
          <w:color w:val="auto"/>
        </w:rPr>
        <w:t xml:space="preserve"> </w:t>
      </w:r>
      <w:hyperlink r:id="rId106">
        <w:r>
          <w:rPr>
            <w:rFonts w:ascii="Times New Roman" w:cs="Times New Roman" w:eastAsia="Times New Roman" w:hAnsi="Times New Roman"/>
            <w:sz w:val="18"/>
            <w:szCs w:val="18"/>
            <w:u w:val="single" w:color="auto"/>
            <w:color w:val="0000FF"/>
          </w:rPr>
          <w:t>L.P. (incorporated by reference to Exhibit 3.1 to our Current Report on Form 8-K filed August 21, 2023).</w:t>
        </w:r>
      </w:hyperlink>
    </w:p>
    <w:p>
      <w:pPr>
        <w:spacing w:after="0" w:line="118" w:lineRule="exact"/>
        <w:rPr>
          <w:sz w:val="20"/>
          <w:szCs w:val="20"/>
          <w:color w:val="auto"/>
        </w:rPr>
      </w:pPr>
    </w:p>
    <w:p>
      <w:pPr>
        <w:ind w:left="1380" w:right="180" w:hanging="1308"/>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3.15</w:t>
      </w:r>
      <w:r>
        <w:rPr>
          <w:sz w:val="20"/>
          <w:szCs w:val="20"/>
          <w:color w:val="auto"/>
        </w:rPr>
        <w:tab/>
      </w:r>
      <w:r>
        <w:rPr>
          <w:rFonts w:ascii="Times New Roman" w:cs="Times New Roman" w:eastAsia="Times New Roman" w:hAnsi="Times New Roman"/>
          <w:sz w:val="18"/>
          <w:szCs w:val="18"/>
          <w:color w:val="auto"/>
        </w:rPr>
        <w:t xml:space="preserve">— </w:t>
      </w:r>
      <w:hyperlink r:id="rId107">
        <w:r>
          <w:rPr>
            <w:rFonts w:ascii="Times New Roman" w:cs="Times New Roman" w:eastAsia="Times New Roman" w:hAnsi="Times New Roman"/>
            <w:sz w:val="18"/>
            <w:szCs w:val="18"/>
            <w:u w:val="single" w:color="auto"/>
            <w:color w:val="0000FF"/>
          </w:rPr>
          <w:t>Certificate of Incorporation of PAA Finance Corp. (f/k/a Pacific Energy Finance Corporation, successor-by-merger to PAA</w:t>
        </w:r>
      </w:hyperlink>
      <w:r>
        <w:rPr>
          <w:rFonts w:ascii="Times New Roman" w:cs="Times New Roman" w:eastAsia="Times New Roman" w:hAnsi="Times New Roman"/>
          <w:sz w:val="18"/>
          <w:szCs w:val="18"/>
          <w:color w:val="auto"/>
        </w:rPr>
        <w:t xml:space="preserve"> </w:t>
      </w:r>
      <w:hyperlink r:id="rId107">
        <w:r>
          <w:rPr>
            <w:rFonts w:ascii="Times New Roman" w:cs="Times New Roman" w:eastAsia="Times New Roman" w:hAnsi="Times New Roman"/>
            <w:sz w:val="18"/>
            <w:szCs w:val="18"/>
            <w:u w:val="single" w:color="auto"/>
            <w:color w:val="0000FF"/>
          </w:rPr>
          <w:t>Finance Corp.) (incorporated by reference to Exhibit 3.10 to our Annual Report on Form 10-K for the year ended December 31,</w:t>
        </w:r>
      </w:hyperlink>
    </w:p>
    <w:p>
      <w:pPr>
        <w:spacing w:after="0" w:line="2" w:lineRule="exact"/>
        <w:rPr>
          <w:sz w:val="20"/>
          <w:szCs w:val="20"/>
          <w:color w:val="auto"/>
        </w:rPr>
      </w:pPr>
    </w:p>
    <w:p>
      <w:pPr>
        <w:ind w:left="1760"/>
        <w:spacing w:after="0"/>
        <w:rPr>
          <w:rFonts w:ascii="Times New Roman" w:cs="Times New Roman" w:eastAsia="Times New Roman" w:hAnsi="Times New Roman"/>
          <w:sz w:val="18"/>
          <w:szCs w:val="18"/>
          <w:u w:val="single" w:color="auto"/>
          <w:color w:val="0000FF"/>
        </w:rPr>
      </w:pPr>
      <w:hyperlink r:id="rId107">
        <w:r>
          <w:rPr>
            <w:rFonts w:ascii="Times New Roman" w:cs="Times New Roman" w:eastAsia="Times New Roman" w:hAnsi="Times New Roman"/>
            <w:sz w:val="18"/>
            <w:szCs w:val="18"/>
            <w:u w:val="single" w:color="auto"/>
            <w:color w:val="0000FF"/>
          </w:rPr>
          <w:t>2006).</w:t>
        </w:r>
      </w:hyperlink>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ind w:left="440" w:right="800"/>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3.16       —  </w:t>
      </w:r>
      <w:hyperlink r:id="rId109">
        <w:r>
          <w:rPr>
            <w:rFonts w:ascii="Times New Roman" w:cs="Times New Roman" w:eastAsia="Times New Roman" w:hAnsi="Times New Roman"/>
            <w:sz w:val="18"/>
            <w:szCs w:val="18"/>
            <w:u w:val="single" w:color="auto"/>
            <w:color w:val="0000FF"/>
          </w:rPr>
          <w:t>Bylaws of PAA Finance Corp. (f/k/a Pacific Energy Finance Corporation, successor-by-merger to PAA Finance Corp.)</w:t>
        </w:r>
      </w:hyperlink>
      <w:r>
        <w:rPr>
          <w:rFonts w:ascii="Times New Roman" w:cs="Times New Roman" w:eastAsia="Times New Roman" w:hAnsi="Times New Roman"/>
          <w:sz w:val="18"/>
          <w:szCs w:val="18"/>
          <w:color w:val="auto"/>
        </w:rPr>
        <w:t xml:space="preserve"> </w:t>
      </w:r>
      <w:hyperlink r:id="rId109">
        <w:r>
          <w:rPr>
            <w:rFonts w:ascii="Times New Roman" w:cs="Times New Roman" w:eastAsia="Times New Roman" w:hAnsi="Times New Roman"/>
            <w:sz w:val="18"/>
            <w:szCs w:val="18"/>
            <w:u w:val="single" w:color="auto"/>
            <w:color w:val="0000FF"/>
          </w:rPr>
          <w:t>(incorporated by reference to Exhibit 3.11 to our Annual Report on Form 10-K for the year ended December 31, 2006).</w:t>
        </w:r>
      </w:hyperlink>
    </w:p>
    <w:p>
      <w:pPr>
        <w:spacing w:after="0" w:line="118" w:lineRule="exact"/>
        <w:rPr>
          <w:sz w:val="20"/>
          <w:szCs w:val="20"/>
          <w:color w:val="auto"/>
        </w:rPr>
      </w:pPr>
    </w:p>
    <w:p>
      <w:pPr>
        <w:ind w:left="1380" w:hanging="1308"/>
        <w:spacing w:after="0" w:line="237"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3.17</w:t>
      </w:r>
      <w:r>
        <w:rPr>
          <w:sz w:val="20"/>
          <w:szCs w:val="20"/>
          <w:color w:val="auto"/>
        </w:rPr>
        <w:tab/>
      </w:r>
      <w:r>
        <w:rPr>
          <w:rFonts w:ascii="Times New Roman" w:cs="Times New Roman" w:eastAsia="Times New Roman" w:hAnsi="Times New Roman"/>
          <w:sz w:val="18"/>
          <w:szCs w:val="18"/>
          <w:color w:val="auto"/>
        </w:rPr>
        <w:t xml:space="preserve">— </w:t>
      </w:r>
      <w:hyperlink r:id="rId110">
        <w:r>
          <w:rPr>
            <w:rFonts w:ascii="Times New Roman" w:cs="Times New Roman" w:eastAsia="Times New Roman" w:hAnsi="Times New Roman"/>
            <w:sz w:val="18"/>
            <w:szCs w:val="18"/>
            <w:u w:val="single" w:color="auto"/>
            <w:color w:val="0000FF"/>
          </w:rPr>
          <w:t>Limited Liability Company Agreement of PAA GP LLC dated December 28, 2007 (incorporated by reference to Exhibit 3.3 to our</w:t>
        </w:r>
      </w:hyperlink>
      <w:r>
        <w:rPr>
          <w:rFonts w:ascii="Times New Roman" w:cs="Times New Roman" w:eastAsia="Times New Roman" w:hAnsi="Times New Roman"/>
          <w:sz w:val="18"/>
          <w:szCs w:val="18"/>
          <w:color w:val="auto"/>
        </w:rPr>
        <w:t xml:space="preserve"> </w:t>
      </w:r>
      <w:hyperlink r:id="rId110">
        <w:r>
          <w:rPr>
            <w:rFonts w:ascii="Times New Roman" w:cs="Times New Roman" w:eastAsia="Times New Roman" w:hAnsi="Times New Roman"/>
            <w:sz w:val="18"/>
            <w:szCs w:val="18"/>
            <w:u w:val="single" w:color="auto"/>
            <w:color w:val="0000FF"/>
          </w:rPr>
          <w:t>Current Report on Form 8-K filed January 4, 2008).</w:t>
        </w:r>
      </w:hyperlink>
    </w:p>
    <w:p>
      <w:pPr>
        <w:spacing w:after="0" w:line="118" w:lineRule="exact"/>
        <w:rPr>
          <w:sz w:val="20"/>
          <w:szCs w:val="20"/>
          <w:color w:val="auto"/>
        </w:rPr>
      </w:pPr>
    </w:p>
    <w:p>
      <w:pPr>
        <w:ind w:left="1380" w:right="220" w:hanging="1308"/>
        <w:spacing w:after="0" w:line="237"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3.18</w:t>
      </w:r>
      <w:r>
        <w:rPr>
          <w:sz w:val="20"/>
          <w:szCs w:val="20"/>
          <w:color w:val="auto"/>
        </w:rPr>
        <w:tab/>
      </w:r>
      <w:r>
        <w:rPr>
          <w:rFonts w:ascii="Times New Roman" w:cs="Times New Roman" w:eastAsia="Times New Roman" w:hAnsi="Times New Roman"/>
          <w:sz w:val="18"/>
          <w:szCs w:val="18"/>
          <w:color w:val="auto"/>
        </w:rPr>
        <w:t xml:space="preserve">— </w:t>
      </w:r>
      <w:hyperlink r:id="rId111">
        <w:r>
          <w:rPr>
            <w:rFonts w:ascii="Times New Roman" w:cs="Times New Roman" w:eastAsia="Times New Roman" w:hAnsi="Times New Roman"/>
            <w:sz w:val="18"/>
            <w:szCs w:val="18"/>
            <w:u w:val="single" w:color="auto"/>
            <w:color w:val="0000FF"/>
          </w:rPr>
          <w:t>Certificate of Limited Partnership of Plains GP Holdings, L.P. (incorporated by reference to Exhibit 3.1 to PAGP’s Registration</w:t>
        </w:r>
      </w:hyperlink>
      <w:r>
        <w:rPr>
          <w:rFonts w:ascii="Times New Roman" w:cs="Times New Roman" w:eastAsia="Times New Roman" w:hAnsi="Times New Roman"/>
          <w:sz w:val="18"/>
          <w:szCs w:val="18"/>
          <w:color w:val="auto"/>
        </w:rPr>
        <w:t xml:space="preserve"> </w:t>
      </w:r>
      <w:hyperlink r:id="rId111">
        <w:r>
          <w:rPr>
            <w:rFonts w:ascii="Times New Roman" w:cs="Times New Roman" w:eastAsia="Times New Roman" w:hAnsi="Times New Roman"/>
            <w:sz w:val="18"/>
            <w:szCs w:val="18"/>
            <w:u w:val="single" w:color="auto"/>
            <w:color w:val="0000FF"/>
          </w:rPr>
          <w:t>Statement on Form S-1 (333-190227) filed July 29, 2013).</w:t>
        </w:r>
      </w:hyperlink>
    </w:p>
    <w:p>
      <w:pPr>
        <w:spacing w:after="0" w:line="118" w:lineRule="exact"/>
        <w:rPr>
          <w:sz w:val="20"/>
          <w:szCs w:val="20"/>
          <w:color w:val="auto"/>
        </w:rPr>
      </w:pPr>
    </w:p>
    <w:p>
      <w:pPr>
        <w:ind w:left="1380" w:right="680" w:hanging="1308"/>
        <w:spacing w:after="0" w:line="237"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3.19</w:t>
      </w:r>
      <w:r>
        <w:rPr>
          <w:sz w:val="20"/>
          <w:szCs w:val="20"/>
          <w:color w:val="auto"/>
        </w:rPr>
        <w:tab/>
      </w:r>
      <w:r>
        <w:rPr>
          <w:rFonts w:ascii="Times New Roman" w:cs="Times New Roman" w:eastAsia="Times New Roman" w:hAnsi="Times New Roman"/>
          <w:sz w:val="18"/>
          <w:szCs w:val="18"/>
          <w:color w:val="auto"/>
        </w:rPr>
        <w:t xml:space="preserve">— </w:t>
      </w:r>
      <w:hyperlink r:id="rId112">
        <w:r>
          <w:rPr>
            <w:rFonts w:ascii="Times New Roman" w:cs="Times New Roman" w:eastAsia="Times New Roman" w:hAnsi="Times New Roman"/>
            <w:sz w:val="18"/>
            <w:szCs w:val="18"/>
            <w:u w:val="single" w:color="auto"/>
            <w:color w:val="0000FF"/>
          </w:rPr>
          <w:t>Second Amended and Restated Agreement of Limited Partnership of Plains GP Holdings, L.P. dated November 15, 2016</w:t>
        </w:r>
      </w:hyperlink>
      <w:r>
        <w:rPr>
          <w:rFonts w:ascii="Times New Roman" w:cs="Times New Roman" w:eastAsia="Times New Roman" w:hAnsi="Times New Roman"/>
          <w:sz w:val="18"/>
          <w:szCs w:val="18"/>
          <w:color w:val="auto"/>
        </w:rPr>
        <w:t xml:space="preserve"> </w:t>
      </w:r>
      <w:hyperlink r:id="rId112">
        <w:r>
          <w:rPr>
            <w:rFonts w:ascii="Times New Roman" w:cs="Times New Roman" w:eastAsia="Times New Roman" w:hAnsi="Times New Roman"/>
            <w:sz w:val="18"/>
            <w:szCs w:val="18"/>
            <w:u w:val="single" w:color="auto"/>
            <w:color w:val="0000FF"/>
          </w:rPr>
          <w:t>(incorporated by reference to Exhibit 3.2 to PAGP’s Current Report on Form 8-K filed November 21, 2016).</w:t>
        </w:r>
      </w:hyperlink>
    </w:p>
    <w:p>
      <w:pPr>
        <w:spacing w:after="0" w:line="118" w:lineRule="exact"/>
        <w:rPr>
          <w:sz w:val="20"/>
          <w:szCs w:val="20"/>
          <w:color w:val="auto"/>
        </w:rPr>
      </w:pPr>
    </w:p>
    <w:p>
      <w:pPr>
        <w:ind w:left="1380" w:right="400" w:hanging="1308"/>
        <w:spacing w:after="0" w:line="237"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3.20</w:t>
      </w:r>
      <w:r>
        <w:rPr>
          <w:sz w:val="20"/>
          <w:szCs w:val="20"/>
          <w:color w:val="auto"/>
        </w:rPr>
        <w:tab/>
      </w:r>
      <w:r>
        <w:rPr>
          <w:rFonts w:ascii="Times New Roman" w:cs="Times New Roman" w:eastAsia="Times New Roman" w:hAnsi="Times New Roman"/>
          <w:sz w:val="18"/>
          <w:szCs w:val="18"/>
          <w:color w:val="auto"/>
        </w:rPr>
        <w:t xml:space="preserve">— </w:t>
      </w:r>
      <w:hyperlink r:id="rId113">
        <w:r>
          <w:rPr>
            <w:rFonts w:ascii="Times New Roman" w:cs="Times New Roman" w:eastAsia="Times New Roman" w:hAnsi="Times New Roman"/>
            <w:sz w:val="18"/>
            <w:szCs w:val="18"/>
            <w:u w:val="single" w:color="auto"/>
            <w:color w:val="0000FF"/>
          </w:rPr>
          <w:t>Amendment No. 1 dated April 6, 2020 to the Second Amended and Restated Agreement of Limited Partnership of Plains GP</w:t>
        </w:r>
      </w:hyperlink>
      <w:r>
        <w:rPr>
          <w:rFonts w:ascii="Times New Roman" w:cs="Times New Roman" w:eastAsia="Times New Roman" w:hAnsi="Times New Roman"/>
          <w:sz w:val="18"/>
          <w:szCs w:val="18"/>
          <w:color w:val="auto"/>
        </w:rPr>
        <w:t xml:space="preserve"> </w:t>
      </w:r>
      <w:hyperlink r:id="rId113">
        <w:r>
          <w:rPr>
            <w:rFonts w:ascii="Times New Roman" w:cs="Times New Roman" w:eastAsia="Times New Roman" w:hAnsi="Times New Roman"/>
            <w:sz w:val="18"/>
            <w:szCs w:val="18"/>
            <w:u w:val="single" w:color="auto"/>
            <w:color w:val="0000FF"/>
          </w:rPr>
          <w:t>Holdings, L.P. (incorporated by reference to Exhibit 3.1 to PAGP’s Current Report on Form 8-K filed April 9, 2020).</w:t>
        </w:r>
      </w:hyperlink>
    </w:p>
    <w:p>
      <w:pPr>
        <w:spacing w:after="0" w:line="118" w:lineRule="exact"/>
        <w:rPr>
          <w:sz w:val="20"/>
          <w:szCs w:val="20"/>
          <w:color w:val="auto"/>
        </w:rPr>
      </w:pPr>
    </w:p>
    <w:p>
      <w:pPr>
        <w:ind w:left="1380" w:hanging="1308"/>
        <w:spacing w:after="0" w:line="237"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color w:val="auto"/>
        </w:rPr>
        <w:t xml:space="preserve">— </w:t>
      </w:r>
      <w:hyperlink r:id="rId114">
        <w:r>
          <w:rPr>
            <w:rFonts w:ascii="Times New Roman" w:cs="Times New Roman" w:eastAsia="Times New Roman" w:hAnsi="Times New Roman"/>
            <w:sz w:val="18"/>
            <w:szCs w:val="18"/>
            <w:u w:val="single" w:color="auto"/>
            <w:color w:val="0000FF"/>
          </w:rPr>
          <w:t>Certificate of Formation of PAA GP Holdings LLC (incorporated by reference to Exhibit 3.3 to PAGP’s Registration Statement on</w:t>
        </w:r>
      </w:hyperlink>
      <w:r>
        <w:rPr>
          <w:rFonts w:ascii="Times New Roman" w:cs="Times New Roman" w:eastAsia="Times New Roman" w:hAnsi="Times New Roman"/>
          <w:sz w:val="18"/>
          <w:szCs w:val="18"/>
          <w:color w:val="auto"/>
        </w:rPr>
        <w:t xml:space="preserve"> </w:t>
      </w:r>
      <w:hyperlink r:id="rId114">
        <w:r>
          <w:rPr>
            <w:rFonts w:ascii="Times New Roman" w:cs="Times New Roman" w:eastAsia="Times New Roman" w:hAnsi="Times New Roman"/>
            <w:sz w:val="18"/>
            <w:szCs w:val="18"/>
            <w:u w:val="single" w:color="auto"/>
            <w:color w:val="0000FF"/>
          </w:rPr>
          <w:t>Form S-1 (333-190227) filed July 29, 2013).</w:t>
        </w:r>
      </w:hyperlink>
    </w:p>
    <w:p>
      <w:pPr>
        <w:spacing w:after="0" w:line="106" w:lineRule="exact"/>
        <w:rPr>
          <w:sz w:val="20"/>
          <w:szCs w:val="20"/>
          <w:color w:val="auto"/>
        </w:rPr>
      </w:pPr>
    </w:p>
    <w:p>
      <w:pPr>
        <w:ind w:left="440"/>
        <w:spacing w:after="0"/>
        <w:tabs>
          <w:tab w:leader="none" w:pos="1360" w:val="left"/>
          <w:tab w:leader="none" w:pos="17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hyperlink r:id="rId115">
        <w:r>
          <w:rPr>
            <w:rFonts w:ascii="Times New Roman" w:cs="Times New Roman" w:eastAsia="Times New Roman" w:hAnsi="Times New Roman"/>
            <w:sz w:val="17"/>
            <w:szCs w:val="17"/>
            <w:u w:val="single" w:color="auto"/>
            <w:color w:val="0000FF"/>
          </w:rPr>
          <w:t>Fourth Amended and Restated Limited Liability Company Agreement of PAA GP Holdings LLC dated effective as of August 19,</w:t>
        </w:r>
      </w:hyperlink>
    </w:p>
    <w:p>
      <w:pPr>
        <w:ind w:left="1760"/>
        <w:spacing w:after="0"/>
        <w:rPr>
          <w:rFonts w:ascii="Times New Roman" w:cs="Times New Roman" w:eastAsia="Times New Roman" w:hAnsi="Times New Roman"/>
          <w:sz w:val="18"/>
          <w:szCs w:val="18"/>
          <w:u w:val="single" w:color="auto"/>
          <w:color w:val="0000FF"/>
        </w:rPr>
      </w:pPr>
      <w:hyperlink r:id="rId115">
        <w:r>
          <w:rPr>
            <w:rFonts w:ascii="Times New Roman" w:cs="Times New Roman" w:eastAsia="Times New Roman" w:hAnsi="Times New Roman"/>
            <w:sz w:val="18"/>
            <w:szCs w:val="18"/>
            <w:u w:val="single" w:color="auto"/>
            <w:color w:val="0000FF"/>
          </w:rPr>
          <w:t>2021 (incorporated by reference to Exhibit 3.21 to our Annual Report on Form 10-K for the year ended December 31, 2021).</w:t>
        </w:r>
      </w:hyperlink>
    </w:p>
    <w:p>
      <w:pPr>
        <w:spacing w:after="0" w:line="124" w:lineRule="exact"/>
        <w:rPr>
          <w:sz w:val="20"/>
          <w:szCs w:val="20"/>
          <w:color w:val="auto"/>
        </w:rPr>
      </w:pPr>
    </w:p>
    <w:p>
      <w:pPr>
        <w:ind w:left="1380" w:right="20" w:hanging="1263"/>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 xml:space="preserve">— </w:t>
      </w:r>
      <w:hyperlink r:id="rId116">
        <w:r>
          <w:rPr>
            <w:rFonts w:ascii="Times New Roman" w:cs="Times New Roman" w:eastAsia="Times New Roman" w:hAnsi="Times New Roman"/>
            <w:sz w:val="18"/>
            <w:szCs w:val="18"/>
            <w:u w:val="single" w:color="auto"/>
            <w:color w:val="0000FF"/>
          </w:rPr>
          <w:t>Indenture dated September 25, 2002 among Plains All American Pipeline, L.P., PAA Finance Corp. and Wachovia Bank, National</w:t>
        </w:r>
      </w:hyperlink>
      <w:r>
        <w:rPr>
          <w:rFonts w:ascii="Times New Roman" w:cs="Times New Roman" w:eastAsia="Times New Roman" w:hAnsi="Times New Roman"/>
          <w:sz w:val="18"/>
          <w:szCs w:val="18"/>
          <w:color w:val="auto"/>
        </w:rPr>
        <w:t xml:space="preserve"> </w:t>
      </w:r>
      <w:hyperlink r:id="rId116">
        <w:r>
          <w:rPr>
            <w:rFonts w:ascii="Times New Roman" w:cs="Times New Roman" w:eastAsia="Times New Roman" w:hAnsi="Times New Roman"/>
            <w:sz w:val="18"/>
            <w:szCs w:val="18"/>
            <w:u w:val="single" w:color="auto"/>
            <w:color w:val="0000FF"/>
          </w:rPr>
          <w:t>Association, as trustee (incorporated by reference to Exhibit 4.1 to our Quarterly Report on Form 10-Q for the quarter ended</w:t>
        </w:r>
      </w:hyperlink>
    </w:p>
    <w:p>
      <w:pPr>
        <w:spacing w:after="0" w:line="2" w:lineRule="exact"/>
        <w:rPr>
          <w:sz w:val="20"/>
          <w:szCs w:val="20"/>
          <w:color w:val="auto"/>
        </w:rPr>
      </w:pPr>
    </w:p>
    <w:p>
      <w:pPr>
        <w:ind w:left="1760"/>
        <w:spacing w:after="0"/>
        <w:rPr>
          <w:rFonts w:ascii="Times New Roman" w:cs="Times New Roman" w:eastAsia="Times New Roman" w:hAnsi="Times New Roman"/>
          <w:sz w:val="18"/>
          <w:szCs w:val="18"/>
          <w:u w:val="single" w:color="auto"/>
          <w:color w:val="0000FF"/>
        </w:rPr>
      </w:pPr>
      <w:hyperlink r:id="rId116">
        <w:r>
          <w:rPr>
            <w:rFonts w:ascii="Times New Roman" w:cs="Times New Roman" w:eastAsia="Times New Roman" w:hAnsi="Times New Roman"/>
            <w:sz w:val="18"/>
            <w:szCs w:val="18"/>
            <w:u w:val="single" w:color="auto"/>
            <w:color w:val="0000FF"/>
          </w:rPr>
          <w:t>September 30, 2002).</w:t>
        </w:r>
      </w:hyperlink>
    </w:p>
    <w:p>
      <w:pPr>
        <w:spacing w:after="0" w:line="111" w:lineRule="exact"/>
        <w:rPr>
          <w:sz w:val="20"/>
          <w:szCs w:val="20"/>
          <w:color w:val="auto"/>
        </w:rPr>
      </w:pPr>
    </w:p>
    <w:p>
      <w:pPr>
        <w:ind w:left="1380" w:hanging="1263"/>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 xml:space="preserve">— </w:t>
      </w:r>
      <w:hyperlink r:id="rId117">
        <w:r>
          <w:rPr>
            <w:rFonts w:ascii="Times New Roman" w:cs="Times New Roman" w:eastAsia="Times New Roman" w:hAnsi="Times New Roman"/>
            <w:sz w:val="18"/>
            <w:szCs w:val="18"/>
            <w:u w:val="single" w:color="auto"/>
            <w:color w:val="0000FF"/>
          </w:rPr>
          <w:t>Sixth Supplemental Indenture (Series A and Series B 6.70% Senior Notes due 2036) dated May 12, 2006 among Plains All</w:t>
        </w:r>
      </w:hyperlink>
      <w:r>
        <w:rPr>
          <w:rFonts w:ascii="Times New Roman" w:cs="Times New Roman" w:eastAsia="Times New Roman" w:hAnsi="Times New Roman"/>
          <w:sz w:val="18"/>
          <w:szCs w:val="18"/>
          <w:color w:val="auto"/>
        </w:rPr>
        <w:t xml:space="preserve"> </w:t>
      </w:r>
      <w:hyperlink r:id="rId117">
        <w:r>
          <w:rPr>
            <w:rFonts w:ascii="Times New Roman" w:cs="Times New Roman" w:eastAsia="Times New Roman" w:hAnsi="Times New Roman"/>
            <w:sz w:val="18"/>
            <w:szCs w:val="18"/>
            <w:u w:val="single" w:color="auto"/>
            <w:color w:val="0000FF"/>
          </w:rPr>
          <w:t>American Pipeline, L.P., PAA Finance Corp., the Subsidiary Guarantors named therein and Wachovia Bank, National Association,</w:t>
        </w:r>
      </w:hyperlink>
    </w:p>
    <w:p>
      <w:pPr>
        <w:spacing w:after="0" w:line="2" w:lineRule="exact"/>
        <w:rPr>
          <w:sz w:val="20"/>
          <w:szCs w:val="20"/>
          <w:color w:val="auto"/>
        </w:rPr>
      </w:pPr>
    </w:p>
    <w:p>
      <w:pPr>
        <w:jc w:val="center"/>
        <w:ind w:right="-119"/>
        <w:spacing w:after="0"/>
        <w:rPr>
          <w:rFonts w:ascii="Times New Roman" w:cs="Times New Roman" w:eastAsia="Times New Roman" w:hAnsi="Times New Roman"/>
          <w:sz w:val="18"/>
          <w:szCs w:val="18"/>
          <w:u w:val="single" w:color="auto"/>
          <w:color w:val="0000FF"/>
        </w:rPr>
      </w:pPr>
      <w:hyperlink r:id="rId117">
        <w:r>
          <w:rPr>
            <w:rFonts w:ascii="Times New Roman" w:cs="Times New Roman" w:eastAsia="Times New Roman" w:hAnsi="Times New Roman"/>
            <w:sz w:val="18"/>
            <w:szCs w:val="18"/>
            <w:u w:val="single" w:color="auto"/>
            <w:color w:val="0000FF"/>
          </w:rPr>
          <w:t>as trustee (incorporated by reference to Exhibit 4.1 to our Current Report on Form 8-K filed May 12, 2006).</w:t>
        </w:r>
      </w:hyperlink>
    </w:p>
    <w:p>
      <w:pPr>
        <w:spacing w:after="0" w:line="111" w:lineRule="exact"/>
        <w:rPr>
          <w:sz w:val="20"/>
          <w:szCs w:val="20"/>
          <w:color w:val="auto"/>
        </w:rPr>
      </w:pPr>
    </w:p>
    <w:p>
      <w:pPr>
        <w:ind w:left="1380" w:right="160" w:hanging="1263"/>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 xml:space="preserve">— </w:t>
      </w:r>
      <w:hyperlink r:id="rId118">
        <w:r>
          <w:rPr>
            <w:rFonts w:ascii="Times New Roman" w:cs="Times New Roman" w:eastAsia="Times New Roman" w:hAnsi="Times New Roman"/>
            <w:sz w:val="18"/>
            <w:szCs w:val="18"/>
            <w:u w:val="single" w:color="auto"/>
            <w:color w:val="0000FF"/>
          </w:rPr>
          <w:t>Tenth Supplemental Indenture (Series A and Series B 6.650% Senior Notes due 2037) dated October 30, 2006 among Plains All</w:t>
        </w:r>
      </w:hyperlink>
      <w:r>
        <w:rPr>
          <w:rFonts w:ascii="Times New Roman" w:cs="Times New Roman" w:eastAsia="Times New Roman" w:hAnsi="Times New Roman"/>
          <w:sz w:val="18"/>
          <w:szCs w:val="18"/>
          <w:color w:val="auto"/>
        </w:rPr>
        <w:t xml:space="preserve"> </w:t>
      </w:r>
      <w:hyperlink r:id="rId118">
        <w:r>
          <w:rPr>
            <w:rFonts w:ascii="Times New Roman" w:cs="Times New Roman" w:eastAsia="Times New Roman" w:hAnsi="Times New Roman"/>
            <w:sz w:val="18"/>
            <w:szCs w:val="18"/>
            <w:u w:val="single" w:color="auto"/>
            <w:color w:val="0000FF"/>
          </w:rPr>
          <w:t>American Pipeline, L.P., PAA Finance Corp., the Subsidiary Guarantors named therein and U.S. Bank National Association, as</w:t>
        </w:r>
      </w:hyperlink>
    </w:p>
    <w:p>
      <w:pPr>
        <w:spacing w:after="0" w:line="2" w:lineRule="exact"/>
        <w:rPr>
          <w:sz w:val="20"/>
          <w:szCs w:val="20"/>
          <w:color w:val="auto"/>
        </w:rPr>
      </w:pPr>
    </w:p>
    <w:p>
      <w:pPr>
        <w:ind w:left="1760"/>
        <w:spacing w:after="0"/>
        <w:rPr>
          <w:rFonts w:ascii="Times New Roman" w:cs="Times New Roman" w:eastAsia="Times New Roman" w:hAnsi="Times New Roman"/>
          <w:sz w:val="18"/>
          <w:szCs w:val="18"/>
          <w:u w:val="single" w:color="auto"/>
          <w:color w:val="0000FF"/>
        </w:rPr>
      </w:pPr>
      <w:hyperlink r:id="rId118">
        <w:r>
          <w:rPr>
            <w:rFonts w:ascii="Times New Roman" w:cs="Times New Roman" w:eastAsia="Times New Roman" w:hAnsi="Times New Roman"/>
            <w:sz w:val="18"/>
            <w:szCs w:val="18"/>
            <w:u w:val="single" w:color="auto"/>
            <w:color w:val="0000FF"/>
          </w:rPr>
          <w:t>trustee (incorporated by reference to Exhibit 4.2 to our Current Report on Form 8-K filed October 30, 2006).</w:t>
        </w:r>
      </w:hyperlink>
    </w:p>
    <w:p>
      <w:pPr>
        <w:spacing w:after="0" w:line="111" w:lineRule="exact"/>
        <w:rPr>
          <w:sz w:val="20"/>
          <w:szCs w:val="20"/>
          <w:color w:val="auto"/>
        </w:rPr>
      </w:pPr>
    </w:p>
    <w:p>
      <w:pPr>
        <w:ind w:left="1380" w:right="20" w:hanging="1263"/>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color w:val="auto"/>
        </w:rPr>
        <w:t xml:space="preserve">— </w:t>
      </w:r>
      <w:hyperlink r:id="rId119">
        <w:r>
          <w:rPr>
            <w:rFonts w:ascii="Times New Roman" w:cs="Times New Roman" w:eastAsia="Times New Roman" w:hAnsi="Times New Roman"/>
            <w:sz w:val="18"/>
            <w:szCs w:val="18"/>
            <w:u w:val="single" w:color="auto"/>
            <w:color w:val="0000FF"/>
          </w:rPr>
          <w:t>Twenty-First Supplemental Indenture (5.15% Senior Notes due 2042) dated March 22, 2012 among Plains All American Pipeline,</w:t>
        </w:r>
      </w:hyperlink>
      <w:r>
        <w:rPr>
          <w:rFonts w:ascii="Times New Roman" w:cs="Times New Roman" w:eastAsia="Times New Roman" w:hAnsi="Times New Roman"/>
          <w:sz w:val="18"/>
          <w:szCs w:val="18"/>
          <w:color w:val="auto"/>
        </w:rPr>
        <w:t xml:space="preserve"> </w:t>
      </w:r>
      <w:hyperlink r:id="rId119">
        <w:r>
          <w:rPr>
            <w:rFonts w:ascii="Times New Roman" w:cs="Times New Roman" w:eastAsia="Times New Roman" w:hAnsi="Times New Roman"/>
            <w:sz w:val="18"/>
            <w:szCs w:val="18"/>
            <w:u w:val="single" w:color="auto"/>
            <w:color w:val="0000FF"/>
          </w:rPr>
          <w:t>L.P., PAA Finance Corp. and U.S. Bank National Association, as trustee (incorporated by reference to Exhibit 4.3 to our Current</w:t>
        </w:r>
      </w:hyperlink>
    </w:p>
    <w:p>
      <w:pPr>
        <w:spacing w:after="0" w:line="2" w:lineRule="exact"/>
        <w:rPr>
          <w:sz w:val="20"/>
          <w:szCs w:val="20"/>
          <w:color w:val="auto"/>
        </w:rPr>
      </w:pPr>
    </w:p>
    <w:p>
      <w:pPr>
        <w:ind w:left="1760"/>
        <w:spacing w:after="0"/>
        <w:rPr>
          <w:rFonts w:ascii="Times New Roman" w:cs="Times New Roman" w:eastAsia="Times New Roman" w:hAnsi="Times New Roman"/>
          <w:sz w:val="18"/>
          <w:szCs w:val="18"/>
          <w:u w:val="single" w:color="auto"/>
          <w:color w:val="0000FF"/>
        </w:rPr>
      </w:pPr>
      <w:hyperlink r:id="rId119">
        <w:r>
          <w:rPr>
            <w:rFonts w:ascii="Times New Roman" w:cs="Times New Roman" w:eastAsia="Times New Roman" w:hAnsi="Times New Roman"/>
            <w:sz w:val="18"/>
            <w:szCs w:val="18"/>
            <w:u w:val="single" w:color="auto"/>
            <w:color w:val="0000FF"/>
          </w:rPr>
          <w:t>Report on Form 8-K filed March 26, 2012).</w:t>
        </w:r>
      </w:hyperlink>
    </w:p>
    <w:p>
      <w:pPr>
        <w:spacing w:after="0" w:line="111" w:lineRule="exact"/>
        <w:rPr>
          <w:sz w:val="20"/>
          <w:szCs w:val="20"/>
          <w:color w:val="auto"/>
        </w:rPr>
      </w:pPr>
    </w:p>
    <w:p>
      <w:pPr>
        <w:ind w:left="1380" w:right="540" w:hanging="1263"/>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color w:val="auto"/>
        </w:rPr>
        <w:t xml:space="preserve">— </w:t>
      </w:r>
      <w:hyperlink r:id="rId120">
        <w:r>
          <w:rPr>
            <w:rFonts w:ascii="Times New Roman" w:cs="Times New Roman" w:eastAsia="Times New Roman" w:hAnsi="Times New Roman"/>
            <w:sz w:val="18"/>
            <w:szCs w:val="18"/>
            <w:u w:val="single" w:color="auto"/>
            <w:color w:val="0000FF"/>
          </w:rPr>
          <w:t>Twenty-Third Supplemental Indenture (4.30% Senior Notes due 2043) dated December 10, 2012, by and among Plains All</w:t>
        </w:r>
      </w:hyperlink>
      <w:r>
        <w:rPr>
          <w:rFonts w:ascii="Times New Roman" w:cs="Times New Roman" w:eastAsia="Times New Roman" w:hAnsi="Times New Roman"/>
          <w:sz w:val="18"/>
          <w:szCs w:val="18"/>
          <w:color w:val="auto"/>
        </w:rPr>
        <w:t xml:space="preserve"> </w:t>
      </w:r>
      <w:hyperlink r:id="rId120">
        <w:r>
          <w:rPr>
            <w:rFonts w:ascii="Times New Roman" w:cs="Times New Roman" w:eastAsia="Times New Roman" w:hAnsi="Times New Roman"/>
            <w:sz w:val="18"/>
            <w:szCs w:val="18"/>
            <w:u w:val="single" w:color="auto"/>
            <w:color w:val="0000FF"/>
          </w:rPr>
          <w:t>American Pipeline, L.P., PAA Finance Corp. and U.S. Bank National Association, as trustee (incorporated by reference to</w:t>
        </w:r>
      </w:hyperlink>
    </w:p>
    <w:p>
      <w:pPr>
        <w:spacing w:after="0" w:line="2" w:lineRule="exact"/>
        <w:rPr>
          <w:sz w:val="20"/>
          <w:szCs w:val="20"/>
          <w:color w:val="auto"/>
        </w:rPr>
      </w:pPr>
    </w:p>
    <w:p>
      <w:pPr>
        <w:ind w:left="1760"/>
        <w:spacing w:after="0"/>
        <w:rPr>
          <w:rFonts w:ascii="Times New Roman" w:cs="Times New Roman" w:eastAsia="Times New Roman" w:hAnsi="Times New Roman"/>
          <w:sz w:val="18"/>
          <w:szCs w:val="18"/>
          <w:u w:val="single" w:color="auto"/>
          <w:color w:val="0000FF"/>
        </w:rPr>
      </w:pPr>
      <w:hyperlink r:id="rId120">
        <w:r>
          <w:rPr>
            <w:rFonts w:ascii="Times New Roman" w:cs="Times New Roman" w:eastAsia="Times New Roman" w:hAnsi="Times New Roman"/>
            <w:sz w:val="18"/>
            <w:szCs w:val="18"/>
            <w:u w:val="single" w:color="auto"/>
            <w:color w:val="0000FF"/>
          </w:rPr>
          <w:t>Exhibit 4.3 to our Current Report on Form 8-K filed December 12, 2012).</w:t>
        </w:r>
      </w:hyperlink>
    </w:p>
    <w:p>
      <w:pPr>
        <w:spacing w:after="0" w:line="111" w:lineRule="exact"/>
        <w:rPr>
          <w:sz w:val="20"/>
          <w:szCs w:val="20"/>
          <w:color w:val="auto"/>
        </w:rPr>
      </w:pPr>
    </w:p>
    <w:p>
      <w:pPr>
        <w:ind w:left="1380" w:right="60" w:hanging="1263"/>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color w:val="auto"/>
        </w:rPr>
        <w:t xml:space="preserve">— </w:t>
      </w:r>
      <w:hyperlink r:id="rId121">
        <w:r>
          <w:rPr>
            <w:rFonts w:ascii="Times New Roman" w:cs="Times New Roman" w:eastAsia="Times New Roman" w:hAnsi="Times New Roman"/>
            <w:sz w:val="18"/>
            <w:szCs w:val="18"/>
            <w:u w:val="single" w:color="auto"/>
            <w:color w:val="0000FF"/>
          </w:rPr>
          <w:t>Twenty-Fifth Supplemental Indenture (4.70% Senior Notes due 2044) dated April 23, 2014, by and among Plains All American</w:t>
        </w:r>
      </w:hyperlink>
      <w:r>
        <w:rPr>
          <w:rFonts w:ascii="Times New Roman" w:cs="Times New Roman" w:eastAsia="Times New Roman" w:hAnsi="Times New Roman"/>
          <w:sz w:val="18"/>
          <w:szCs w:val="18"/>
          <w:color w:val="auto"/>
        </w:rPr>
        <w:t xml:space="preserve"> </w:t>
      </w:r>
      <w:hyperlink r:id="rId121">
        <w:r>
          <w:rPr>
            <w:rFonts w:ascii="Times New Roman" w:cs="Times New Roman" w:eastAsia="Times New Roman" w:hAnsi="Times New Roman"/>
            <w:sz w:val="18"/>
            <w:szCs w:val="18"/>
            <w:u w:val="single" w:color="auto"/>
            <w:color w:val="0000FF"/>
          </w:rPr>
          <w:t>Pipeline, L.P., PAA Finance Corp. and U.S. Bank National Association, as trustee (incorporated by reference to Exhibit 4.1 to our</w:t>
        </w:r>
      </w:hyperlink>
    </w:p>
    <w:p>
      <w:pPr>
        <w:spacing w:after="0" w:line="2" w:lineRule="exact"/>
        <w:rPr>
          <w:sz w:val="20"/>
          <w:szCs w:val="20"/>
          <w:color w:val="auto"/>
        </w:rPr>
      </w:pPr>
    </w:p>
    <w:p>
      <w:pPr>
        <w:ind w:left="1760"/>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u w:val="single" w:color="auto"/>
            <w:color w:val="0000FF"/>
          </w:rPr>
          <w:t>Current Report on Form 8-K filed April 29, 2014)</w:t>
        </w:r>
        <w:r>
          <w:rPr>
            <w:rFonts w:ascii="Times New Roman" w:cs="Times New Roman" w:eastAsia="Times New Roman" w:hAnsi="Times New Roman"/>
            <w:sz w:val="18"/>
            <w:szCs w:val="18"/>
            <w:color w:val="000000"/>
          </w:rPr>
          <w:t>.</w:t>
        </w:r>
      </w:hyperlink>
    </w:p>
    <w:p>
      <w:pPr>
        <w:spacing w:after="0" w:line="111" w:lineRule="exact"/>
        <w:rPr>
          <w:sz w:val="20"/>
          <w:szCs w:val="20"/>
          <w:color w:val="auto"/>
        </w:rPr>
      </w:pPr>
    </w:p>
    <w:p>
      <w:pPr>
        <w:ind w:left="1380" w:right="540" w:hanging="1263"/>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8"/>
          <w:szCs w:val="18"/>
          <w:color w:val="auto"/>
        </w:rPr>
        <w:t xml:space="preserve">— </w:t>
      </w:r>
      <w:hyperlink r:id="rId122">
        <w:r>
          <w:rPr>
            <w:rFonts w:ascii="Times New Roman" w:cs="Times New Roman" w:eastAsia="Times New Roman" w:hAnsi="Times New Roman"/>
            <w:sz w:val="18"/>
            <w:szCs w:val="18"/>
            <w:u w:val="single" w:color="auto"/>
            <w:color w:val="0000FF"/>
          </w:rPr>
          <w:t>Twenty-Eighth Supplemental Indenture (4.90% Senior Notes due 2045) dated December 9, 2014, by and among Plains All</w:t>
        </w:r>
      </w:hyperlink>
      <w:r>
        <w:rPr>
          <w:rFonts w:ascii="Times New Roman" w:cs="Times New Roman" w:eastAsia="Times New Roman" w:hAnsi="Times New Roman"/>
          <w:sz w:val="18"/>
          <w:szCs w:val="18"/>
          <w:color w:val="auto"/>
        </w:rPr>
        <w:t xml:space="preserve"> </w:t>
      </w:r>
      <w:hyperlink r:id="rId122">
        <w:r>
          <w:rPr>
            <w:rFonts w:ascii="Times New Roman" w:cs="Times New Roman" w:eastAsia="Times New Roman" w:hAnsi="Times New Roman"/>
            <w:sz w:val="18"/>
            <w:szCs w:val="18"/>
            <w:u w:val="single" w:color="auto"/>
            <w:color w:val="0000FF"/>
          </w:rPr>
          <w:t>American Pipeline, L.P., PAA Finance Corp. and U.S. Bank National Association, as trustee (incorporated by reference to</w:t>
        </w:r>
      </w:hyperlink>
    </w:p>
    <w:p>
      <w:pPr>
        <w:spacing w:after="0" w:line="2" w:lineRule="exact"/>
        <w:rPr>
          <w:sz w:val="20"/>
          <w:szCs w:val="20"/>
          <w:color w:val="auto"/>
        </w:rPr>
      </w:pPr>
    </w:p>
    <w:p>
      <w:pPr>
        <w:ind w:left="1760"/>
        <w:spacing w:after="0"/>
        <w:rPr>
          <w:rFonts w:ascii="Times New Roman" w:cs="Times New Roman" w:eastAsia="Times New Roman" w:hAnsi="Times New Roman"/>
          <w:sz w:val="18"/>
          <w:szCs w:val="18"/>
          <w:u w:val="single" w:color="auto"/>
          <w:color w:val="0000FF"/>
        </w:rPr>
      </w:pPr>
      <w:hyperlink r:id="rId122">
        <w:r>
          <w:rPr>
            <w:rFonts w:ascii="Times New Roman" w:cs="Times New Roman" w:eastAsia="Times New Roman" w:hAnsi="Times New Roman"/>
            <w:sz w:val="18"/>
            <w:szCs w:val="18"/>
            <w:u w:val="single" w:color="auto"/>
            <w:color w:val="0000FF"/>
          </w:rPr>
          <w:t>Exhibit 4.3 to our Current Report on Form 8-K filed December 11, 2014).</w:t>
        </w:r>
      </w:hyperlink>
    </w:p>
    <w:p>
      <w:pPr>
        <w:spacing w:after="0" w:line="111" w:lineRule="exact"/>
        <w:rPr>
          <w:sz w:val="20"/>
          <w:szCs w:val="20"/>
          <w:color w:val="auto"/>
        </w:rPr>
      </w:pPr>
    </w:p>
    <w:p>
      <w:pPr>
        <w:ind w:left="1380" w:right="60" w:hanging="1263"/>
        <w:spacing w:after="0" w:line="22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4.8</w:t>
      </w:r>
      <w:r>
        <w:rPr>
          <w:sz w:val="20"/>
          <w:szCs w:val="20"/>
          <w:color w:val="auto"/>
        </w:rPr>
        <w:tab/>
      </w:r>
      <w:r>
        <w:rPr>
          <w:rFonts w:ascii="Times New Roman" w:cs="Times New Roman" w:eastAsia="Times New Roman" w:hAnsi="Times New Roman"/>
          <w:sz w:val="18"/>
          <w:szCs w:val="18"/>
          <w:color w:val="auto"/>
        </w:rPr>
        <w:t xml:space="preserve">— </w:t>
      </w:r>
      <w:hyperlink r:id="rId123">
        <w:r>
          <w:rPr>
            <w:rFonts w:ascii="Times New Roman" w:cs="Times New Roman" w:eastAsia="Times New Roman" w:hAnsi="Times New Roman"/>
            <w:sz w:val="18"/>
            <w:szCs w:val="18"/>
            <w:u w:val="single" w:color="auto"/>
            <w:color w:val="0000FF"/>
          </w:rPr>
          <w:t>Thirtieth Supplemental Indenture (4.50% Senior Notes due 2026) dated November 22, 2016, by and among Plains All American</w:t>
        </w:r>
      </w:hyperlink>
      <w:r>
        <w:rPr>
          <w:rFonts w:ascii="Times New Roman" w:cs="Times New Roman" w:eastAsia="Times New Roman" w:hAnsi="Times New Roman"/>
          <w:sz w:val="18"/>
          <w:szCs w:val="18"/>
          <w:color w:val="auto"/>
        </w:rPr>
        <w:t xml:space="preserve"> </w:t>
      </w:r>
      <w:hyperlink r:id="rId123">
        <w:r>
          <w:rPr>
            <w:rFonts w:ascii="Times New Roman" w:cs="Times New Roman" w:eastAsia="Times New Roman" w:hAnsi="Times New Roman"/>
            <w:sz w:val="18"/>
            <w:szCs w:val="18"/>
            <w:u w:val="single" w:color="auto"/>
            <w:color w:val="0000FF"/>
          </w:rPr>
          <w:t>Pipeline, L.P., PAA Finance Corp. and U.S. Bank National Association, as trustee (incorporated by reference to Exhibit 4.1 to our</w:t>
        </w:r>
      </w:hyperlink>
    </w:p>
    <w:p>
      <w:pPr>
        <w:spacing w:after="0" w:line="2" w:lineRule="exact"/>
        <w:rPr>
          <w:sz w:val="20"/>
          <w:szCs w:val="20"/>
          <w:color w:val="auto"/>
        </w:rPr>
      </w:pPr>
    </w:p>
    <w:p>
      <w:pPr>
        <w:ind w:left="1760"/>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u w:val="single" w:color="auto"/>
            <w:color w:val="0000FF"/>
          </w:rPr>
          <w:t>Current Report on Form 8-K filed November 29, 2016)</w:t>
        </w:r>
        <w:r>
          <w:rPr>
            <w:rFonts w:ascii="Times New Roman" w:cs="Times New Roman" w:eastAsia="Times New Roman" w:hAnsi="Times New Roman"/>
            <w:sz w:val="18"/>
            <w:szCs w:val="18"/>
            <w:color w:val="000000"/>
          </w:rPr>
          <w:t>.</w:t>
        </w:r>
      </w:hyperlink>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260" w:type="dxa"/>
        <w:tblCellMar>
          <w:top w:w="0" w:type="dxa"/>
          <w:left w:w="0" w:type="dxa"/>
          <w:bottom w:w="0" w:type="dxa"/>
          <w:right w:w="0" w:type="dxa"/>
        </w:tblCellMar>
      </w:tblPr>
      <w:tr>
        <w:trPr>
          <w:trHeight w:val="207"/>
        </w:trPr>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4.9</w:t>
            </w:r>
          </w:p>
        </w:tc>
        <w:tc>
          <w:tcPr>
            <w:tcW w:w="10040" w:type="dxa"/>
            <w:vAlign w:val="bottom"/>
            <w:gridSpan w:val="32"/>
          </w:tcPr>
          <w:p>
            <w:pPr>
              <w:ind w:left="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5">
              <w:r>
                <w:rPr>
                  <w:rFonts w:ascii="Times New Roman" w:cs="Times New Roman" w:eastAsia="Times New Roman" w:hAnsi="Times New Roman"/>
                  <w:sz w:val="18"/>
                  <w:szCs w:val="18"/>
                  <w:color w:val="0000FF"/>
                </w:rPr>
                <w:t>Thirty-First Supplemental Indenture (3.55% Senior Notes due 2029) dated September 16, 2019, by and among Plains All</w:t>
              </w:r>
            </w:hyperlink>
          </w:p>
        </w:tc>
      </w:tr>
      <w:tr>
        <w:trPr>
          <w:trHeight w:val="20"/>
        </w:trPr>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9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440" w:type="dxa"/>
            <w:vAlign w:val="bottom"/>
            <w:gridSpan w:val="31"/>
          </w:tcPr>
          <w:p>
            <w:pPr>
              <w:spacing w:after="0" w:line="15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American Pipeline, L.P., PAA Finance Corp. and U.S. Bank National Association, as trustee (incorporated by reference to Exhibit</w:t>
              </w:r>
            </w:hyperlink>
          </w:p>
        </w:tc>
      </w:tr>
      <w:tr>
        <w:trPr>
          <w:trHeight w:val="169"/>
        </w:trPr>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780" w:type="dxa"/>
            <w:vAlign w:val="bottom"/>
            <w:tcBorders>
              <w:top w:val="single" w:sz="8" w:color="0000FF"/>
              <w:bottom w:val="single" w:sz="8" w:color="0000FF"/>
            </w:tcBorders>
            <w:gridSpan w:val="4"/>
          </w:tcPr>
          <w:p>
            <w:pPr>
              <w:spacing w:after="0" w:line="169" w:lineRule="exact"/>
              <w:rPr>
                <w:rFonts w:ascii="Times New Roman" w:cs="Times New Roman" w:eastAsia="Times New Roman" w:hAnsi="Times New Roman"/>
                <w:sz w:val="18"/>
                <w:szCs w:val="18"/>
                <w:color w:val="0000FF"/>
                <w:w w:val="99"/>
              </w:rPr>
            </w:pPr>
            <w:hyperlink r:id="rId125">
              <w:r>
                <w:rPr>
                  <w:rFonts w:ascii="Times New Roman" w:cs="Times New Roman" w:eastAsia="Times New Roman" w:hAnsi="Times New Roman"/>
                  <w:sz w:val="18"/>
                  <w:szCs w:val="18"/>
                  <w:color w:val="0000FF"/>
                  <w:w w:val="99"/>
                </w:rPr>
                <w:t>4.</w:t>
              </w:r>
              <w:r>
                <w:rPr>
                  <w:rFonts w:ascii="Times New Roman" w:cs="Times New Roman" w:eastAsia="Times New Roman" w:hAnsi="Times New Roman"/>
                  <w:sz w:val="18"/>
                  <w:szCs w:val="18"/>
                  <w:u w:val="single" w:color="auto"/>
                  <w:color w:val="0000FF"/>
                  <w:w w:val="99"/>
                </w:rPr>
                <w:t>1</w:t>
              </w:r>
              <w:r>
                <w:rPr>
                  <w:rFonts w:ascii="Times New Roman" w:cs="Times New Roman" w:eastAsia="Times New Roman" w:hAnsi="Times New Roman"/>
                  <w:sz w:val="18"/>
                  <w:szCs w:val="18"/>
                  <w:color w:val="0000FF"/>
                  <w:w w:val="99"/>
                </w:rPr>
                <w:t xml:space="preserve"> to our Current Report on Form 8-K filed September 17, 2019).</w:t>
              </w:r>
            </w:hyperlink>
          </w:p>
        </w:tc>
        <w:tc>
          <w:tcPr>
            <w:tcW w:w="4560" w:type="dxa"/>
            <w:vAlign w:val="bottom"/>
            <w:tcBorders>
              <w:top w:val="single" w:sz="8" w:color="0000FF"/>
            </w:tcBorders>
            <w:gridSpan w:val="2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18"/>
        </w:trPr>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4.10</w:t>
            </w:r>
          </w:p>
        </w:tc>
        <w:tc>
          <w:tcPr>
            <w:tcW w:w="10040" w:type="dxa"/>
            <w:vAlign w:val="bottom"/>
            <w:gridSpan w:val="32"/>
          </w:tcPr>
          <w:p>
            <w:pPr>
              <w:ind w:left="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6">
              <w:r>
                <w:rPr>
                  <w:rFonts w:ascii="Times New Roman" w:cs="Times New Roman" w:eastAsia="Times New Roman" w:hAnsi="Times New Roman"/>
                  <w:sz w:val="18"/>
                  <w:szCs w:val="18"/>
                  <w:color w:val="0000FF"/>
                </w:rPr>
                <w:t>Thirty-Second Supplemental Indenture (3.80% Senior Notes due 2030) dated June 11, 2020, by and among Plains All American</w:t>
              </w:r>
            </w:hyperlink>
          </w:p>
        </w:tc>
      </w:tr>
      <w:tr>
        <w:trPr>
          <w:trHeight w:val="20"/>
        </w:trPr>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9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440" w:type="dxa"/>
            <w:vAlign w:val="bottom"/>
            <w:gridSpan w:val="31"/>
          </w:tcPr>
          <w:p>
            <w:pPr>
              <w:spacing w:after="0" w:line="15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Pipeline, L.P., PAA Finance Corp. and U.S. Bank National Association, as trustee (incorporated by reference to Exhibit 4.1 to our</w:t>
              </w:r>
            </w:hyperlink>
          </w:p>
        </w:tc>
      </w:tr>
      <w:tr>
        <w:trPr>
          <w:trHeight w:val="169"/>
        </w:trPr>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320" w:type="dxa"/>
            <w:vAlign w:val="bottom"/>
            <w:tcBorders>
              <w:top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Current Report on Form 8-K filed June 11, 2020).</w:t>
              </w:r>
            </w:hyperlink>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4.11</w:t>
            </w:r>
          </w:p>
        </w:tc>
        <w:tc>
          <w:tcPr>
            <w:tcW w:w="10040" w:type="dxa"/>
            <w:vAlign w:val="bottom"/>
            <w:gridSpan w:val="32"/>
          </w:tcPr>
          <w:p>
            <w:pPr>
              <w:ind w:left="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7">
              <w:r>
                <w:rPr>
                  <w:rFonts w:ascii="Times New Roman" w:cs="Times New Roman" w:eastAsia="Times New Roman" w:hAnsi="Times New Roman"/>
                  <w:sz w:val="18"/>
                  <w:szCs w:val="18"/>
                  <w:color w:val="0000FF"/>
                </w:rPr>
                <w:t>Thirty-Third Supplemental Indenture (5.70% Senior Notes due 2034) dated June 27, 2024, by and among Plains All American</w:t>
              </w:r>
            </w:hyperlink>
          </w:p>
        </w:tc>
      </w:tr>
      <w:tr>
        <w:trPr>
          <w:trHeight w:val="156"/>
        </w:trPr>
        <w:tc>
          <w:tcPr>
            <w:tcW w:w="9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10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w w:val="99"/>
              </w:rPr>
            </w:pPr>
            <w:hyperlink r:id="rId127">
              <w:r>
                <w:rPr>
                  <w:rFonts w:ascii="Times New Roman" w:cs="Times New Roman" w:eastAsia="Times New Roman" w:hAnsi="Times New Roman"/>
                  <w:sz w:val="18"/>
                  <w:szCs w:val="18"/>
                  <w:color w:val="0000FF"/>
                  <w:w w:val="99"/>
                </w:rPr>
                <w:t>Pipeline, L.P., PAA Finance Corp. and U.S. Bank Trust Company, National Association, as trustee (incorporated by reference</w:t>
              </w:r>
            </w:hyperlink>
          </w:p>
        </w:tc>
        <w:tc>
          <w:tcPr>
            <w:tcW w:w="340" w:type="dxa"/>
            <w:vAlign w:val="bottom"/>
            <w:gridSpan w:val="11"/>
          </w:tcPr>
          <w:p>
            <w:pPr>
              <w:spacing w:after="0" w:line="156"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to</w:t>
              </w:r>
            </w:hyperlink>
          </w:p>
        </w:tc>
      </w:tr>
      <w:tr>
        <w:trPr>
          <w:trHeight w:val="169"/>
        </w:trPr>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20" w:type="dxa"/>
            <w:vAlign w:val="bottom"/>
            <w:tcBorders>
              <w:top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Exhibit 4.1 to our Current Report on Form 8-K filed June 27, 2024).</w:t>
              </w:r>
            </w:hyperlink>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4.12</w:t>
            </w:r>
          </w:p>
        </w:tc>
        <w:tc>
          <w:tcPr>
            <w:tcW w:w="10040" w:type="dxa"/>
            <w:vAlign w:val="bottom"/>
            <w:gridSpan w:val="32"/>
          </w:tcPr>
          <w:p>
            <w:pPr>
              <w:ind w:left="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8">
              <w:r>
                <w:rPr>
                  <w:rFonts w:ascii="Times New Roman" w:cs="Times New Roman" w:eastAsia="Times New Roman" w:hAnsi="Times New Roman"/>
                  <w:sz w:val="18"/>
                  <w:szCs w:val="18"/>
                  <w:color w:val="0000FF"/>
                </w:rPr>
                <w:t>Thirty-Fourth Supplemental Indenture (5.950% Senior Notes due 2035) dated January 15, 2025, by and among Plains All</w:t>
              </w:r>
            </w:hyperlink>
          </w:p>
        </w:tc>
      </w:tr>
      <w:tr>
        <w:trPr>
          <w:trHeight w:val="155"/>
        </w:trPr>
        <w:tc>
          <w:tcPr>
            <w:tcW w:w="9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74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w w:val="97"/>
              </w:rPr>
            </w:pPr>
            <w:hyperlink r:id="rId128">
              <w:r>
                <w:rPr>
                  <w:rFonts w:ascii="Times New Roman" w:cs="Times New Roman" w:eastAsia="Times New Roman" w:hAnsi="Times New Roman"/>
                  <w:sz w:val="18"/>
                  <w:szCs w:val="18"/>
                  <w:color w:val="0000FF"/>
                  <w:w w:val="97"/>
                </w:rPr>
                <w:t>American Pipeline, L.P., PAA Finance Corp. and U.S. Bank Trust Company, National Association, as trustee (incorporated</w:t>
              </w:r>
            </w:hyperlink>
          </w:p>
        </w:tc>
        <w:tc>
          <w:tcPr>
            <w:tcW w:w="700" w:type="dxa"/>
            <w:vAlign w:val="bottom"/>
            <w:gridSpan w:val="15"/>
          </w:tcPr>
          <w:p>
            <w:pPr>
              <w:ind w:left="140"/>
              <w:spacing w:after="0" w:line="15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by</w:t>
              </w:r>
            </w:hyperlink>
          </w:p>
        </w:tc>
      </w:tr>
      <w:tr>
        <w:trPr>
          <w:trHeight w:val="169"/>
        </w:trPr>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40" w:type="dxa"/>
            <w:vAlign w:val="bottom"/>
            <w:tcBorders>
              <w:top w:val="single" w:sz="8" w:color="0000FF"/>
              <w:bottom w:val="single" w:sz="8" w:color="0000FF"/>
            </w:tcBorders>
            <w:gridSpan w:val="9"/>
          </w:tcPr>
          <w:p>
            <w:pPr>
              <w:spacing w:after="0" w:line="169" w:lineRule="exact"/>
              <w:rPr>
                <w:rFonts w:ascii="Times New Roman" w:cs="Times New Roman" w:eastAsia="Times New Roman" w:hAnsi="Times New Roman"/>
                <w:sz w:val="18"/>
                <w:szCs w:val="18"/>
                <w:color w:val="0000FF"/>
                <w:w w:val="99"/>
              </w:rPr>
            </w:pPr>
            <w:hyperlink r:id="rId128">
              <w:r>
                <w:rPr>
                  <w:rFonts w:ascii="Times New Roman" w:cs="Times New Roman" w:eastAsia="Times New Roman" w:hAnsi="Times New Roman"/>
                  <w:sz w:val="18"/>
                  <w:szCs w:val="18"/>
                  <w:color w:val="0000FF"/>
                  <w:w w:val="99"/>
                </w:rPr>
                <w:t>reference to Exhibit 4.1 to our Current Report on Form 8-K filed January 15, 2025).</w:t>
              </w:r>
            </w:hyperlink>
          </w:p>
        </w:tc>
        <w:tc>
          <w:tcPr>
            <w:tcW w:w="3020" w:type="dxa"/>
            <w:vAlign w:val="bottom"/>
            <w:tcBorders>
              <w:top w:val="single" w:sz="8" w:color="0000FF"/>
            </w:tcBorders>
            <w:gridSpan w:val="10"/>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18"/>
        </w:trPr>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4.13</w:t>
            </w:r>
          </w:p>
        </w:tc>
        <w:tc>
          <w:tcPr>
            <w:tcW w:w="10040" w:type="dxa"/>
            <w:vAlign w:val="bottom"/>
            <w:gridSpan w:val="32"/>
          </w:tcPr>
          <w:p>
            <w:pPr>
              <w:ind w:left="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9">
              <w:r>
                <w:rPr>
                  <w:rFonts w:ascii="Times New Roman" w:cs="Times New Roman" w:eastAsia="Times New Roman" w:hAnsi="Times New Roman"/>
                  <w:sz w:val="18"/>
                  <w:szCs w:val="18"/>
                  <w:color w:val="0000FF"/>
                </w:rPr>
                <w:t>Thirty-Fifth Supplemental Indenture (4.70% Senior Notes due 2031) dated September 8, 2025, by and among Plains All American</w:t>
              </w:r>
            </w:hyperlink>
          </w:p>
        </w:tc>
      </w:tr>
      <w:tr>
        <w:trPr>
          <w:trHeight w:val="155"/>
        </w:trPr>
        <w:tc>
          <w:tcPr>
            <w:tcW w:w="9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40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Pipeline, L.P., PAA Finance Corp. and U.S. Bank Trust Company, National Association, as trustee (incorporated by reference to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20" w:type="dxa"/>
            <w:vAlign w:val="bottom"/>
            <w:tcBorders>
              <w:top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Exhibit 4.1 to our Current Report on Form 8-K filed September 8, 2025)</w:t>
              </w:r>
              <w:r>
                <w:rPr>
                  <w:rFonts w:ascii="Times New Roman" w:cs="Times New Roman" w:eastAsia="Times New Roman" w:hAnsi="Times New Roman"/>
                  <w:sz w:val="18"/>
                  <w:szCs w:val="18"/>
                  <w:color w:val="000000"/>
                </w:rPr>
                <w:t>.</w:t>
              </w:r>
            </w:hyperlink>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4.14</w:t>
            </w:r>
          </w:p>
        </w:tc>
        <w:tc>
          <w:tcPr>
            <w:tcW w:w="10040" w:type="dxa"/>
            <w:vAlign w:val="bottom"/>
            <w:gridSpan w:val="32"/>
          </w:tcPr>
          <w:p>
            <w:pPr>
              <w:ind w:left="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30">
              <w:r>
                <w:rPr>
                  <w:rFonts w:ascii="Times New Roman" w:cs="Times New Roman" w:eastAsia="Times New Roman" w:hAnsi="Times New Roman"/>
                  <w:sz w:val="18"/>
                  <w:szCs w:val="18"/>
                  <w:color w:val="0000FF"/>
                </w:rPr>
                <w:t>Thirty-Sixth Supplemental Indenture (5.60% Senior Notes due 2036) dated September 8, 2025, by and among Plains All</w:t>
              </w:r>
            </w:hyperlink>
          </w:p>
        </w:tc>
      </w:tr>
      <w:tr>
        <w:trPr>
          <w:trHeight w:val="156"/>
        </w:trPr>
        <w:tc>
          <w:tcPr>
            <w:tcW w:w="9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72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w w:val="97"/>
              </w:rPr>
            </w:pPr>
            <w:hyperlink r:id="rId130">
              <w:r>
                <w:rPr>
                  <w:rFonts w:ascii="Times New Roman" w:cs="Times New Roman" w:eastAsia="Times New Roman" w:hAnsi="Times New Roman"/>
                  <w:sz w:val="18"/>
                  <w:szCs w:val="18"/>
                  <w:color w:val="0000FF"/>
                  <w:w w:val="97"/>
                </w:rPr>
                <w:t>American Pipeline, L.P., PAA Finance Corp. and U.S. Bank Trust Company, National Association, as trustee (incorporated</w:t>
              </w:r>
            </w:hyperlink>
          </w:p>
        </w:tc>
        <w:tc>
          <w:tcPr>
            <w:tcW w:w="720" w:type="dxa"/>
            <w:vAlign w:val="bottom"/>
            <w:gridSpan w:val="16"/>
          </w:tcPr>
          <w:p>
            <w:pPr>
              <w:ind w:left="160"/>
              <w:spacing w:after="0" w:line="15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by</w:t>
              </w:r>
            </w:hyperlink>
          </w:p>
        </w:tc>
      </w:tr>
      <w:tr>
        <w:trPr>
          <w:trHeight w:val="169"/>
        </w:trPr>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060" w:type="dxa"/>
            <w:vAlign w:val="bottom"/>
            <w:tcBorders>
              <w:top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reference to Exhibit 4.3 to our Current Report on Form 8-K filed September 8, 2025)</w:t>
              </w:r>
              <w:r>
                <w:rPr>
                  <w:rFonts w:ascii="Times New Roman" w:cs="Times New Roman" w:eastAsia="Times New Roman" w:hAnsi="Times New Roman"/>
                  <w:sz w:val="18"/>
                  <w:szCs w:val="18"/>
                  <w:color w:val="000000"/>
                </w:rPr>
                <w:t>.</w:t>
              </w:r>
            </w:hyperlink>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82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4.15</w:t>
            </w:r>
          </w:p>
        </w:tc>
        <w:tc>
          <w:tcPr>
            <w:tcW w:w="10040" w:type="dxa"/>
            <w:vAlign w:val="bottom"/>
            <w:gridSpan w:val="32"/>
          </w:tcPr>
          <w:p>
            <w:pPr>
              <w:ind w:left="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31">
              <w:r>
                <w:rPr>
                  <w:rFonts w:ascii="Times New Roman" w:cs="Times New Roman" w:eastAsia="Times New Roman" w:hAnsi="Times New Roman"/>
                  <w:sz w:val="18"/>
                  <w:szCs w:val="18"/>
                  <w:color w:val="0000FF"/>
                </w:rPr>
                <w:t>Registration Rights Agreement dated September 3, 2009 by and between Plains All American Pipeline, L.P. and Vulcan Gas</w:t>
              </w:r>
            </w:hyperlink>
          </w:p>
        </w:tc>
      </w:tr>
      <w:tr>
        <w:trPr>
          <w:trHeight w:val="156"/>
        </w:trPr>
        <w:tc>
          <w:tcPr>
            <w:tcW w:w="9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94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Storage LLC (incorporated by reference to Exhibit 4.1 to our Registration Statement on Form S-3, File No. 333-162477).</w:t>
              </w:r>
            </w:hyperlink>
          </w:p>
        </w:tc>
        <w:tc>
          <w:tcPr>
            <w:tcW w:w="2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820" w:type="dxa"/>
            <w:vAlign w:val="bottom"/>
            <w:tcBorders>
              <w:left w:val="single" w:sz="8" w:color="0000FF"/>
            </w:tcBorders>
            <w:gridSpan w:val="2"/>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4.16</w:t>
            </w:r>
          </w:p>
        </w:tc>
        <w:tc>
          <w:tcPr>
            <w:tcW w:w="10040" w:type="dxa"/>
            <w:vAlign w:val="bottom"/>
            <w:gridSpan w:val="32"/>
          </w:tcPr>
          <w:p>
            <w:pPr>
              <w:ind w:left="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32">
              <w:r>
                <w:rPr>
                  <w:rFonts w:ascii="Times New Roman" w:cs="Times New Roman" w:eastAsia="Times New Roman" w:hAnsi="Times New Roman"/>
                  <w:sz w:val="18"/>
                  <w:szCs w:val="18"/>
                  <w:color w:val="0000FF"/>
                </w:rPr>
                <w:t>Registration Rights Agreement dated as of January 28, 2016 among Plains All American Pipeline, L.P. and the Purchasers named</w:t>
              </w:r>
            </w:hyperlink>
          </w:p>
        </w:tc>
      </w:tr>
      <w:tr>
        <w:trPr>
          <w:trHeight w:val="156"/>
        </w:trPr>
        <w:tc>
          <w:tcPr>
            <w:tcW w:w="9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2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132">
              <w:r>
                <w:rPr>
                  <w:rFonts w:ascii="Times New Roman" w:cs="Times New Roman" w:eastAsia="Times New Roman" w:hAnsi="Times New Roman"/>
                  <w:sz w:val="18"/>
                  <w:szCs w:val="18"/>
                  <w:color w:val="0000FF"/>
                  <w:w w:val="99"/>
                </w:rPr>
                <w:t>therein (incorporated by reference to Exhibit 4.1 to our Current Report on Form 8-K filed February 2, 2016).</w:t>
              </w:r>
            </w:hyperlink>
          </w:p>
        </w:tc>
        <w:tc>
          <w:tcPr>
            <w:tcW w:w="1480" w:type="dxa"/>
            <w:vAlign w:val="bottom"/>
            <w:tcBorders>
              <w:top w:val="single" w:sz="8" w:color="0000FF"/>
            </w:tcBorders>
            <w:gridSpan w:val="13"/>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4.17</w:t>
            </w:r>
          </w:p>
        </w:tc>
        <w:tc>
          <w:tcPr>
            <w:tcW w:w="10040" w:type="dxa"/>
            <w:vAlign w:val="bottom"/>
            <w:gridSpan w:val="32"/>
          </w:tcPr>
          <w:p>
            <w:pPr>
              <w:ind w:left="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33">
              <w:r>
                <w:rPr>
                  <w:rFonts w:ascii="Times New Roman" w:cs="Times New Roman" w:eastAsia="Times New Roman" w:hAnsi="Times New Roman"/>
                  <w:sz w:val="18"/>
                  <w:szCs w:val="18"/>
                  <w:color w:val="0000FF"/>
                </w:rPr>
                <w:t>Registration Rights Agreement by and among Plains All American Pipeline, L.P. and the Holders defined therein, dated November</w:t>
              </w:r>
            </w:hyperlink>
          </w:p>
        </w:tc>
      </w:tr>
      <w:tr>
        <w:trPr>
          <w:trHeight w:val="155"/>
        </w:trPr>
        <w:tc>
          <w:tcPr>
            <w:tcW w:w="9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4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133">
              <w:r>
                <w:rPr>
                  <w:rFonts w:ascii="Times New Roman" w:cs="Times New Roman" w:eastAsia="Times New Roman" w:hAnsi="Times New Roman"/>
                  <w:sz w:val="18"/>
                  <w:szCs w:val="18"/>
                  <w:color w:val="0000FF"/>
                  <w:w w:val="99"/>
                </w:rPr>
                <w:t>15, 2016 (incorporated by reference to Exhibit 10.4 to our Current Report on Form 8-K filed November 21, 2016).</w:t>
              </w:r>
            </w:hyperlink>
          </w:p>
        </w:tc>
        <w:tc>
          <w:tcPr>
            <w:tcW w:w="118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4.18</w:t>
            </w:r>
          </w:p>
        </w:tc>
        <w:tc>
          <w:tcPr>
            <w:tcW w:w="10040" w:type="dxa"/>
            <w:vAlign w:val="bottom"/>
            <w:gridSpan w:val="32"/>
          </w:tcPr>
          <w:p>
            <w:pPr>
              <w:ind w:left="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34">
              <w:r>
                <w:rPr>
                  <w:rFonts w:ascii="Times New Roman" w:cs="Times New Roman" w:eastAsia="Times New Roman" w:hAnsi="Times New Roman"/>
                  <w:sz w:val="18"/>
                  <w:szCs w:val="18"/>
                  <w:color w:val="0000FF"/>
                </w:rPr>
                <w:t>Description of Our Securities (incorporated by reference to Exhibit 4.17 to our Annual Report on Form 10-K for the year ended</w:t>
              </w:r>
            </w:hyperlink>
          </w:p>
        </w:tc>
      </w:tr>
      <w:tr>
        <w:trPr>
          <w:trHeight w:val="156"/>
        </w:trPr>
        <w:tc>
          <w:tcPr>
            <w:tcW w:w="9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52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8"/>
              </w:rPr>
            </w:pPr>
            <w:hyperlink r:id="rId134">
              <w:r>
                <w:rPr>
                  <w:rFonts w:ascii="Times New Roman" w:cs="Times New Roman" w:eastAsia="Times New Roman" w:hAnsi="Times New Roman"/>
                  <w:sz w:val="18"/>
                  <w:szCs w:val="18"/>
                  <w:color w:val="0000FF"/>
                  <w:w w:val="98"/>
                </w:rPr>
                <w:t>December 31, 2024).</w:t>
              </w:r>
            </w:hyperlink>
          </w:p>
        </w:tc>
        <w:tc>
          <w:tcPr>
            <w:tcW w:w="7660" w:type="dxa"/>
            <w:vAlign w:val="bottom"/>
            <w:tcBorders>
              <w:top w:val="single" w:sz="8" w:color="0000FF"/>
            </w:tcBorders>
            <w:gridSpan w:val="21"/>
          </w:tcPr>
          <w:p>
            <w:pPr>
              <w:spacing w:after="0"/>
              <w:rPr>
                <w:sz w:val="13"/>
                <w:szCs w:val="13"/>
                <w:color w:val="auto"/>
              </w:rPr>
            </w:pPr>
          </w:p>
        </w:tc>
        <w:tc>
          <w:tcPr>
            <w:tcW w:w="60" w:type="dxa"/>
            <w:vAlign w:val="bottom"/>
            <w:gridSpan w:val="2"/>
          </w:tcPr>
          <w:p>
            <w:pPr>
              <w:spacing w:after="0"/>
              <w:rPr>
                <w:sz w:val="13"/>
                <w:szCs w:val="13"/>
                <w:color w:val="auto"/>
              </w:rPr>
            </w:pPr>
          </w:p>
        </w:tc>
        <w:tc>
          <w:tcPr>
            <w:tcW w:w="120" w:type="dxa"/>
            <w:vAlign w:val="bottom"/>
            <w:gridSpan w:val="4"/>
          </w:tcPr>
          <w:p>
            <w:pPr>
              <w:spacing w:after="0"/>
              <w:rPr>
                <w:sz w:val="13"/>
                <w:szCs w:val="13"/>
                <w:color w:val="auto"/>
              </w:rPr>
            </w:pPr>
          </w:p>
        </w:tc>
        <w:tc>
          <w:tcPr>
            <w:tcW w:w="80" w:type="dxa"/>
            <w:vAlign w:val="bottom"/>
            <w:gridSpan w:val="3"/>
          </w:tcPr>
          <w:p>
            <w:pPr>
              <w:spacing w:after="0"/>
              <w:rPr>
                <w:sz w:val="13"/>
                <w:szCs w:val="13"/>
                <w:color w:val="auto"/>
              </w:rPr>
            </w:pPr>
          </w:p>
        </w:tc>
      </w:tr>
      <w:tr>
        <w:trPr>
          <w:trHeight w:val="331"/>
        </w:trPr>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10.1</w:t>
            </w:r>
          </w:p>
        </w:tc>
        <w:tc>
          <w:tcPr>
            <w:tcW w:w="10040" w:type="dxa"/>
            <w:vAlign w:val="bottom"/>
            <w:gridSpan w:val="32"/>
          </w:tcPr>
          <w:p>
            <w:pPr>
              <w:ind w:left="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35">
              <w:r>
                <w:rPr>
                  <w:rFonts w:ascii="Times New Roman" w:cs="Times New Roman" w:eastAsia="Times New Roman" w:hAnsi="Times New Roman"/>
                  <w:sz w:val="18"/>
                  <w:szCs w:val="18"/>
                  <w:color w:val="0000FF"/>
                </w:rPr>
                <w:t>Third Amendment to Credit Agreement, dated as of February 26, 2026, by and among Plains All American Pipeline, L.P., Plains</w:t>
              </w:r>
            </w:hyperlink>
          </w:p>
        </w:tc>
      </w:tr>
      <w:tr>
        <w:trPr>
          <w:trHeight w:val="155"/>
        </w:trPr>
        <w:tc>
          <w:tcPr>
            <w:tcW w:w="9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24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Canada Liquid Pipelines ULC, Bank of America, N.A., as Administrative Agent, and the lenders party thereto (incorporated by</w:t>
              </w:r>
            </w:hyperlink>
          </w:p>
        </w:tc>
        <w:tc>
          <w:tcPr>
            <w:tcW w:w="120" w:type="dxa"/>
            <w:vAlign w:val="bottom"/>
            <w:gridSpan w:val="4"/>
          </w:tcPr>
          <w:p>
            <w:pPr>
              <w:spacing w:after="0"/>
              <w:rPr>
                <w:sz w:val="13"/>
                <w:szCs w:val="13"/>
                <w:color w:val="auto"/>
              </w:rPr>
            </w:pPr>
          </w:p>
        </w:tc>
        <w:tc>
          <w:tcPr>
            <w:tcW w:w="80" w:type="dxa"/>
            <w:vAlign w:val="bottom"/>
            <w:gridSpan w:val="3"/>
          </w:tcPr>
          <w:p>
            <w:pPr>
              <w:spacing w:after="0"/>
              <w:rPr>
                <w:sz w:val="13"/>
                <w:szCs w:val="13"/>
                <w:color w:val="auto"/>
              </w:rPr>
            </w:pPr>
          </w:p>
        </w:tc>
      </w:tr>
      <w:tr>
        <w:trPr>
          <w:trHeight w:val="169"/>
        </w:trPr>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160" w:type="dxa"/>
            <w:vAlign w:val="bottom"/>
            <w:tcBorders>
              <w:top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reference to Exhibit 10.1 to our Current Report on Form 8-K filed March 3, 2026).</w:t>
              </w:r>
            </w:hyperlink>
          </w:p>
        </w:tc>
        <w:tc>
          <w:tcPr>
            <w:tcW w:w="200" w:type="dxa"/>
            <w:vAlign w:val="bottom"/>
            <w:gridSpan w:val="7"/>
          </w:tcPr>
          <w:p>
            <w:pPr>
              <w:spacing w:after="0"/>
              <w:rPr>
                <w:sz w:val="14"/>
                <w:szCs w:val="14"/>
                <w:color w:val="auto"/>
              </w:rPr>
            </w:pPr>
          </w:p>
        </w:tc>
        <w:tc>
          <w:tcPr>
            <w:tcW w:w="80" w:type="dxa"/>
            <w:vAlign w:val="bottom"/>
            <w:gridSpan w:val="3"/>
          </w:tcPr>
          <w:p>
            <w:pPr>
              <w:spacing w:after="0"/>
              <w:rPr>
                <w:sz w:val="14"/>
                <w:szCs w:val="14"/>
                <w:color w:val="auto"/>
              </w:rPr>
            </w:pPr>
          </w:p>
        </w:tc>
      </w:tr>
      <w:tr>
        <w:trPr>
          <w:trHeight w:val="20"/>
        </w:trPr>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820" w:type="dxa"/>
            <w:vAlign w:val="bottom"/>
            <w:tcBorders>
              <w:left w:val="single" w:sz="8" w:color="0000FF"/>
            </w:tcBorders>
            <w:gridSpan w:val="2"/>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40" w:type="dxa"/>
            <w:vAlign w:val="bottom"/>
            <w:gridSpan w:val="11"/>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18"/>
        </w:trPr>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10.2</w:t>
            </w:r>
          </w:p>
        </w:tc>
        <w:tc>
          <w:tcPr>
            <w:tcW w:w="10040" w:type="dxa"/>
            <w:vAlign w:val="bottom"/>
            <w:gridSpan w:val="32"/>
          </w:tcPr>
          <w:p>
            <w:pPr>
              <w:ind w:left="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36">
              <w:r>
                <w:rPr>
                  <w:rFonts w:ascii="Times New Roman" w:cs="Times New Roman" w:eastAsia="Times New Roman" w:hAnsi="Times New Roman"/>
                  <w:sz w:val="18"/>
                  <w:szCs w:val="18"/>
                  <w:color w:val="0000FF"/>
                </w:rPr>
                <w:t>Third Amendment to Fourth Amended and Restated Credit Agreement, dated as of February 26, 2026, by and among Plains</w:t>
              </w:r>
            </w:hyperlink>
          </w:p>
        </w:tc>
      </w:tr>
      <w:tr>
        <w:trPr>
          <w:trHeight w:val="155"/>
        </w:trPr>
        <w:tc>
          <w:tcPr>
            <w:tcW w:w="9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92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Marketing, L.P., Plains Canada Liquid Pipelines ULC, Plains All American Pipeline, L.P., Bank of America, N.A., as</w:t>
              </w:r>
            </w:hyperlink>
          </w:p>
        </w:tc>
        <w:tc>
          <w:tcPr>
            <w:tcW w:w="440" w:type="dxa"/>
            <w:vAlign w:val="bottom"/>
            <w:gridSpan w:val="11"/>
          </w:tcPr>
          <w:p>
            <w:pPr>
              <w:spacing w:after="0"/>
              <w:rPr>
                <w:sz w:val="13"/>
                <w:szCs w:val="13"/>
                <w:color w:val="auto"/>
              </w:rPr>
            </w:pPr>
          </w:p>
        </w:tc>
        <w:tc>
          <w:tcPr>
            <w:tcW w:w="80" w:type="dxa"/>
            <w:vAlign w:val="bottom"/>
            <w:gridSpan w:val="3"/>
          </w:tcPr>
          <w:p>
            <w:pPr>
              <w:spacing w:after="0"/>
              <w:rPr>
                <w:sz w:val="13"/>
                <w:szCs w:val="13"/>
                <w:color w:val="auto"/>
              </w:rPr>
            </w:pPr>
          </w:p>
        </w:tc>
      </w:tr>
      <w:tr>
        <w:trPr>
          <w:trHeight w:val="189"/>
        </w:trPr>
        <w:tc>
          <w:tcPr>
            <w:tcW w:w="9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440" w:type="dxa"/>
            <w:vAlign w:val="bottom"/>
            <w:tcBorders>
              <w:top w:val="single" w:sz="8" w:color="0000FF"/>
            </w:tcBorders>
            <w:gridSpan w:val="14"/>
          </w:tcPr>
          <w:p>
            <w:pPr>
              <w:spacing w:after="0" w:line="169"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Administrative Agent, and the lenders party thereto (incorporated by reference to Exhibit 10.2 to our Current Report</w:t>
              </w:r>
            </w:hyperlink>
          </w:p>
        </w:tc>
        <w:tc>
          <w:tcPr>
            <w:tcW w:w="1000" w:type="dxa"/>
            <w:vAlign w:val="bottom"/>
            <w:gridSpan w:val="17"/>
          </w:tcPr>
          <w:p>
            <w:pPr>
              <w:spacing w:after="0" w:line="169"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on Form 8-K</w:t>
              </w:r>
            </w:hyperlink>
          </w:p>
        </w:tc>
      </w:tr>
      <w:tr>
        <w:trPr>
          <w:trHeight w:val="135"/>
        </w:trPr>
        <w:tc>
          <w:tcPr>
            <w:tcW w:w="9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740" w:type="dxa"/>
            <w:vAlign w:val="bottom"/>
            <w:tcBorders>
              <w:top w:val="single" w:sz="8" w:color="0000FF"/>
            </w:tcBorders>
            <w:gridSpan w:val="3"/>
          </w:tcPr>
          <w:p>
            <w:pPr>
              <w:spacing w:after="0" w:line="136" w:lineRule="exact"/>
              <w:rPr>
                <w:rFonts w:ascii="Times New Roman" w:cs="Times New Roman" w:eastAsia="Times New Roman" w:hAnsi="Times New Roman"/>
                <w:sz w:val="15"/>
                <w:szCs w:val="15"/>
                <w:color w:val="0000FF"/>
              </w:rPr>
            </w:pPr>
            <w:hyperlink r:id="rId136">
              <w:r>
                <w:rPr>
                  <w:rFonts w:ascii="Times New Roman" w:cs="Times New Roman" w:eastAsia="Times New Roman" w:hAnsi="Times New Roman"/>
                  <w:sz w:val="15"/>
                  <w:szCs w:val="15"/>
                  <w:color w:val="0000FF"/>
                </w:rPr>
                <w:t>filed March 3, 2026).</w:t>
              </w:r>
            </w:hyperlink>
          </w:p>
        </w:tc>
        <w:tc>
          <w:tcPr>
            <w:tcW w:w="104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72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160" w:type="dxa"/>
            <w:vAlign w:val="bottom"/>
            <w:tcBorders>
              <w:top w:val="single" w:sz="8" w:color="0000FF"/>
            </w:tcBorders>
          </w:tcPr>
          <w:p>
            <w:pPr>
              <w:spacing w:after="0"/>
              <w:rPr>
                <w:sz w:val="11"/>
                <w:szCs w:val="11"/>
                <w:color w:val="auto"/>
              </w:rPr>
            </w:pPr>
          </w:p>
        </w:tc>
        <w:tc>
          <w:tcPr>
            <w:tcW w:w="540" w:type="dxa"/>
            <w:vAlign w:val="bottom"/>
            <w:tcBorders>
              <w:top w:val="single" w:sz="8" w:color="0000FF"/>
            </w:tcBorders>
          </w:tcPr>
          <w:p>
            <w:pPr>
              <w:spacing w:after="0"/>
              <w:rPr>
                <w:sz w:val="11"/>
                <w:szCs w:val="11"/>
                <w:color w:val="auto"/>
              </w:rPr>
            </w:pPr>
          </w:p>
        </w:tc>
        <w:tc>
          <w:tcPr>
            <w:tcW w:w="42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2160" w:type="dxa"/>
            <w:vAlign w:val="bottom"/>
            <w:gridSpan w:val="20"/>
          </w:tcPr>
          <w:p>
            <w:pPr>
              <w:spacing w:after="0" w:line="20" w:lineRule="exact"/>
              <w:rPr>
                <w:sz w:val="1"/>
                <w:szCs w:val="1"/>
                <w:color w:val="auto"/>
              </w:rPr>
            </w:pPr>
          </w:p>
        </w:tc>
      </w:tr>
      <w:tr>
        <w:trPr>
          <w:trHeight w:val="318"/>
        </w:trPr>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31.1 †</w:t>
            </w:r>
          </w:p>
        </w:tc>
        <w:tc>
          <w:tcPr>
            <w:tcW w:w="10040" w:type="dxa"/>
            <w:vAlign w:val="bottom"/>
            <w:gridSpan w:val="32"/>
          </w:tcPr>
          <w:p>
            <w:pPr>
              <w:ind w:left="2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Certification of Principal Executive Officer pursuant to Exchange Act Rules 13a-14(a) and 15d-14(a).</w:t>
            </w:r>
          </w:p>
        </w:tc>
      </w:tr>
      <w:tr>
        <w:trPr>
          <w:trHeight w:val="20"/>
        </w:trPr>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120" w:type="dxa"/>
            <w:vAlign w:val="bottom"/>
            <w:gridSpan w:val="6"/>
            <w:shd w:val="clear" w:color="auto" w:fill="0000FF"/>
          </w:tcPr>
          <w:p>
            <w:pPr>
              <w:spacing w:after="0" w:line="20" w:lineRule="exact"/>
              <w:rPr>
                <w:sz w:val="1"/>
                <w:szCs w:val="1"/>
                <w:color w:val="auto"/>
              </w:rPr>
            </w:pPr>
          </w:p>
        </w:tc>
        <w:tc>
          <w:tcPr>
            <w:tcW w:w="2160" w:type="dxa"/>
            <w:vAlign w:val="bottom"/>
            <w:tcBorders>
              <w:left w:val="single" w:sz="8" w:color="0000FF"/>
            </w:tcBorders>
            <w:gridSpan w:val="5"/>
            <w:shd w:val="clear" w:color="auto" w:fill="0000FF"/>
          </w:tcPr>
          <w:p>
            <w:pPr>
              <w:spacing w:after="0" w:line="20" w:lineRule="exact"/>
              <w:rPr>
                <w:sz w:val="1"/>
                <w:szCs w:val="1"/>
                <w:color w:val="auto"/>
              </w:rPr>
            </w:pPr>
          </w:p>
        </w:tc>
        <w:tc>
          <w:tcPr>
            <w:tcW w:w="2160" w:type="dxa"/>
            <w:vAlign w:val="bottom"/>
            <w:tcBorders>
              <w:left w:val="single" w:sz="8" w:color="0000FF"/>
            </w:tcBorders>
            <w:gridSpan w:val="20"/>
          </w:tcPr>
          <w:p>
            <w:pPr>
              <w:spacing w:after="0" w:line="20" w:lineRule="exact"/>
              <w:rPr>
                <w:sz w:val="1"/>
                <w:szCs w:val="1"/>
                <w:color w:val="auto"/>
              </w:rPr>
            </w:pPr>
          </w:p>
        </w:tc>
      </w:tr>
      <w:tr>
        <w:trPr>
          <w:trHeight w:val="318"/>
        </w:trPr>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31.2 †</w:t>
            </w:r>
          </w:p>
        </w:tc>
        <w:tc>
          <w:tcPr>
            <w:tcW w:w="10040" w:type="dxa"/>
            <w:vAlign w:val="bottom"/>
            <w:gridSpan w:val="32"/>
          </w:tcPr>
          <w:p>
            <w:pPr>
              <w:ind w:left="2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Certification of Principal Financial Officer pursuant to Exchange Act Rules 13a-14(a) and 15d-14(a).</w:t>
            </w:r>
          </w:p>
        </w:tc>
      </w:tr>
      <w:tr>
        <w:trPr>
          <w:trHeight w:val="20"/>
        </w:trPr>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120" w:type="dxa"/>
            <w:vAlign w:val="bottom"/>
            <w:gridSpan w:val="6"/>
            <w:shd w:val="clear" w:color="auto" w:fill="0000FF"/>
          </w:tcPr>
          <w:p>
            <w:pPr>
              <w:spacing w:after="0" w:line="20" w:lineRule="exact"/>
              <w:rPr>
                <w:sz w:val="1"/>
                <w:szCs w:val="1"/>
                <w:color w:val="auto"/>
              </w:rPr>
            </w:pPr>
          </w:p>
        </w:tc>
        <w:tc>
          <w:tcPr>
            <w:tcW w:w="2160" w:type="dxa"/>
            <w:vAlign w:val="bottom"/>
            <w:tcBorders>
              <w:left w:val="single" w:sz="8" w:color="0000FF"/>
            </w:tcBorders>
            <w:gridSpan w:val="5"/>
            <w:shd w:val="clear" w:color="auto" w:fill="0000FF"/>
          </w:tcPr>
          <w:p>
            <w:pPr>
              <w:spacing w:after="0" w:line="20" w:lineRule="exact"/>
              <w:rPr>
                <w:sz w:val="1"/>
                <w:szCs w:val="1"/>
                <w:color w:val="auto"/>
              </w:rPr>
            </w:pPr>
          </w:p>
        </w:tc>
        <w:tc>
          <w:tcPr>
            <w:tcW w:w="2160" w:type="dxa"/>
            <w:vAlign w:val="bottom"/>
            <w:gridSpan w:val="20"/>
          </w:tcPr>
          <w:p>
            <w:pPr>
              <w:spacing w:after="0" w:line="20" w:lineRule="exact"/>
              <w:rPr>
                <w:sz w:val="1"/>
                <w:szCs w:val="1"/>
                <w:color w:val="auto"/>
              </w:rPr>
            </w:pPr>
          </w:p>
        </w:tc>
      </w:tr>
      <w:tr>
        <w:trPr>
          <w:trHeight w:val="318"/>
        </w:trPr>
        <w:tc>
          <w:tcPr>
            <w:tcW w:w="9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32.1 ††</w:t>
            </w:r>
          </w:p>
        </w:tc>
        <w:tc>
          <w:tcPr>
            <w:tcW w:w="10040" w:type="dxa"/>
            <w:vAlign w:val="bottom"/>
            <w:gridSpan w:val="32"/>
          </w:tcPr>
          <w:p>
            <w:pPr>
              <w:ind w:left="2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Certification of Principal Executive Officer pursuant to 18 U.S.C. 1350.</w:t>
            </w:r>
          </w:p>
        </w:tc>
      </w:tr>
      <w:tr>
        <w:trPr>
          <w:trHeight w:val="20"/>
        </w:trPr>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120" w:type="dxa"/>
            <w:vAlign w:val="bottom"/>
            <w:gridSpan w:val="6"/>
            <w:shd w:val="clear" w:color="auto" w:fill="0000FF"/>
          </w:tcPr>
          <w:p>
            <w:pPr>
              <w:spacing w:after="0" w:line="20" w:lineRule="exact"/>
              <w:rPr>
                <w:sz w:val="1"/>
                <w:szCs w:val="1"/>
                <w:color w:val="auto"/>
              </w:rPr>
            </w:pPr>
          </w:p>
        </w:tc>
        <w:tc>
          <w:tcPr>
            <w:tcW w:w="4320" w:type="dxa"/>
            <w:vAlign w:val="bottom"/>
            <w:tcBorders>
              <w:left w:val="single" w:sz="8" w:color="0000FF"/>
            </w:tcBorders>
            <w:gridSpan w:val="25"/>
          </w:tcPr>
          <w:p>
            <w:pPr>
              <w:spacing w:after="0" w:line="20" w:lineRule="exact"/>
              <w:rPr>
                <w:sz w:val="1"/>
                <w:szCs w:val="1"/>
                <w:color w:val="auto"/>
              </w:rPr>
            </w:pPr>
          </w:p>
        </w:tc>
      </w:tr>
      <w:tr>
        <w:trPr>
          <w:trHeight w:val="318"/>
        </w:trPr>
        <w:tc>
          <w:tcPr>
            <w:tcW w:w="9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32.2 ††</w:t>
            </w:r>
          </w:p>
        </w:tc>
        <w:tc>
          <w:tcPr>
            <w:tcW w:w="10040" w:type="dxa"/>
            <w:vAlign w:val="bottom"/>
            <w:gridSpan w:val="32"/>
          </w:tcPr>
          <w:p>
            <w:pPr>
              <w:ind w:left="2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Certification of Principal Financial Officer pursuant to 18 U.S.C. 1350.</w:t>
            </w:r>
          </w:p>
        </w:tc>
      </w:tr>
      <w:tr>
        <w:trPr>
          <w:trHeight w:val="20"/>
        </w:trPr>
        <w:tc>
          <w:tcPr>
            <w:tcW w:w="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120" w:type="dxa"/>
            <w:vAlign w:val="bottom"/>
            <w:gridSpan w:val="6"/>
            <w:shd w:val="clear" w:color="auto" w:fill="0000FF"/>
          </w:tcPr>
          <w:p>
            <w:pPr>
              <w:spacing w:after="0" w:line="20" w:lineRule="exact"/>
              <w:rPr>
                <w:sz w:val="1"/>
                <w:szCs w:val="1"/>
                <w:color w:val="auto"/>
              </w:rPr>
            </w:pPr>
          </w:p>
        </w:tc>
        <w:tc>
          <w:tcPr>
            <w:tcW w:w="4320" w:type="dxa"/>
            <w:vAlign w:val="bottom"/>
            <w:gridSpan w:val="25"/>
          </w:tcPr>
          <w:p>
            <w:pPr>
              <w:spacing w:after="0" w:line="20" w:lineRule="exact"/>
              <w:rPr>
                <w:sz w:val="1"/>
                <w:szCs w:val="1"/>
                <w:color w:val="auto"/>
              </w:rPr>
            </w:pPr>
          </w:p>
        </w:tc>
      </w:tr>
      <w:tr>
        <w:trPr>
          <w:trHeight w:val="30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40" w:type="dxa"/>
            <w:vAlign w:val="bottom"/>
            <w:gridSpan w:val="32"/>
          </w:tcPr>
          <w:p>
            <w:pPr>
              <w:ind w:left="220"/>
              <w:spacing w:after="0"/>
              <w:rPr>
                <w:sz w:val="20"/>
                <w:szCs w:val="20"/>
                <w:color w:val="auto"/>
              </w:rPr>
            </w:pPr>
            <w:r>
              <w:rPr>
                <w:rFonts w:ascii="Times New Roman" w:cs="Times New Roman" w:eastAsia="Times New Roman" w:hAnsi="Times New Roman"/>
                <w:sz w:val="18"/>
                <w:szCs w:val="18"/>
                <w:color w:val="auto"/>
              </w:rPr>
              <w:t>—  XBRL Instance Document - the instance document does not appear in the Interactive Data File because its XBRL tags are</w:t>
            </w:r>
          </w:p>
        </w:tc>
      </w:tr>
      <w:tr>
        <w:trPr>
          <w:trHeight w:val="234"/>
        </w:trPr>
        <w:tc>
          <w:tcPr>
            <w:tcW w:w="9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4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9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101.SCH†</w:t>
            </w:r>
          </w:p>
        </w:tc>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Inline XBRL Taxonomy Extension Schema Document</w:t>
            </w:r>
          </w:p>
        </w:tc>
      </w:tr>
      <w:tr>
        <w:trPr>
          <w:trHeight w:val="338"/>
        </w:trPr>
        <w:tc>
          <w:tcPr>
            <w:tcW w:w="9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101.CAL†</w:t>
            </w:r>
          </w:p>
        </w:tc>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Inline XBRL Taxonomy Extension Calculation Linkbase Document</w:t>
            </w:r>
          </w:p>
        </w:tc>
      </w:tr>
      <w:tr>
        <w:trPr>
          <w:trHeight w:val="338"/>
        </w:trPr>
        <w:tc>
          <w:tcPr>
            <w:tcW w:w="9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101.DEF†</w:t>
            </w:r>
          </w:p>
        </w:tc>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Inline XBRL Taxonomy Extension Definition Linkbase Document</w:t>
            </w:r>
          </w:p>
        </w:tc>
      </w:tr>
      <w:tr>
        <w:trPr>
          <w:trHeight w:val="283"/>
        </w:trPr>
        <w:tc>
          <w:tcPr>
            <w:tcW w:w="9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101.LAB†</w:t>
            </w:r>
          </w:p>
        </w:tc>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Inline XBRL Taxonomy Extension Label Linkbase Document</w:t>
            </w:r>
          </w:p>
        </w:tc>
      </w:tr>
      <w:tr>
        <w:trPr>
          <w:trHeight w:val="338"/>
        </w:trPr>
        <w:tc>
          <w:tcPr>
            <w:tcW w:w="9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101.PRE†</w:t>
            </w:r>
          </w:p>
        </w:tc>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Inline XBRL Taxonomy Extension Presentation Linkbase Document</w:t>
            </w:r>
          </w:p>
        </w:tc>
      </w:tr>
      <w:tr>
        <w:trPr>
          <w:trHeight w:val="338"/>
        </w:trPr>
        <w:tc>
          <w:tcPr>
            <w:tcW w:w="9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104†</w:t>
            </w:r>
          </w:p>
        </w:tc>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24599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620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PAA GP LLC,</w:t>
            </w:r>
          </w:p>
        </w:tc>
      </w:tr>
      <w:tr>
        <w:trPr>
          <w:trHeight w:val="236"/>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its general partner</w:t>
            </w:r>
          </w:p>
        </w:tc>
      </w:tr>
      <w:tr>
        <w:trPr>
          <w:trHeight w:val="452"/>
        </w:trPr>
        <w:tc>
          <w:tcPr>
            <w:tcW w:w="620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Plains AAP, L.P.,</w:t>
            </w:r>
          </w:p>
        </w:tc>
      </w:tr>
      <w:tr>
        <w:trPr>
          <w:trHeight w:val="236"/>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its sole member</w:t>
            </w:r>
          </w:p>
        </w:tc>
      </w:tr>
      <w:tr>
        <w:trPr>
          <w:trHeight w:val="452"/>
        </w:trPr>
        <w:tc>
          <w:tcPr>
            <w:tcW w:w="620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PLAINS ALL AMERICAN GP LLC,</w:t>
            </w:r>
          </w:p>
        </w:tc>
      </w:tr>
      <w:tr>
        <w:trPr>
          <w:trHeight w:val="236"/>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its general partner</w:t>
            </w:r>
          </w:p>
        </w:tc>
      </w:tr>
      <w:tr>
        <w:trPr>
          <w:trHeight w:val="459"/>
        </w:trPr>
        <w:tc>
          <w:tcPr>
            <w:tcW w:w="620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Willie Chiang</w:t>
            </w:r>
          </w:p>
        </w:tc>
      </w:tr>
      <w:tr>
        <w:trPr>
          <w:trHeight w:val="214"/>
        </w:trPr>
        <w:tc>
          <w:tcPr>
            <w:tcW w:w="6200" w:type="dxa"/>
            <w:vAlign w:val="bottom"/>
          </w:tcPr>
          <w:p>
            <w:pPr>
              <w:spacing w:after="0"/>
              <w:rPr>
                <w:sz w:val="18"/>
                <w:szCs w:val="18"/>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Willie Chiang,</w:t>
            </w:r>
          </w:p>
        </w:tc>
      </w:tr>
      <w:tr>
        <w:trPr>
          <w:trHeight w:val="184"/>
        </w:trPr>
        <w:tc>
          <w:tcPr>
            <w:tcW w:w="6200" w:type="dxa"/>
            <w:vAlign w:val="bottom"/>
          </w:tcPr>
          <w:p>
            <w:pPr>
              <w:spacing w:after="0"/>
              <w:rPr>
                <w:sz w:val="16"/>
                <w:szCs w:val="16"/>
                <w:color w:val="auto"/>
              </w:rPr>
            </w:pPr>
          </w:p>
        </w:tc>
        <w:tc>
          <w:tcPr>
            <w:tcW w:w="50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b w:val="1"/>
                <w:bCs w:val="1"/>
                <w:i w:val="1"/>
                <w:iCs w:val="1"/>
                <w:color w:val="auto"/>
              </w:rPr>
              <w:t>Chief Executive Officer and President of Plains All</w:t>
            </w:r>
          </w:p>
        </w:tc>
      </w:tr>
      <w:tr>
        <w:trPr>
          <w:trHeight w:val="234"/>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American GP LLC</w:t>
            </w:r>
          </w:p>
        </w:tc>
      </w:tr>
      <w:tr>
        <w:trPr>
          <w:trHeight w:val="238"/>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(Principal Executive Officer)</w:t>
            </w:r>
          </w:p>
        </w:tc>
      </w:tr>
      <w:tr>
        <w:trPr>
          <w:trHeight w:val="459"/>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May 8, 2026</w:t>
            </w:r>
          </w:p>
        </w:tc>
        <w:tc>
          <w:tcPr>
            <w:tcW w:w="5000" w:type="dxa"/>
            <w:vAlign w:val="bottom"/>
          </w:tcPr>
          <w:p>
            <w:pPr>
              <w:spacing w:after="0"/>
              <w:rPr>
                <w:sz w:val="24"/>
                <w:szCs w:val="24"/>
                <w:color w:val="auto"/>
              </w:rPr>
            </w:pPr>
          </w:p>
        </w:tc>
      </w:tr>
      <w:tr>
        <w:trPr>
          <w:trHeight w:val="459"/>
        </w:trPr>
        <w:tc>
          <w:tcPr>
            <w:tcW w:w="620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Al Swanson</w:t>
            </w:r>
          </w:p>
        </w:tc>
      </w:tr>
      <w:tr>
        <w:trPr>
          <w:trHeight w:val="214"/>
        </w:trPr>
        <w:tc>
          <w:tcPr>
            <w:tcW w:w="6200" w:type="dxa"/>
            <w:vAlign w:val="bottom"/>
          </w:tcPr>
          <w:p>
            <w:pPr>
              <w:spacing w:after="0"/>
              <w:rPr>
                <w:sz w:val="18"/>
                <w:szCs w:val="18"/>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Al Swanson,</w:t>
            </w:r>
          </w:p>
        </w:tc>
      </w:tr>
      <w:tr>
        <w:trPr>
          <w:trHeight w:val="184"/>
        </w:trPr>
        <w:tc>
          <w:tcPr>
            <w:tcW w:w="6200" w:type="dxa"/>
            <w:vAlign w:val="bottom"/>
          </w:tcPr>
          <w:p>
            <w:pPr>
              <w:spacing w:after="0"/>
              <w:rPr>
                <w:sz w:val="16"/>
                <w:szCs w:val="16"/>
                <w:color w:val="auto"/>
              </w:rPr>
            </w:pPr>
          </w:p>
        </w:tc>
        <w:tc>
          <w:tcPr>
            <w:tcW w:w="50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b w:val="1"/>
                <w:bCs w:val="1"/>
                <w:i w:val="1"/>
                <w:iCs w:val="1"/>
                <w:color w:val="auto"/>
              </w:rPr>
              <w:t>Executive Vice President and Chief Financial Officer of Plains All</w:t>
            </w:r>
          </w:p>
        </w:tc>
      </w:tr>
      <w:tr>
        <w:trPr>
          <w:trHeight w:val="234"/>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American GP LLC</w:t>
            </w:r>
          </w:p>
        </w:tc>
      </w:tr>
      <w:tr>
        <w:trPr>
          <w:trHeight w:val="238"/>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(Principal Financial Officer)</w:t>
            </w:r>
          </w:p>
        </w:tc>
      </w:tr>
      <w:tr>
        <w:trPr>
          <w:trHeight w:val="459"/>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May 8, 2026</w:t>
            </w:r>
          </w:p>
        </w:tc>
        <w:tc>
          <w:tcPr>
            <w:tcW w:w="5000" w:type="dxa"/>
            <w:vAlign w:val="bottom"/>
          </w:tcPr>
          <w:p>
            <w:pPr>
              <w:spacing w:after="0"/>
              <w:rPr>
                <w:sz w:val="24"/>
                <w:szCs w:val="24"/>
                <w:color w:val="auto"/>
              </w:rPr>
            </w:pPr>
          </w:p>
        </w:tc>
      </w:tr>
      <w:tr>
        <w:trPr>
          <w:trHeight w:val="459"/>
        </w:trPr>
        <w:tc>
          <w:tcPr>
            <w:tcW w:w="6200" w:type="dxa"/>
            <w:vAlign w:val="bottom"/>
          </w:tcPr>
          <w:p>
            <w:pPr>
              <w:ind w:left="548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 Herbold</w:t>
            </w:r>
          </w:p>
        </w:tc>
      </w:tr>
      <w:tr>
        <w:trPr>
          <w:trHeight w:val="214"/>
        </w:trPr>
        <w:tc>
          <w:tcPr>
            <w:tcW w:w="6200" w:type="dxa"/>
            <w:vAlign w:val="bottom"/>
          </w:tcPr>
          <w:p>
            <w:pPr>
              <w:spacing w:after="0"/>
              <w:rPr>
                <w:sz w:val="18"/>
                <w:szCs w:val="18"/>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Chris Herbold,</w:t>
            </w:r>
          </w:p>
        </w:tc>
      </w:tr>
      <w:tr>
        <w:trPr>
          <w:trHeight w:val="184"/>
        </w:trPr>
        <w:tc>
          <w:tcPr>
            <w:tcW w:w="6200" w:type="dxa"/>
            <w:vAlign w:val="bottom"/>
          </w:tcPr>
          <w:p>
            <w:pPr>
              <w:spacing w:after="0"/>
              <w:rPr>
                <w:sz w:val="16"/>
                <w:szCs w:val="16"/>
                <w:color w:val="auto"/>
              </w:rPr>
            </w:pPr>
          </w:p>
        </w:tc>
        <w:tc>
          <w:tcPr>
            <w:tcW w:w="50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b w:val="1"/>
                <w:bCs w:val="1"/>
                <w:i w:val="1"/>
                <w:iCs w:val="1"/>
                <w:color w:val="auto"/>
              </w:rPr>
              <w:t>Senior Vice President, Finance and Chief Accounting Officer of</w:t>
            </w:r>
          </w:p>
        </w:tc>
      </w:tr>
      <w:tr>
        <w:trPr>
          <w:trHeight w:val="234"/>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Plains All American GP LLC</w:t>
            </w:r>
          </w:p>
        </w:tc>
      </w:tr>
      <w:tr>
        <w:trPr>
          <w:trHeight w:val="238"/>
        </w:trPr>
        <w:tc>
          <w:tcPr>
            <w:tcW w:w="620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(Principal Accounting Officer)</w:t>
            </w:r>
          </w:p>
        </w:tc>
      </w:tr>
      <w:tr>
        <w:trPr>
          <w:trHeight w:val="459"/>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May 8, 2026</w:t>
            </w:r>
          </w:p>
        </w:tc>
        <w:tc>
          <w:tcPr>
            <w:tcW w:w="50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20"/>
          </w:cols>
          <w:pgMar w:left="320" w:top="121" w:right="35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Willie Chiang, certify that:</w:t>
      </w:r>
    </w:p>
    <w:p>
      <w:pPr>
        <w:spacing w:after="0" w:line="225" w:lineRule="exact"/>
        <w:rPr>
          <w:sz w:val="20"/>
          <w:szCs w:val="20"/>
          <w:color w:val="auto"/>
        </w:rPr>
      </w:pPr>
    </w:p>
    <w:p>
      <w:pPr>
        <w:ind w:left="880" w:hanging="224"/>
        <w:spacing w:after="0"/>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Plains All American Pipeline, L.P. (the “registrant”);</w:t>
      </w:r>
    </w:p>
    <w:p>
      <w:pPr>
        <w:spacing w:after="0" w:line="225" w:lineRule="exact"/>
        <w:rPr>
          <w:rFonts w:ascii="Times New Roman" w:cs="Times New Roman" w:eastAsia="Times New Roman" w:hAnsi="Times New Roman"/>
          <w:sz w:val="18"/>
          <w:szCs w:val="18"/>
          <w:color w:val="auto"/>
        </w:rPr>
      </w:pPr>
    </w:p>
    <w:p>
      <w:pPr>
        <w:ind w:right="160" w:firstLine="656"/>
        <w:spacing w:after="0" w:line="266" w:lineRule="auto"/>
        <w:tabs>
          <w:tab w:leader="none" w:pos="87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20" w:firstLine="656"/>
        <w:spacing w:after="0" w:line="282" w:lineRule="auto"/>
        <w:tabs>
          <w:tab w:leader="none" w:pos="87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656"/>
        <w:spacing w:after="0" w:line="266" w:lineRule="auto"/>
        <w:tabs>
          <w:tab w:leader="none" w:pos="87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ind w:firstLine="656"/>
        <w:spacing w:after="0" w:line="266" w:lineRule="auto"/>
        <w:tabs>
          <w:tab w:leader="none" w:pos="134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right="40" w:firstLine="656"/>
        <w:spacing w:after="0" w:line="266" w:lineRule="auto"/>
        <w:tabs>
          <w:tab w:leader="none" w:pos="135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180" w:firstLine="656"/>
        <w:spacing w:after="0" w:line="282" w:lineRule="auto"/>
        <w:tabs>
          <w:tab w:leader="none" w:pos="134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160" w:firstLine="656"/>
        <w:spacing w:after="0" w:line="266" w:lineRule="auto"/>
        <w:tabs>
          <w:tab w:leader="none" w:pos="135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40" w:firstLine="656"/>
        <w:spacing w:after="0" w:line="282" w:lineRule="auto"/>
        <w:tabs>
          <w:tab w:leader="none" w:pos="87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400" w:firstLine="656"/>
        <w:spacing w:after="0" w:line="282" w:lineRule="auto"/>
        <w:tabs>
          <w:tab w:leader="none" w:pos="134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80" w:firstLine="656"/>
        <w:spacing w:after="0" w:line="282" w:lineRule="auto"/>
        <w:tabs>
          <w:tab w:leader="none" w:pos="135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jc w:val="center"/>
        <w:ind w:right="9880"/>
        <w:spacing w:after="0"/>
        <w:rPr>
          <w:sz w:val="20"/>
          <w:szCs w:val="20"/>
          <w:color w:val="auto"/>
        </w:rPr>
      </w:pPr>
      <w:r>
        <w:rPr>
          <w:rFonts w:ascii="Times New Roman" w:cs="Times New Roman" w:eastAsia="Times New Roman" w:hAnsi="Times New Roman"/>
          <w:sz w:val="18"/>
          <w:szCs w:val="18"/>
          <w:color w:val="auto"/>
        </w:rPr>
        <w:t>Date: May 8, 2026</w:t>
      </w:r>
    </w:p>
    <w:p>
      <w:pPr>
        <w:spacing w:after="0" w:line="26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354901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0">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Willie Chiang</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ectPr>
          <w:pgSz w:w="11900" w:h="16838" w:orient="portrait"/>
          <w:cols w:equalWidth="0" w:num="1">
            <w:col w:w="11240"/>
          </w:cols>
          <w:pgMar w:left="320" w:top="887"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 Swanson, certify that:</w:t>
      </w:r>
    </w:p>
    <w:p>
      <w:pPr>
        <w:spacing w:after="0" w:line="225" w:lineRule="exact"/>
        <w:rPr>
          <w:sz w:val="20"/>
          <w:szCs w:val="20"/>
          <w:color w:val="auto"/>
        </w:rPr>
      </w:pPr>
    </w:p>
    <w:p>
      <w:pPr>
        <w:ind w:left="880" w:hanging="224"/>
        <w:spacing w:after="0"/>
        <w:tabs>
          <w:tab w:leader="none" w:pos="8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Plains All American Pipeline, L.P. (the “registrant”);</w:t>
      </w:r>
    </w:p>
    <w:p>
      <w:pPr>
        <w:spacing w:after="0" w:line="225" w:lineRule="exact"/>
        <w:rPr>
          <w:rFonts w:ascii="Times New Roman" w:cs="Times New Roman" w:eastAsia="Times New Roman" w:hAnsi="Times New Roman"/>
          <w:sz w:val="18"/>
          <w:szCs w:val="18"/>
          <w:color w:val="auto"/>
        </w:rPr>
      </w:pPr>
    </w:p>
    <w:p>
      <w:pPr>
        <w:ind w:right="160" w:firstLine="656"/>
        <w:spacing w:after="0" w:line="266" w:lineRule="auto"/>
        <w:tabs>
          <w:tab w:leader="none" w:pos="87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20" w:firstLine="656"/>
        <w:spacing w:after="0" w:line="282" w:lineRule="auto"/>
        <w:tabs>
          <w:tab w:leader="none" w:pos="87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656"/>
        <w:spacing w:after="0" w:line="266" w:lineRule="auto"/>
        <w:tabs>
          <w:tab w:leader="none" w:pos="87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ind w:firstLine="656"/>
        <w:spacing w:after="0" w:line="266" w:lineRule="auto"/>
        <w:tabs>
          <w:tab w:leader="none" w:pos="134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right="40" w:firstLine="656"/>
        <w:spacing w:after="0" w:line="266" w:lineRule="auto"/>
        <w:tabs>
          <w:tab w:leader="none" w:pos="135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180" w:firstLine="656"/>
        <w:spacing w:after="0" w:line="282" w:lineRule="auto"/>
        <w:tabs>
          <w:tab w:leader="none" w:pos="134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160" w:firstLine="656"/>
        <w:spacing w:after="0" w:line="266" w:lineRule="auto"/>
        <w:tabs>
          <w:tab w:leader="none" w:pos="135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40" w:firstLine="656"/>
        <w:spacing w:after="0" w:line="282" w:lineRule="auto"/>
        <w:tabs>
          <w:tab w:leader="none" w:pos="87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400" w:firstLine="656"/>
        <w:spacing w:after="0" w:line="282" w:lineRule="auto"/>
        <w:tabs>
          <w:tab w:leader="none" w:pos="134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80" w:firstLine="656"/>
        <w:spacing w:after="0" w:line="282" w:lineRule="auto"/>
        <w:tabs>
          <w:tab w:leader="none" w:pos="135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2026</w:t>
      </w:r>
    </w:p>
    <w:p>
      <w:pPr>
        <w:spacing w:after="0" w:line="26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354901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1">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Al Swanson</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87"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1350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Willie Chiang, Chief Executive Officer of Plains All American Pipeline, L.P. (the “Company”), hereby certify that:</w:t>
      </w:r>
    </w:p>
    <w:p>
      <w:pPr>
        <w:spacing w:after="0" w:line="225" w:lineRule="exact"/>
        <w:rPr>
          <w:sz w:val="20"/>
          <w:szCs w:val="20"/>
          <w:color w:val="auto"/>
        </w:rPr>
      </w:pPr>
    </w:p>
    <w:p>
      <w:pPr>
        <w:ind w:right="20" w:firstLine="656"/>
        <w:spacing w:after="0" w:line="266" w:lineRule="auto"/>
        <w:tabs>
          <w:tab w:leader="none" w:pos="135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report on Form 10-Q for the period ended March 31, 2026 and filed with the Securities and Exchange Commission on the date hereof (the “Report”) by the Company fully complies with the requirements of Section 13(a) or 15(d) of the Securities Exchange Act of 1934, as amended; and</w:t>
      </w:r>
    </w:p>
    <w:p>
      <w:pPr>
        <w:spacing w:after="0" w:line="175" w:lineRule="exact"/>
        <w:rPr>
          <w:rFonts w:ascii="Times New Roman" w:cs="Times New Roman" w:eastAsia="Times New Roman" w:hAnsi="Times New Roman"/>
          <w:sz w:val="18"/>
          <w:szCs w:val="18"/>
          <w:color w:val="auto"/>
        </w:rPr>
      </w:pPr>
    </w:p>
    <w:p>
      <w:pPr>
        <w:ind w:left="1380" w:hanging="724"/>
        <w:spacing w:after="0"/>
        <w:tabs>
          <w:tab w:leader="none" w:pos="1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4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Willie Chiang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354901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2">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Name: Willie Chiang</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Date: May 8, 2026</w:t>
      </w:r>
    </w:p>
    <w:p>
      <w:pPr>
        <w:sectPr>
          <w:pgSz w:w="11900" w:h="16838" w:orient="portrait"/>
          <w:cols w:equalWidth="0" w:num="1">
            <w:col w:w="11240"/>
          </w:cols>
          <w:pgMar w:left="320" w:top="887"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PLAINS ALL AMERICAN PIPELINE, L.P.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1350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 Swanson, Chief Financial Officer of Plains All American Pipeline, L.P. (the “Company”), hereby certify that:</w:t>
      </w:r>
    </w:p>
    <w:p>
      <w:pPr>
        <w:spacing w:after="0" w:line="225" w:lineRule="exact"/>
        <w:rPr>
          <w:sz w:val="20"/>
          <w:szCs w:val="20"/>
          <w:color w:val="auto"/>
        </w:rPr>
      </w:pPr>
    </w:p>
    <w:p>
      <w:pPr>
        <w:ind w:right="20" w:firstLine="656"/>
        <w:spacing w:after="0" w:line="266" w:lineRule="auto"/>
        <w:tabs>
          <w:tab w:leader="none" w:pos="135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report on Form 10-Q for the period ended March 31, 2026 and filed with the Securities and Exchange Commission on the date hereof (the “Report”) by the Company fully complies with the requirements of Section 13(a) or 15(d) of the Securities Exchange Act of 1934, as amended; and</w:t>
      </w:r>
    </w:p>
    <w:p>
      <w:pPr>
        <w:spacing w:after="0" w:line="175" w:lineRule="exact"/>
        <w:rPr>
          <w:rFonts w:ascii="Times New Roman" w:cs="Times New Roman" w:eastAsia="Times New Roman" w:hAnsi="Times New Roman"/>
          <w:sz w:val="18"/>
          <w:szCs w:val="18"/>
          <w:color w:val="auto"/>
        </w:rPr>
      </w:pPr>
    </w:p>
    <w:p>
      <w:pPr>
        <w:ind w:left="1380" w:hanging="724"/>
        <w:spacing w:after="0"/>
        <w:tabs>
          <w:tab w:leader="none" w:pos="1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4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354901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3">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Name: Al Swanson</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Date: May 8, 2026</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1)"/>
      <w:numFmt w:val="decimal"/>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1)"/>
      <w:numFmt w:val="decimal"/>
      <w:start w:val="1"/>
    </w:lvl>
  </w:abstractNum>
  <w:abstractNum w:abstractNumId="6">
    <w:nsid w:val="189A769B"/>
    <w:multiLevelType w:val="hybridMultilevel"/>
    <w:lvl w:ilvl="0">
      <w:lvlJc w:val="left"/>
      <w:lvlText w:val="(%1)"/>
      <w:numFmt w:val="decimal"/>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1)"/>
      <w:numFmt w:val="decimal"/>
      <w:start w:val="1"/>
    </w:lvl>
  </w:abstractNum>
  <w:abstractNum w:abstractNumId="9">
    <w:nsid w:val="2CA88611"/>
    <w:multiLevelType w:val="hybridMultilevel"/>
    <w:lvl w:ilvl="0">
      <w:lvlJc w:val="left"/>
      <w:lvlText w:val="(%1)"/>
      <w:numFmt w:val="decimal"/>
      <w:start w:val="1"/>
    </w:lvl>
  </w:abstractNum>
  <w:abstractNum w:abstractNumId="10">
    <w:nsid w:val="836C40E"/>
    <w:multiLevelType w:val="hybridMultilevel"/>
    <w:lvl w:ilvl="0">
      <w:lvlJc w:val="left"/>
      <w:lvlText w:val="(%1)"/>
      <w:numFmt w:val="decimal"/>
      <w:start w:val="1"/>
    </w:lvl>
  </w:abstractNum>
  <w:abstractNum w:abstractNumId="11">
    <w:nsid w:val="2901D82"/>
    <w:multiLevelType w:val="hybridMultilevel"/>
    <w:lvl w:ilvl="0">
      <w:lvlJc w:val="left"/>
      <w:lvlText w:val="(%1)"/>
      <w:numFmt w:val="decimal"/>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1)"/>
      <w:numFmt w:val="decimal"/>
      <w:start w:val="1"/>
    </w:lvl>
  </w:abstractNum>
  <w:abstractNum w:abstractNumId="14">
    <w:nsid w:val="1E7FF521"/>
    <w:multiLevelType w:val="hybridMultilevel"/>
    <w:lvl w:ilvl="0">
      <w:lvlJc w:val="left"/>
      <w:lvlText w:val="(%1)"/>
      <w:numFmt w:val="decimal"/>
      <w:start w:val="1"/>
    </w:lvl>
  </w:abstractNum>
  <w:abstractNum w:abstractNumId="15">
    <w:nsid w:val="7C3DBD3D"/>
    <w:multiLevelType w:val="hybridMultilevel"/>
    <w:lvl w:ilvl="0">
      <w:lvlJc w:val="left"/>
      <w:lvlText w:val="(%1)"/>
      <w:numFmt w:val="decimal"/>
      <w:start w:val="4"/>
    </w:lvl>
  </w:abstractNum>
  <w:abstractNum w:abstractNumId="16">
    <w:nsid w:val="737B8DDC"/>
    <w:multiLevelType w:val="hybridMultilevel"/>
    <w:lvl w:ilvl="0">
      <w:lvlJc w:val="left"/>
      <w:lvlText w:val="(%1)"/>
      <w:numFmt w:val="decimal"/>
      <w:start w:val="7"/>
    </w:lvl>
  </w:abstractNum>
  <w:abstractNum w:abstractNumId="17">
    <w:nsid w:val="6CEAF087"/>
    <w:multiLevelType w:val="hybridMultilevel"/>
    <w:lvl w:ilvl="0">
      <w:lvlJc w:val="left"/>
      <w:lvlText w:val="(%1)"/>
      <w:numFmt w:val="decimal"/>
      <w:start w:val="12"/>
    </w:lvl>
  </w:abstractNum>
  <w:abstractNum w:abstractNumId="18">
    <w:nsid w:val="22221A70"/>
    <w:multiLevelType w:val="hybridMultilevel"/>
    <w:lvl w:ilvl="0">
      <w:lvlJc w:val="left"/>
      <w:lvlText w:val="(%1)"/>
      <w:numFmt w:val="decimal"/>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1)"/>
      <w:numFmt w:val="decimal"/>
      <w:start w:val="1"/>
    </w:lvl>
  </w:abstractNum>
  <w:abstractNum w:abstractNumId="21">
    <w:nsid w:val="614FD4A1"/>
    <w:multiLevelType w:val="hybridMultilevel"/>
    <w:lvl w:ilvl="0">
      <w:lvlJc w:val="left"/>
      <w:lvlText w:val="(%1)"/>
      <w:numFmt w:val="lowerRoman"/>
      <w:start w:val="5"/>
    </w:lvl>
  </w:abstractNum>
  <w:abstractNum w:abstractNumId="22">
    <w:nsid w:val="419AC241"/>
    <w:multiLevelType w:val="hybridMultilevel"/>
    <w:lvl w:ilvl="0">
      <w:lvlJc w:val="left"/>
      <w:lvlText w:val="(%1)"/>
      <w:numFmt w:val="decimal"/>
      <w:start w:val="5"/>
    </w:lvl>
  </w:abstractNum>
  <w:abstractNum w:abstractNumId="23">
    <w:nsid w:val="5577F8E1"/>
    <w:multiLevelType w:val="hybridMultilevel"/>
    <w:lvl w:ilvl="0">
      <w:lvlJc w:val="left"/>
      <w:lvlText w:val="(%1)"/>
      <w:numFmt w:val="decimal"/>
      <w:start w:val="12"/>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1)"/>
      <w:numFmt w:val="decimal"/>
      <w:start w:val="1"/>
    </w:lvl>
  </w:abstractNum>
  <w:abstractNum w:abstractNumId="26">
    <w:nsid w:val="3804823E"/>
    <w:multiLevelType w:val="hybridMultilevel"/>
    <w:lvl w:ilvl="0">
      <w:lvlJc w:val="left"/>
      <w:lvlText w:val="(%1)"/>
      <w:numFmt w:val="decimal"/>
      <w:start w:val="5"/>
    </w:lvl>
  </w:abstractNum>
  <w:abstractNum w:abstractNumId="27">
    <w:nsid w:val="77465F01"/>
    <w:multiLevelType w:val="hybridMultilevel"/>
    <w:lvl w:ilvl="0">
      <w:lvlJc w:val="left"/>
      <w:lvlText w:val="(%1)"/>
      <w:numFmt w:val="decimal"/>
      <w:start w:val="3"/>
    </w:lvl>
  </w:abstractNum>
  <w:abstractNum w:abstractNumId="28">
    <w:nsid w:val="7724C67E"/>
    <w:multiLevelType w:val="hybridMultilevel"/>
    <w:lvl w:ilvl="0">
      <w:lvlJc w:val="left"/>
      <w:lvlText w:val="(%1)"/>
      <w:numFmt w:val="lowerRoman"/>
      <w:start w:val="5"/>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1)"/>
      <w:numFmt w:val="decimal"/>
      <w:start w:val="4"/>
    </w:lvl>
  </w:abstractNum>
  <w:abstractNum w:abstractNumId="31">
    <w:nsid w:val="5E884ADC"/>
    <w:multiLevelType w:val="hybridMultilevel"/>
    <w:lvl w:ilvl="0">
      <w:lvlJc w:val="left"/>
      <w:lvlText w:val="(%1)"/>
      <w:numFmt w:val="decimal"/>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1."/>
      <w:numFmt w:val="decimal"/>
      <w:start w:val="1"/>
    </w:lvl>
  </w:abstractNum>
  <w:abstractNum w:abstractNumId="37">
    <w:nsid w:val="70A64E2A"/>
    <w:multiLevelType w:val="hybridMultilevel"/>
    <w:lvl w:ilvl="0">
      <w:lvlJc w:val="left"/>
      <w:lvlText w:val="(%1)"/>
      <w:numFmt w:val="lowerLetter"/>
      <w:start w:val="1"/>
    </w:lvl>
  </w:abstractNum>
  <w:abstractNum w:abstractNumId="38">
    <w:nsid w:val="6A2342EC"/>
    <w:multiLevelType w:val="hybridMultilevel"/>
    <w:lvl w:ilvl="0">
      <w:lvlJc w:val="left"/>
      <w:lvlText w:val="%1."/>
      <w:numFmt w:val="decimal"/>
      <w:start w:val="5"/>
    </w:lvl>
  </w:abstractNum>
  <w:abstractNum w:abstractNumId="39">
    <w:nsid w:val="2A487CB0"/>
    <w:multiLevelType w:val="hybridMultilevel"/>
    <w:lvl w:ilvl="0">
      <w:lvlJc w:val="left"/>
      <w:lvlText w:val="(%1)"/>
      <w:numFmt w:val="lowerLetter"/>
      <w:start w:val="1"/>
    </w:lvl>
  </w:abstractNum>
  <w:abstractNum w:abstractNumId="40">
    <w:nsid w:val="1D4ED43B"/>
    <w:multiLevelType w:val="hybridMultilevel"/>
    <w:lvl w:ilvl="0">
      <w:lvlJc w:val="left"/>
      <w:lvlText w:val="%1."/>
      <w:numFmt w:val="decimal"/>
      <w:start w:val="1"/>
    </w:lvl>
  </w:abstractNum>
  <w:abstractNum w:abstractNumId="41">
    <w:nsid w:val="725A06FB"/>
    <w:multiLevelType w:val="hybridMultilevel"/>
    <w:lvl w:ilvl="0">
      <w:lvlJc w:val="left"/>
      <w:lvlText w:val="(%1)"/>
      <w:numFmt w:val="lowerLetter"/>
      <w:start w:val="1"/>
    </w:lvl>
  </w:abstractNum>
  <w:abstractNum w:abstractNumId="42">
    <w:nsid w:val="2CD89A32"/>
    <w:multiLevelType w:val="hybridMultilevel"/>
    <w:lvl w:ilvl="0">
      <w:lvlJc w:val="left"/>
      <w:lvlText w:val="%1."/>
      <w:numFmt w:val="decimal"/>
      <w:start w:val="5"/>
    </w:lvl>
  </w:abstractNum>
  <w:abstractNum w:abstractNumId="43">
    <w:nsid w:val="57E4CCAF"/>
    <w:multiLevelType w:val="hybridMultilevel"/>
    <w:lvl w:ilvl="0">
      <w:lvlJc w:val="left"/>
      <w:lvlText w:val="(%1)"/>
      <w:numFmt w:val="lowerLetter"/>
      <w:start w:val="1"/>
    </w:lvl>
  </w:abstractNum>
  <w:abstractNum w:abstractNumId="44">
    <w:nsid w:val="7A6D8D3C"/>
    <w:multiLevelType w:val="hybridMultilevel"/>
    <w:lvl w:ilvl="0">
      <w:lvlJc w:val="left"/>
      <w:lvlText w:val="(%1)"/>
      <w:numFmt w:val="lowerRoman"/>
      <w:start w:val="1"/>
    </w:lvl>
  </w:abstractNum>
  <w:abstractNum w:abstractNumId="45">
    <w:nsid w:val="4B588F5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108" Type="http://schemas.openxmlformats.org/officeDocument/2006/relationships/image" Target="media/image86.png"/><Relationship Id="rId124" Type="http://schemas.openxmlformats.org/officeDocument/2006/relationships/image" Target="media/image87.png"/><Relationship Id="rId137" Type="http://schemas.openxmlformats.org/officeDocument/2006/relationships/image" Target="media/image88.png"/><Relationship Id="rId138" Type="http://schemas.openxmlformats.org/officeDocument/2006/relationships/image" Target="media/image89.png"/><Relationship Id="rId139" Type="http://schemas.openxmlformats.org/officeDocument/2006/relationships/image" Target="media/image90.png"/><Relationship Id="rId140" Type="http://schemas.openxmlformats.org/officeDocument/2006/relationships/image" Target="media/image91.png"/><Relationship Id="rId141" Type="http://schemas.openxmlformats.org/officeDocument/2006/relationships/image" Target="media/image92.png"/><Relationship Id="rId142" Type="http://schemas.openxmlformats.org/officeDocument/2006/relationships/image" Target="media/image93.png"/><Relationship Id="rId143" Type="http://schemas.openxmlformats.org/officeDocument/2006/relationships/image" Target="media/image94.png"/><Relationship Id="rId93" Type="http://schemas.openxmlformats.org/officeDocument/2006/relationships/hyperlink" Target="https://www.sec.gov/Archives/edgar/data/1070423/000110465917061889/a17-22685_5ex3d1.htm#Exhibit3_1_122228" TargetMode="External"/><Relationship Id="rId94" Type="http://schemas.openxmlformats.org/officeDocument/2006/relationships/hyperlink" Target="https://www.sec.gov/Archives/edgar/data/1070423/000104746904016502/a2135501zex-3_2.htm" TargetMode="External"/><Relationship Id="rId95" Type="http://schemas.openxmlformats.org/officeDocument/2006/relationships/hyperlink" Target="https://www.sec.gov/Archives/edgar/data/1070423/000110465911010359/a11-2319_1ex3d9.htm" TargetMode="External"/><Relationship Id="rId96" Type="http://schemas.openxmlformats.org/officeDocument/2006/relationships/hyperlink" Target="https://www.sec.gov/Archives/edgar/data/1070423/000110465911010359/a11-2319_1ex3d10.htm" TargetMode="External"/><Relationship Id="rId97" Type="http://schemas.openxmlformats.org/officeDocument/2006/relationships/hyperlink" Target="https://www.sec.gov/Archives/edgar/data/1070423/000110465914014322/a13-25941_1ex3d7.htm" TargetMode="External"/><Relationship Id="rId98" Type="http://schemas.openxmlformats.org/officeDocument/2006/relationships/hyperlink" Target="https://www.sec.gov/Archives/edgar/data/1070423/000110465914014322/a13-25941_1ex3d8.htm" TargetMode="External"/><Relationship Id="rId99" Type="http://schemas.openxmlformats.org/officeDocument/2006/relationships/hyperlink" Target="https://www.sec.gov/Archives/edgar/data/1070423/000107042320000004/paa201910-kexhibit37.htm" TargetMode="External"/><Relationship Id="rId100" Type="http://schemas.openxmlformats.org/officeDocument/2006/relationships/hyperlink" Target="https://www.sec.gov/Archives/edgar/data/1070423/000104746904016502/a2135501zex-3_3.htm" TargetMode="External"/><Relationship Id="rId101" Type="http://schemas.openxmlformats.org/officeDocument/2006/relationships/hyperlink" Target="https://www.sec.gov/Archives/edgar/data/1070423/000110465914014322/a13-25941_1ex3d10.htm" TargetMode="External"/><Relationship Id="rId102" Type="http://schemas.openxmlformats.org/officeDocument/2006/relationships/hyperlink" Target="https://www.sec.gov/Archives/edgar/data/1070423/000110465916158355/a16-21841_1ex3d3.htm" TargetMode="External"/><Relationship Id="rId103" Type="http://schemas.openxmlformats.org/officeDocument/2006/relationships/hyperlink" Target="https://www.sec.gov/Archives/edgar/data/1070423/000110465916158355/a16-21841_1ex3d4.htm" TargetMode="External"/><Relationship Id="rId104" Type="http://schemas.openxmlformats.org/officeDocument/2006/relationships/hyperlink" Target="https://www.sec.gov/Archives/edgar/data/1070423/000110465918060011/a18-36196_1ex3d1.htm" TargetMode="External"/><Relationship Id="rId105" Type="http://schemas.openxmlformats.org/officeDocument/2006/relationships/hyperlink" Target="https://www.sec.gov/Archives/edgar/data/1070423/000110465919032810/a19-10856_1ex3d1.htm" TargetMode="External"/><Relationship Id="rId106" Type="http://schemas.openxmlformats.org/officeDocument/2006/relationships/hyperlink" Target="https://www.sec.gov/Archives/edgar/data/1070423/000110465923093997/tm2324104d2_ex3-1.htm" TargetMode="External"/><Relationship Id="rId107" Type="http://schemas.openxmlformats.org/officeDocument/2006/relationships/hyperlink" Target="https://www.sec.gov/Archives/edgar/data/1070423/000095012907001096/h43224exv3w10.htm" TargetMode="External"/><Relationship Id="rId109" Type="http://schemas.openxmlformats.org/officeDocument/2006/relationships/hyperlink" Target="https://www.sec.gov/Archives/edgar/data/1070423/000095012907001096/h43224exv3w11.htm" TargetMode="External"/><Relationship Id="rId110" Type="http://schemas.openxmlformats.org/officeDocument/2006/relationships/hyperlink" Target="https://www.sec.gov/Archives/edgar/data/1070423/000095012908000071/h52770exv3w3.htm" TargetMode="External"/><Relationship Id="rId111" Type="http://schemas.openxmlformats.org/officeDocument/2006/relationships/hyperlink" Target="https://www.sec.gov/Archives/edgar/data/1581990/000104746913007875/a2216069zex-3_1.htm" TargetMode="External"/><Relationship Id="rId112" Type="http://schemas.openxmlformats.org/officeDocument/2006/relationships/hyperlink" Target="https://www.sec.gov/Archives/edgar/data/1581990/000110465916158356/a16-21845_1ex3d2.htm" TargetMode="External"/><Relationship Id="rId113" Type="http://schemas.openxmlformats.org/officeDocument/2006/relationships/hyperlink" Target="https://www.sec.gov/Archives/edgar/data/1581990/000158199020000012/exhibit31.htm" TargetMode="External"/><Relationship Id="rId114" Type="http://schemas.openxmlformats.org/officeDocument/2006/relationships/hyperlink" Target="https://www.sec.gov/Archives/edgar/data/1581990/000104746913007875/a2216069zex-3_3.htm" TargetMode="External"/><Relationship Id="rId115" Type="http://schemas.openxmlformats.org/officeDocument/2006/relationships/hyperlink" Target="https://www.sec.gov/Archives/edgar/data/1070423/000107042322000006/paa202110-kexhibite69.htm" TargetMode="External"/><Relationship Id="rId116" Type="http://schemas.openxmlformats.org/officeDocument/2006/relationships/hyperlink" Target="https://www.sec.gov/Archives/edgar/data/1070423/000089924302002834/dex41.txt" TargetMode="External"/><Relationship Id="rId117" Type="http://schemas.openxmlformats.org/officeDocument/2006/relationships/hyperlink" Target="https://www.sec.gov/Archives/edgar/data/1070423/000110465906034368/a06-11663_1ex4d1.htm" TargetMode="External"/><Relationship Id="rId118" Type="http://schemas.openxmlformats.org/officeDocument/2006/relationships/hyperlink" Target="https://www.sec.gov/Archives/edgar/data/1070423/000095012906009235/h40667exv4w2.htm" TargetMode="External"/><Relationship Id="rId119" Type="http://schemas.openxmlformats.org/officeDocument/2006/relationships/hyperlink" Target="https://www.sec.gov/Archives/edgar/data/1070423/000119312512132295/d321017dex43.htm" TargetMode="External"/><Relationship Id="rId120" Type="http://schemas.openxmlformats.org/officeDocument/2006/relationships/hyperlink" Target="https://www.sec.gov/Archives/edgar/data/1070423/000119312512499932/d453762dex43.htm" TargetMode="External"/><Relationship Id="rId121" Type="http://schemas.openxmlformats.org/officeDocument/2006/relationships/hyperlink" Target="https://www.sec.gov/Archives/edgar/data/1070423/000119312514164183/d713938dex41.htm" TargetMode="External"/><Relationship Id="rId122" Type="http://schemas.openxmlformats.org/officeDocument/2006/relationships/hyperlink" Target="https://www.sec.gov/Archives/edgar/data/1070423/000119312514440007/d833885dex43.htm" TargetMode="External"/><Relationship Id="rId123" Type="http://schemas.openxmlformats.org/officeDocument/2006/relationships/hyperlink" Target="https://www.sec.gov/Archives/edgar/data/1070423/000110465916159593/a16-22232_1ex4d1.htm" TargetMode="External"/><Relationship Id="rId125" Type="http://schemas.openxmlformats.org/officeDocument/2006/relationships/hyperlink" Target="https://www.sec.gov/Archives/edgar/data/1070423/000141057819001281/tv529555_ex4-1.htm" TargetMode="External"/><Relationship Id="rId126" Type="http://schemas.openxmlformats.org/officeDocument/2006/relationships/hyperlink" Target="https://www.sec.gov/Archives/edgar/data/1070423/000110465920072270/tm2022235d1_ex4-1.htm" TargetMode="External"/><Relationship Id="rId127" Type="http://schemas.openxmlformats.org/officeDocument/2006/relationships/hyperlink" Target="https://www.sec.gov/Archives/edgar/data/1070423/000110465924075672/tm2418387d1_ex4-1.htm" TargetMode="External"/><Relationship Id="rId128" Type="http://schemas.openxmlformats.org/officeDocument/2006/relationships/hyperlink" Target="https://www.sec.gov/Archives/edgar/data/1070423/000110465925003785/tm253436d1_ex4-1.htm" TargetMode="External"/><Relationship Id="rId129" Type="http://schemas.openxmlformats.org/officeDocument/2006/relationships/hyperlink" Target="https://www.sec.gov/Archives/edgar/data/1070423/000110465925088257/tm2524999d4_ex4-1.htm" TargetMode="External"/><Relationship Id="rId130" Type="http://schemas.openxmlformats.org/officeDocument/2006/relationships/hyperlink" Target="https://www.sec.gov/Archives/edgar/data/1070423/000110465925088257/tm2524999d4_ex4-3.htm" TargetMode="External"/><Relationship Id="rId131" Type="http://schemas.openxmlformats.org/officeDocument/2006/relationships/hyperlink" Target="https://www.sec.gov/Archives/edgar/data/1070423/000095012309050401/h68193exv4w1.htm" TargetMode="External"/><Relationship Id="rId132" Type="http://schemas.openxmlformats.org/officeDocument/2006/relationships/hyperlink" Target="https://www.sec.gov/Archives/edgar/data/1070423/000110465916093299/a16-3362_1ex4d1.htm" TargetMode="External"/><Relationship Id="rId133" Type="http://schemas.openxmlformats.org/officeDocument/2006/relationships/hyperlink" Target="https://www.sec.gov/Archives/edgar/data/1070423/000110465916158355/a16-21841_1ex10d4.htm" TargetMode="External"/><Relationship Id="rId134" Type="http://schemas.openxmlformats.org/officeDocument/2006/relationships/hyperlink" Target="https://www.sec.gov/Archives/edgar/data/1070423/000107042325000006/paa202410-kexhibit417.htm" TargetMode="External"/><Relationship Id="rId135" Type="http://schemas.openxmlformats.org/officeDocument/2006/relationships/hyperlink" Target="https://www.sec.gov/Archives/edgar/data/1070423/000110465926022836/tm267812d1_ex10-1.htm" TargetMode="External"/><Relationship Id="rId136" Type="http://schemas.openxmlformats.org/officeDocument/2006/relationships/hyperlink" Target="https://www.sec.gov/Archives/edgar/data/1070423/000110465926022836/tm267812d1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2026-05-08T15:57:01Z</dcterms:created>
  <dcterms:modified xsi:type="dcterms:W3CDTF">2026-05-08T15:57:01Z</dcterms:modified>
</cp:coreProperties>
</file>