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27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47" w:lineRule="exact"/>
        <w:rPr>
          <w:sz w:val="24"/>
          <w:szCs w:val="24"/>
          <w:color w:val="auto"/>
        </w:rPr>
      </w:pPr>
    </w:p>
    <w:p>
      <w:pPr>
        <w:ind w:left="3660" w:right="1560" w:hanging="3652"/>
        <w:spacing w:after="0" w:line="402" w:lineRule="auto"/>
        <w:tabs>
          <w:tab w:leader="none" w:pos="472"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233" w:right="399" w:bottom="1440" w:gutter="0" w:footer="0" w:header="0"/>
        </w:sectPr>
      </w:pPr>
    </w:p>
    <w:p>
      <w:pPr>
        <w:spacing w:after="0" w:line="30" w:lineRule="exact"/>
        <w:rPr>
          <w:sz w:val="24"/>
          <w:szCs w:val="24"/>
          <w:color w:val="auto"/>
        </w:rPr>
      </w:pPr>
    </w:p>
    <w:p>
      <w:pPr>
        <w:ind w:left="2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54" w:lineRule="exact"/>
        <w:rPr>
          <w:sz w:val="24"/>
          <w:szCs w:val="24"/>
          <w:color w:val="auto"/>
        </w:rPr>
      </w:pPr>
    </w:p>
    <w:p>
      <w:pPr>
        <w:sectPr>
          <w:pgSz w:w="11900" w:h="16838" w:orient="portrait"/>
          <w:cols w:equalWidth="0" w:num="2">
            <w:col w:w="6920" w:space="720"/>
            <w:col w:w="3540"/>
          </w:cols>
          <w:pgMar w:left="320" w:top="233" w:right="399"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180" w:space="720"/>
            <w:col w:w="4280"/>
          </w:cols>
          <w:pgMar w:left="320" w:top="233" w:right="399" w:bottom="1440" w:gutter="0" w:footer="0" w:header="0"/>
          <w:type w:val="continuous"/>
        </w:sectPr>
      </w:pPr>
    </w:p>
    <w:p>
      <w:pPr>
        <w:spacing w:after="0" w:line="17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(Zip code)</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646-4100</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Common Units</w:t>
            </w:r>
          </w:p>
        </w:tc>
        <w:tc>
          <w:tcPr>
            <w:tcW w:w="2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PAA</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5" w:lineRule="exact"/>
        <w:rPr>
          <w:sz w:val="24"/>
          <w:szCs w:val="24"/>
          <w:color w:val="auto"/>
        </w:rPr>
      </w:pPr>
    </w:p>
    <w:p>
      <w:pPr>
        <w:ind w:firstLine="324"/>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62" w:lineRule="exact"/>
        <w:rPr>
          <w:sz w:val="24"/>
          <w:szCs w:val="24"/>
          <w:color w:val="auto"/>
        </w:rPr>
      </w:pPr>
    </w:p>
    <w:p>
      <w:pPr>
        <w:ind w:right="120" w:firstLine="369"/>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9"/>
          <w:szCs w:val="19"/>
          <w:color w:val="auto"/>
        </w:rPr>
        <w:t>☒</w:t>
      </w:r>
      <w:r>
        <w:rPr>
          <w:rFonts w:ascii="Arial" w:cs="Arial" w:eastAsia="Arial" w:hAnsi="Arial"/>
          <w:sz w:val="16"/>
          <w:szCs w:val="16"/>
          <w:color w:val="auto"/>
        </w:rPr>
        <w:t xml:space="preserve"> Yes </w:t>
      </w:r>
      <w:r>
        <w:rPr>
          <w:rFonts w:ascii="MS PGothic" w:cs="MS PGothic" w:eastAsia="MS PGothic" w:hAnsi="MS PGothic"/>
          <w:sz w:val="19"/>
          <w:szCs w:val="19"/>
          <w:color w:val="auto"/>
        </w:rPr>
        <w:t>☐</w:t>
      </w:r>
      <w:r>
        <w:rPr>
          <w:rFonts w:ascii="Arial" w:cs="Arial" w:eastAsia="Arial" w:hAnsi="Arial"/>
          <w:sz w:val="16"/>
          <w:szCs w:val="16"/>
          <w:color w:val="auto"/>
        </w:rPr>
        <w:t xml:space="preserve"> No</w:t>
      </w:r>
    </w:p>
    <w:p>
      <w:pPr>
        <w:spacing w:after="0" w:line="61" w:lineRule="exact"/>
        <w:rPr>
          <w:sz w:val="24"/>
          <w:szCs w:val="24"/>
          <w:color w:val="auto"/>
        </w:rPr>
      </w:pPr>
    </w:p>
    <w:p>
      <w:pPr>
        <w:ind w:right="14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80"/>
          </w:cols>
          <w:pgMar w:left="320" w:top="233" w:right="399" w:bottom="1440" w:gutter="0" w:footer="0" w:header="0"/>
          <w:type w:val="continuous"/>
        </w:sectPr>
      </w:pPr>
    </w:p>
    <w:p>
      <w:pPr>
        <w:spacing w:after="0" w:line="3" w:lineRule="exact"/>
        <w:rPr>
          <w:sz w:val="24"/>
          <w:szCs w:val="24"/>
          <w:color w:val="auto"/>
        </w:rPr>
      </w:pPr>
    </w:p>
    <w:p>
      <w:pPr>
        <w:ind w:left="1860"/>
        <w:spacing w:after="0" w:line="21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9"/>
          <w:szCs w:val="19"/>
          <w:color w:val="auto"/>
        </w:rPr>
        <w:t>☒</w:t>
      </w:r>
    </w:p>
    <w:p>
      <w:pPr>
        <w:spacing w:after="0" w:line="99" w:lineRule="exact"/>
        <w:rPr>
          <w:sz w:val="24"/>
          <w:szCs w:val="24"/>
          <w:color w:val="auto"/>
        </w:rPr>
      </w:pPr>
    </w:p>
    <w:p>
      <w:pPr>
        <w:ind w:left="1940"/>
        <w:spacing w:after="0" w:line="219"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ind w:left="760"/>
        <w:spacing w:after="0" w:line="20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9"/>
          <w:szCs w:val="19"/>
          <w:color w:val="auto"/>
        </w:rPr>
        <w:t>☐</w:t>
      </w:r>
    </w:p>
    <w:p>
      <w:pPr>
        <w:spacing w:after="0" w:line="99"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9"/>
          <w:szCs w:val="19"/>
          <w:color w:val="auto"/>
        </w:rPr>
        <w:t>☐</w:t>
      </w:r>
    </w:p>
    <w:p>
      <w:pPr>
        <w:spacing w:after="0" w:line="52"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125" w:lineRule="exact"/>
        <w:rPr>
          <w:sz w:val="24"/>
          <w:szCs w:val="24"/>
          <w:color w:val="auto"/>
        </w:rPr>
      </w:pPr>
    </w:p>
    <w:p>
      <w:pPr>
        <w:sectPr>
          <w:pgSz w:w="11900" w:h="16838" w:orient="portrait"/>
          <w:cols w:equalWidth="0" w:num="2">
            <w:col w:w="6800" w:space="720"/>
            <w:col w:w="3660"/>
          </w:cols>
          <w:pgMar w:left="320" w:top="233" w:right="399" w:bottom="1440" w:gutter="0" w:footer="0" w:header="0"/>
          <w:type w:val="continuous"/>
        </w:sectPr>
      </w:pPr>
    </w:p>
    <w:p>
      <w:pPr>
        <w:ind w:right="100" w:firstLine="351"/>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7" w:lineRule="exact"/>
        <w:rPr>
          <w:sz w:val="24"/>
          <w:szCs w:val="24"/>
          <w:color w:val="auto"/>
        </w:rPr>
      </w:pPr>
    </w:p>
    <w:p>
      <w:pPr>
        <w:ind w:left="340" w:right="15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October 30, 2020, there were 728,476,591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215"/>
        </w:trPr>
        <w:tc>
          <w:tcPr>
            <w:tcW w:w="10200" w:type="dxa"/>
            <w:vAlign w:val="bottom"/>
            <w:gridSpan w:val="12"/>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1020" w:type="dxa"/>
            <w:vAlign w:val="bottom"/>
          </w:tcPr>
          <w:p>
            <w:pPr>
              <w:spacing w:after="0"/>
              <w:rPr>
                <w:sz w:val="18"/>
                <w:szCs w:val="18"/>
                <w:color w:val="auto"/>
              </w:rPr>
            </w:pPr>
          </w:p>
        </w:tc>
      </w:tr>
      <w:tr>
        <w:trPr>
          <w:trHeight w:val="229"/>
        </w:trPr>
        <w:tc>
          <w:tcPr>
            <w:tcW w:w="1020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102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10080" w:type="dxa"/>
            <w:vAlign w:val="bottom"/>
            <w:gridSpan w:val="11"/>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September 30, 2020 and December 31,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190"/>
        </w:trPr>
        <w:tc>
          <w:tcPr>
            <w:tcW w:w="120" w:type="dxa"/>
            <w:vAlign w:val="bottom"/>
          </w:tcPr>
          <w:p>
            <w:pPr>
              <w:spacing w:after="0"/>
              <w:rPr>
                <w:sz w:val="16"/>
                <w:szCs w:val="16"/>
                <w:color w:val="auto"/>
              </w:rPr>
            </w:pPr>
          </w:p>
        </w:tc>
        <w:tc>
          <w:tcPr>
            <w:tcW w:w="10080" w:type="dxa"/>
            <w:vAlign w:val="bottom"/>
            <w:gridSpan w:val="11"/>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Operations: For the three and</w:t>
              </w:r>
              <w:r>
                <w:rPr>
                  <w:rFonts w:ascii="Arial" w:cs="Arial" w:eastAsia="Arial" w:hAnsi="Arial"/>
                  <w:sz w:val="18"/>
                  <w:szCs w:val="18"/>
                  <w:color w:val="0000FF"/>
                </w:rPr>
                <w:t xml:space="preserve"> nine months ended </w:t>
              </w:r>
              <w:r>
                <w:rPr>
                  <w:rFonts w:ascii="Arial" w:cs="Arial" w:eastAsia="Arial" w:hAnsi="Arial"/>
                  <w:sz w:val="18"/>
                  <w:szCs w:val="18"/>
                  <w:u w:val="single" w:color="auto"/>
                  <w:color w:val="0000FF"/>
                </w:rPr>
                <w:t>September 30, 2020 and 2019</w:t>
              </w:r>
            </w:hyperlink>
          </w:p>
        </w:tc>
        <w:tc>
          <w:tcPr>
            <w:tcW w:w="102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89"/>
              </w:rPr>
            </w:pPr>
            <w:hyperlink w:anchor="page4">
              <w:r>
                <w:rPr>
                  <w:rFonts w:ascii="Arial" w:cs="Arial" w:eastAsia="Arial" w:hAnsi="Arial"/>
                  <w:sz w:val="18"/>
                  <w:szCs w:val="18"/>
                  <w:u w:val="single" w:color="auto"/>
                  <w:color w:val="0000FF"/>
                  <w:w w:val="89"/>
                </w:rPr>
                <w:t>Condensed Consolidated Statements of Comprehensive Income/(Loss): For the three and</w:t>
              </w:r>
              <w:r>
                <w:rPr>
                  <w:rFonts w:ascii="Arial" w:cs="Arial" w:eastAsia="Arial" w:hAnsi="Arial"/>
                  <w:sz w:val="18"/>
                  <w:szCs w:val="18"/>
                  <w:color w:val="0000FF"/>
                  <w:w w:val="89"/>
                </w:rPr>
                <w:t xml:space="preserve"> nine months ended Se</w:t>
              </w:r>
              <w:r>
                <w:rPr>
                  <w:rFonts w:ascii="Arial" w:cs="Arial" w:eastAsia="Arial" w:hAnsi="Arial"/>
                  <w:sz w:val="18"/>
                  <w:szCs w:val="18"/>
                  <w:u w:val="single" w:color="auto"/>
                  <w:color w:val="0000FF"/>
                  <w:w w:val="89"/>
                </w:rPr>
                <w:t>ptember 30, 2020 and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0"/>
        </w:trPr>
        <w:tc>
          <w:tcPr>
            <w:tcW w:w="120" w:type="dxa"/>
            <w:vAlign w:val="bottom"/>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95"/>
              </w:rPr>
            </w:pPr>
            <w:hyperlink w:anchor="page5">
              <w:r>
                <w:rPr>
                  <w:rFonts w:ascii="Arial" w:cs="Arial" w:eastAsia="Arial" w:hAnsi="Arial"/>
                  <w:sz w:val="18"/>
                  <w:szCs w:val="18"/>
                  <w:u w:val="single" w:color="auto"/>
                  <w:color w:val="0000FF"/>
                  <w:w w:val="95"/>
                </w:rPr>
                <w:t>Condensed Consolidated Statements of Changes in Accumulated Other Comprehensive Income/(Loss): For the</w:t>
              </w:r>
              <w:r>
                <w:rPr>
                  <w:rFonts w:ascii="Arial" w:cs="Arial" w:eastAsia="Arial" w:hAnsi="Arial"/>
                  <w:sz w:val="18"/>
                  <w:szCs w:val="18"/>
                  <w:color w:val="0000FF"/>
                  <w:w w:val="95"/>
                </w:rPr>
                <w:t xml:space="preserve"> nine months ended</w:t>
              </w:r>
            </w:hyperlink>
          </w:p>
        </w:tc>
        <w:tc>
          <w:tcPr>
            <w:tcW w:w="1020" w:type="dxa"/>
            <w:vAlign w:val="bottom"/>
          </w:tcPr>
          <w:p>
            <w:pPr>
              <w:spacing w:after="0"/>
              <w:rPr>
                <w:sz w:val="18"/>
                <w:szCs w:val="18"/>
                <w:color w:val="auto"/>
              </w:rPr>
            </w:pPr>
          </w:p>
        </w:tc>
      </w:tr>
      <w:tr>
        <w:trPr>
          <w:trHeight w:val="195"/>
        </w:trPr>
        <w:tc>
          <w:tcPr>
            <w:tcW w:w="120" w:type="dxa"/>
            <w:vAlign w:val="bottom"/>
          </w:tcPr>
          <w:p>
            <w:pPr>
              <w:spacing w:after="0"/>
              <w:rPr>
                <w:sz w:val="16"/>
                <w:szCs w:val="16"/>
                <w:color w:val="auto"/>
              </w:rPr>
            </w:pPr>
          </w:p>
        </w:tc>
        <w:tc>
          <w:tcPr>
            <w:tcW w:w="8060" w:type="dxa"/>
            <w:vAlign w:val="bottom"/>
            <w:gridSpan w:val="9"/>
          </w:tcPr>
          <w:p>
            <w:pPr>
              <w:ind w:left="160"/>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September 30, 2020 and 2019</w:t>
              </w:r>
            </w:hyperlink>
          </w:p>
        </w:tc>
        <w:tc>
          <w:tcPr>
            <w:tcW w:w="1360" w:type="dxa"/>
            <w:vAlign w:val="bottom"/>
            <w:tcBorders>
              <w:top w:val="single" w:sz="8" w:color="0000FF"/>
            </w:tcBorders>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jc w:val="right"/>
              <w:spacing w:after="0" w:line="195"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190"/>
        </w:trPr>
        <w:tc>
          <w:tcPr>
            <w:tcW w:w="120" w:type="dxa"/>
            <w:vAlign w:val="bottom"/>
          </w:tcPr>
          <w:p>
            <w:pPr>
              <w:spacing w:after="0"/>
              <w:rPr>
                <w:sz w:val="16"/>
                <w:szCs w:val="16"/>
                <w:color w:val="auto"/>
              </w:rPr>
            </w:pPr>
          </w:p>
        </w:tc>
        <w:tc>
          <w:tcPr>
            <w:tcW w:w="10080" w:type="dxa"/>
            <w:vAlign w:val="bottom"/>
            <w:gridSpan w:val="11"/>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nine months ended </w:t>
              </w:r>
              <w:r>
                <w:rPr>
                  <w:rFonts w:ascii="Arial" w:cs="Arial" w:eastAsia="Arial" w:hAnsi="Arial"/>
                  <w:sz w:val="18"/>
                  <w:szCs w:val="18"/>
                  <w:u w:val="single" w:color="auto"/>
                  <w:color w:val="0000FF"/>
                </w:rPr>
                <w:t>September 30, 2020 and 2019</w:t>
              </w:r>
            </w:hyperlink>
          </w:p>
        </w:tc>
        <w:tc>
          <w:tcPr>
            <w:tcW w:w="1020" w:type="dxa"/>
            <w:vAlign w:val="bottom"/>
          </w:tcPr>
          <w:p>
            <w:pPr>
              <w:jc w:val="right"/>
              <w:spacing w:after="0" w:line="190"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
        </w:trPr>
        <w:tc>
          <w:tcPr>
            <w:tcW w:w="120" w:type="dxa"/>
            <w:vAlign w:val="bottom"/>
          </w:tcPr>
          <w:p>
            <w:pPr>
              <w:spacing w:after="0" w:line="20" w:lineRule="exact"/>
              <w:rPr>
                <w:sz w:val="1"/>
                <w:szCs w:val="1"/>
                <w:color w:val="auto"/>
              </w:rPr>
            </w:pPr>
          </w:p>
        </w:tc>
        <w:tc>
          <w:tcPr>
            <w:tcW w:w="578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8"/>
                <w:szCs w:val="18"/>
                <w:color w:val="0000FF"/>
                <w:w w:val="90"/>
              </w:rPr>
            </w:pPr>
            <w:hyperlink w:anchor="page6">
              <w:r>
                <w:rPr>
                  <w:rFonts w:ascii="Arial" w:cs="Arial" w:eastAsia="Arial" w:hAnsi="Arial"/>
                  <w:sz w:val="18"/>
                  <w:szCs w:val="18"/>
                  <w:u w:val="single" w:color="auto"/>
                  <w:color w:val="0000FF"/>
                  <w:w w:val="90"/>
                </w:rPr>
                <w:t>Condensed Consolidated Statements of Changes in Partners’ Capital: For the three and</w:t>
              </w:r>
              <w:r>
                <w:rPr>
                  <w:rFonts w:ascii="Arial" w:cs="Arial" w:eastAsia="Arial" w:hAnsi="Arial"/>
                  <w:sz w:val="18"/>
                  <w:szCs w:val="18"/>
                  <w:color w:val="0000FF"/>
                  <w:w w:val="90"/>
                </w:rPr>
                <w:t xml:space="preserve"> nine months ended </w:t>
              </w:r>
              <w:r>
                <w:rPr>
                  <w:rFonts w:ascii="Arial" w:cs="Arial" w:eastAsia="Arial" w:hAnsi="Arial"/>
                  <w:sz w:val="18"/>
                  <w:szCs w:val="18"/>
                  <w:u w:val="single" w:color="auto"/>
                  <w:color w:val="0000FF"/>
                  <w:w w:val="90"/>
                </w:rPr>
                <w:t>September 30, 2020 and 2019</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49"/>
        </w:trPr>
        <w:tc>
          <w:tcPr>
            <w:tcW w:w="120" w:type="dxa"/>
            <w:vAlign w:val="bottom"/>
          </w:tcPr>
          <w:p>
            <w:pPr>
              <w:spacing w:after="0"/>
              <w:rPr>
                <w:sz w:val="21"/>
                <w:szCs w:val="21"/>
                <w:color w:val="auto"/>
              </w:rPr>
            </w:pPr>
          </w:p>
        </w:tc>
        <w:tc>
          <w:tcPr>
            <w:tcW w:w="630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1400" w:type="dxa"/>
            <w:vAlign w:val="bottom"/>
            <w:tcBorders>
              <w:top w:val="single" w:sz="8" w:color="0000FF"/>
            </w:tcBorders>
            <w:gridSpan w:val="3"/>
          </w:tcPr>
          <w:p>
            <w:pPr>
              <w:spacing w:after="0"/>
              <w:rPr>
                <w:sz w:val="21"/>
                <w:szCs w:val="21"/>
                <w:color w:val="auto"/>
              </w:rPr>
            </w:pPr>
          </w:p>
        </w:tc>
        <w:tc>
          <w:tcPr>
            <w:tcW w:w="2380" w:type="dxa"/>
            <w:vAlign w:val="bottom"/>
            <w:gridSpan w:val="4"/>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9">
              <w:r>
                <w:rPr>
                  <w:rFonts w:ascii="Arial" w:cs="Arial" w:eastAsia="Arial" w:hAnsi="Arial"/>
                  <w:sz w:val="18"/>
                  <w:szCs w:val="18"/>
                  <w:u w:val="single" w:color="auto"/>
                  <w:color w:val="0000FF"/>
                  <w:w w:val="79"/>
                </w:rPr>
                <w:t>1.</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Organization and Basis of Consolidation and Presentation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9</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1">
              <w:r>
                <w:rPr>
                  <w:rFonts w:ascii="Arial" w:cs="Arial" w:eastAsia="Arial" w:hAnsi="Arial"/>
                  <w:sz w:val="18"/>
                  <w:szCs w:val="18"/>
                  <w:u w:val="single" w:color="auto"/>
                  <w:color w:val="0000FF"/>
                  <w:w w:val="79"/>
                </w:rPr>
                <w:t>2.</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Summary of Significant Accounting Policies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11</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2">
              <w:r>
                <w:rPr>
                  <w:rFonts w:ascii="Arial" w:cs="Arial" w:eastAsia="Arial" w:hAnsi="Arial"/>
                  <w:sz w:val="18"/>
                  <w:szCs w:val="18"/>
                  <w:u w:val="single" w:color="auto"/>
                  <w:color w:val="0000FF"/>
                  <w:w w:val="79"/>
                </w:rPr>
                <w:t>3.</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Revenues and Accounts Receivable</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6">
              <w:r>
                <w:rPr>
                  <w:rFonts w:ascii="Arial" w:cs="Arial" w:eastAsia="Arial" w:hAnsi="Arial"/>
                  <w:sz w:val="18"/>
                  <w:szCs w:val="18"/>
                  <w:u w:val="single" w:color="auto"/>
                  <w:color w:val="0000FF"/>
                  <w:w w:val="79"/>
                </w:rPr>
                <w:t>4.</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Net Income/(Loss) Per Common Unit</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6">
              <w:r>
                <w:rPr>
                  <w:rFonts w:ascii="Arial" w:cs="Arial" w:eastAsia="Arial" w:hAnsi="Arial"/>
                  <w:sz w:val="18"/>
                  <w:szCs w:val="18"/>
                  <w:u w:val="single" w:color="auto"/>
                  <w:color w:val="0000FF"/>
                </w:rPr>
                <w:t>16</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7">
              <w:r>
                <w:rPr>
                  <w:rFonts w:ascii="Arial" w:cs="Arial" w:eastAsia="Arial" w:hAnsi="Arial"/>
                  <w:sz w:val="18"/>
                  <w:szCs w:val="18"/>
                  <w:u w:val="single" w:color="auto"/>
                  <w:color w:val="0000FF"/>
                  <w:w w:val="79"/>
                </w:rPr>
                <w:t>5.</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Inventory, Linefill and Base Gas and Long-term Inventory</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8">
              <w:r>
                <w:rPr>
                  <w:rFonts w:ascii="Arial" w:cs="Arial" w:eastAsia="Arial" w:hAnsi="Arial"/>
                  <w:sz w:val="18"/>
                  <w:szCs w:val="18"/>
                  <w:u w:val="single" w:color="auto"/>
                  <w:color w:val="0000FF"/>
                  <w:w w:val="79"/>
                </w:rPr>
                <w:t>6.</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Goodwill</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19">
              <w:r>
                <w:rPr>
                  <w:rFonts w:ascii="Arial" w:cs="Arial" w:eastAsia="Arial" w:hAnsi="Arial"/>
                  <w:sz w:val="18"/>
                  <w:szCs w:val="18"/>
                  <w:u w:val="single" w:color="auto"/>
                  <w:color w:val="0000FF"/>
                  <w:w w:val="79"/>
                </w:rPr>
                <w:t>7.</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Investments in Unconsolidated Entities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r>
      <w:tr>
        <w:trPr>
          <w:trHeight w:val="230"/>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21">
              <w:r>
                <w:rPr>
                  <w:rFonts w:ascii="Arial" w:cs="Arial" w:eastAsia="Arial" w:hAnsi="Arial"/>
                  <w:sz w:val="18"/>
                  <w:szCs w:val="18"/>
                  <w:u w:val="single" w:color="auto"/>
                  <w:color w:val="0000FF"/>
                  <w:w w:val="79"/>
                </w:rPr>
                <w:t>8.</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Debt</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r>
      <w:tr>
        <w:trPr>
          <w:trHeight w:val="229"/>
        </w:trPr>
        <w:tc>
          <w:tcPr>
            <w:tcW w:w="480" w:type="dxa"/>
            <w:vAlign w:val="bottom"/>
            <w:gridSpan w:val="2"/>
          </w:tcPr>
          <w:p>
            <w:pPr>
              <w:ind w:left="340"/>
              <w:spacing w:after="0"/>
              <w:rPr>
                <w:rFonts w:ascii="Arial" w:cs="Arial" w:eastAsia="Arial" w:hAnsi="Arial"/>
                <w:sz w:val="18"/>
                <w:szCs w:val="18"/>
                <w:u w:val="single" w:color="auto"/>
                <w:color w:val="0000FF"/>
                <w:w w:val="79"/>
              </w:rPr>
            </w:pPr>
            <w:hyperlink w:anchor="page22">
              <w:r>
                <w:rPr>
                  <w:rFonts w:ascii="Arial" w:cs="Arial" w:eastAsia="Arial" w:hAnsi="Arial"/>
                  <w:sz w:val="18"/>
                  <w:szCs w:val="18"/>
                  <w:u w:val="single" w:color="auto"/>
                  <w:color w:val="0000FF"/>
                  <w:w w:val="79"/>
                </w:rPr>
                <w:t>9.</w:t>
              </w:r>
            </w:hyperlink>
          </w:p>
        </w:tc>
        <w:tc>
          <w:tcPr>
            <w:tcW w:w="9720" w:type="dxa"/>
            <w:vAlign w:val="bottom"/>
            <w:gridSpan w:val="10"/>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Partners’ Capital and Distributions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r>
      <w:tr>
        <w:trPr>
          <w:trHeight w:val="229"/>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10. Derivatives and Risk Management Activities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11. Related Party Transactions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12. Commitments and Contingencies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r>
      <w:tr>
        <w:trPr>
          <w:trHeight w:val="230"/>
        </w:trPr>
        <w:tc>
          <w:tcPr>
            <w:tcW w:w="120" w:type="dxa"/>
            <w:vAlign w:val="bottom"/>
          </w:tcPr>
          <w:p>
            <w:pPr>
              <w:spacing w:after="0"/>
              <w:rPr>
                <w:sz w:val="19"/>
                <w:szCs w:val="19"/>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13. Operating Segments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r>
      <w:tr>
        <w:trPr>
          <w:trHeight w:val="230"/>
        </w:trPr>
        <w:tc>
          <w:tcPr>
            <w:tcW w:w="120" w:type="dxa"/>
            <w:vAlign w:val="bottom"/>
          </w:tcPr>
          <w:p>
            <w:pPr>
              <w:spacing w:after="0"/>
              <w:rPr>
                <w:sz w:val="20"/>
                <w:szCs w:val="20"/>
                <w:color w:val="auto"/>
              </w:rPr>
            </w:pPr>
          </w:p>
        </w:tc>
        <w:tc>
          <w:tcPr>
            <w:tcW w:w="10080" w:type="dxa"/>
            <w:vAlign w:val="bottom"/>
            <w:gridSpan w:val="11"/>
          </w:tcPr>
          <w:p>
            <w:pPr>
              <w:ind w:left="2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14. Acquisitions, Divestitures and Asset Impairments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458"/>
        </w:trPr>
        <w:tc>
          <w:tcPr>
            <w:tcW w:w="10200" w:type="dxa"/>
            <w:vAlign w:val="bottom"/>
            <w:gridSpan w:val="12"/>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2. 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 QUANTITATIVE AND QUALITATIVE DISCLOSURES ABOUT MARKET RISK</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Item 4. CONTROLS AND PROCEDURES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68</w:t>
              </w:r>
            </w:hyperlink>
          </w:p>
        </w:tc>
      </w:tr>
      <w:tr>
        <w:trPr>
          <w:trHeight w:val="458"/>
        </w:trPr>
        <w:tc>
          <w:tcPr>
            <w:tcW w:w="10200" w:type="dxa"/>
            <w:vAlign w:val="bottom"/>
            <w:gridSpan w:val="12"/>
          </w:tcPr>
          <w:p>
            <w:pPr>
              <w:spacing w:after="0"/>
              <w:rPr>
                <w:rFonts w:ascii="Arial" w:cs="Arial" w:eastAsia="Arial" w:hAnsi="Arial"/>
                <w:sz w:val="18"/>
                <w:szCs w:val="18"/>
                <w:b w:val="1"/>
                <w:bCs w:val="1"/>
                <w:u w:val="single" w:color="auto"/>
                <w:color w:val="0000FF"/>
              </w:rPr>
            </w:pPr>
            <w:hyperlink w:anchor="page69">
              <w:r>
                <w:rPr>
                  <w:rFonts w:ascii="Arial" w:cs="Arial" w:eastAsia="Arial" w:hAnsi="Arial"/>
                  <w:sz w:val="18"/>
                  <w:szCs w:val="18"/>
                  <w:b w:val="1"/>
                  <w:bCs w:val="1"/>
                  <w:u w:val="single" w:color="auto"/>
                  <w:color w:val="0000FF"/>
                </w:rPr>
                <w:t>PART II. OTHER INFORMATION</w:t>
              </w:r>
            </w:hyperlink>
          </w:p>
        </w:tc>
        <w:tc>
          <w:tcPr>
            <w:tcW w:w="1020" w:type="dxa"/>
            <w:vAlign w:val="bottom"/>
          </w:tcPr>
          <w:p>
            <w:pPr>
              <w:spacing w:after="0"/>
              <w:rPr>
                <w:sz w:val="24"/>
                <w:szCs w:val="24"/>
                <w:color w:val="auto"/>
              </w:rPr>
            </w:pPr>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 LEGAL PROCEEDINGS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1A. RISK FACTORS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2. UNREGISTERED SALES OF EQUITY SECURITIES AND USE OF PROCEEDS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29"/>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3. DEFAULTS UPON SENIOR SECURITIES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4. MINE SAFETY DISCLOSURES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5. OTHER INFORMATION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Item 6. EXHIBITS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69</w:t>
              </w:r>
            </w:hyperlink>
          </w:p>
        </w:tc>
      </w:tr>
      <w:tr>
        <w:trPr>
          <w:trHeight w:val="230"/>
        </w:trPr>
        <w:tc>
          <w:tcPr>
            <w:tcW w:w="10200" w:type="dxa"/>
            <w:vAlign w:val="bottom"/>
            <w:gridSpan w:val="12"/>
          </w:tcPr>
          <w:p>
            <w:pPr>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SIGNATURES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91"/>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(unaudited)</w:t>
            </w:r>
          </w:p>
        </w:tc>
      </w:tr>
      <w:tr>
        <w:trPr>
          <w:trHeight w:val="222"/>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108"/>
        </w:trPr>
        <w:tc>
          <w:tcPr>
            <w:tcW w:w="8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Trade accounts receivable and other receivables,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3,614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r>
      <w:tr>
        <w:trPr>
          <w:trHeight w:val="21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w:t>
            </w:r>
          </w:p>
        </w:tc>
      </w:tr>
      <w:tr>
        <w:trPr>
          <w:trHeight w:val="88"/>
        </w:trPr>
        <w:tc>
          <w:tcPr>
            <w:tcW w:w="8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AND EQUIPMENT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18,948</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(3,593)</w:t>
            </w:r>
          </w:p>
        </w:tc>
      </w:tr>
      <w:tr>
        <w:trPr>
          <w:trHeight w:val="209"/>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15,355</w:t>
            </w:r>
          </w:p>
        </w:tc>
      </w:tr>
      <w:tr>
        <w:trPr>
          <w:trHeight w:val="88"/>
        </w:trPr>
        <w:tc>
          <w:tcPr>
            <w:tcW w:w="8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3,683</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Linefill and base gas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981</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right-of-use assets,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Long-term inventory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182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assets, net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w:t>
            </w:r>
          </w:p>
        </w:tc>
      </w:tr>
      <w:tr>
        <w:trPr>
          <w:trHeight w:val="209"/>
        </w:trPr>
        <w:tc>
          <w:tcPr>
            <w:tcW w:w="82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28,677</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
        </w:trPr>
        <w:tc>
          <w:tcPr>
            <w:tcW w:w="82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LIABILITIES AND PARTNERS’ CAPITAL</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48"/>
        </w:trPr>
        <w:tc>
          <w:tcPr>
            <w:tcW w:w="8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accounts payable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Short-term debt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827</w:t>
            </w:r>
          </w:p>
        </w:tc>
      </w:tr>
      <w:tr>
        <w:trPr>
          <w:trHeight w:val="210"/>
        </w:trPr>
        <w:tc>
          <w:tcPr>
            <w:tcW w:w="8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Total 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w:t>
            </w:r>
          </w:p>
        </w:tc>
      </w:tr>
      <w:tr>
        <w:trPr>
          <w:trHeight w:val="88"/>
        </w:trPr>
        <w:tc>
          <w:tcPr>
            <w:tcW w:w="8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LONG-TERM LIABILITIES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 and deferred credits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891</w:t>
            </w:r>
          </w:p>
        </w:tc>
      </w:tr>
      <w:tr>
        <w:trPr>
          <w:trHeight w:val="21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10,465</w:t>
            </w:r>
          </w:p>
        </w:tc>
      </w:tr>
      <w:tr>
        <w:trPr>
          <w:trHeight w:val="88"/>
        </w:trPr>
        <w:tc>
          <w:tcPr>
            <w:tcW w:w="8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08"/>
        </w:trPr>
        <w:tc>
          <w:tcPr>
            <w:tcW w:w="8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PARTNERS’ CAPITAL</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Series A preferred unitholders (71,090,468 and 71,090,468 units outstanding, respectively)</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B preferred unitholders (800,000 and 800,000 units outstanding, respectively)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Common unitholders (728,476,591 and 728,028,576 units outstanding, respectively)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10,770</w:t>
            </w:r>
          </w:p>
        </w:tc>
      </w:tr>
      <w:tr>
        <w:trPr>
          <w:trHeight w:val="21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partners’ capital excluding noncontrolling interests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r>
      <w:tr>
        <w:trPr>
          <w:trHeight w:val="210"/>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partners’ capital</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13,195</w:t>
            </w:r>
          </w:p>
        </w:tc>
      </w:tr>
      <w:tr>
        <w:trPr>
          <w:trHeight w:val="209"/>
        </w:trPr>
        <w:tc>
          <w:tcPr>
            <w:tcW w:w="8240" w:type="dxa"/>
            <w:vAlign w:val="bottom"/>
          </w:tcPr>
          <w:p>
            <w:pPr>
              <w:ind w:left="120"/>
              <w:spacing w:after="0"/>
              <w:rPr>
                <w:sz w:val="20"/>
                <w:szCs w:val="20"/>
                <w:color w:val="auto"/>
              </w:rPr>
            </w:pPr>
            <w:r>
              <w:rPr>
                <w:rFonts w:ascii="Arial" w:cs="Arial" w:eastAsia="Arial" w:hAnsi="Arial"/>
                <w:sz w:val="17"/>
                <w:szCs w:val="17"/>
                <w:color w:val="auto"/>
              </w:rPr>
              <w:t>Total liabilities and partners’ capital</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24,246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28,677</w:t>
            </w:r>
          </w:p>
        </w:tc>
      </w:tr>
      <w:tr>
        <w:trPr>
          <w:trHeight w:val="21"/>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60" w:type="dxa"/>
            <w:vAlign w:val="bottom"/>
            <w:gridSpan w:val="4"/>
          </w:tcPr>
          <w:p>
            <w:pPr>
              <w:jc w:val="center"/>
              <w:ind w:left="395"/>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183"/>
        </w:trPr>
        <w:tc>
          <w:tcPr>
            <w:tcW w:w="5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780" w:type="dxa"/>
            <w:vAlign w:val="bottom"/>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5,537</w:t>
            </w:r>
          </w:p>
        </w:tc>
        <w:tc>
          <w:tcPr>
            <w:tcW w:w="120" w:type="dxa"/>
            <w:vAlign w:val="bottom"/>
          </w:tcPr>
          <w:p>
            <w:pPr>
              <w:spacing w:after="0"/>
              <w:rPr>
                <w:sz w:val="19"/>
                <w:szCs w:val="19"/>
                <w:color w:val="auto"/>
              </w:rPr>
            </w:pPr>
          </w:p>
        </w:tc>
        <w:tc>
          <w:tcPr>
            <w:tcW w:w="780" w:type="dxa"/>
            <w:vAlign w:val="bottom"/>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7,541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16,370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23,477</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segment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r>
      <w:tr>
        <w:trPr>
          <w:trHeight w:val="223"/>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5,833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r>
      <w:tr>
        <w:trPr>
          <w:trHeight w:val="162"/>
        </w:trPr>
        <w:tc>
          <w:tcPr>
            <w:tcW w:w="5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5,107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6,855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21,218</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 (Note 14)</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 (Note 6)</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120"/>
              <w:spacing w:after="0"/>
              <w:rPr>
                <w:sz w:val="20"/>
                <w:szCs w:val="20"/>
                <w:color w:val="auto"/>
              </w:rPr>
            </w:pPr>
            <w:r>
              <w:rPr>
                <w:rFonts w:ascii="Arial" w:cs="Arial" w:eastAsia="Arial" w:hAnsi="Arial"/>
                <w:sz w:val="18"/>
                <w:szCs w:val="18"/>
                <w:color w:val="auto"/>
              </w:rPr>
              <w:t>Total costs and expenses</w:t>
            </w: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5,580</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7,394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22,858</w:t>
            </w:r>
          </w:p>
        </w:tc>
      </w:tr>
      <w:tr>
        <w:trPr>
          <w:trHeight w:val="162"/>
        </w:trPr>
        <w:tc>
          <w:tcPr>
            <w:tcW w:w="5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1,657</w:t>
            </w:r>
          </w:p>
        </w:tc>
      </w:tr>
      <w:tr>
        <w:trPr>
          <w:trHeight w:val="162"/>
        </w:trPr>
        <w:tc>
          <w:tcPr>
            <w:tcW w:w="58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w w:val="96"/>
              </w:rPr>
              <w:t>Gain on/(impairment of) investments in unconsolidated entities, net (Note 7)</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Interest expense (net of capitalized interest of $6, $7, $17 and $29, respectively)</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142"/>
        </w:trPr>
        <w:tc>
          <w:tcPr>
            <w:tcW w:w="5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1,914</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142"/>
        </w:trPr>
        <w:tc>
          <w:tcPr>
            <w:tcW w:w="58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780" w:type="dxa"/>
            <w:vAlign w:val="bottom"/>
            <w:tcBorders>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5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 (NOTE 4):</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5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net income/(loss) per common unit</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Diluted</w:t>
            </w: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55"/>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net income/(loss) per common unit</w:t>
            </w: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19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INCOME/(LOSS) (in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16"/>
              <w:spacing w:after="0"/>
              <w:rPr>
                <w:sz w:val="20"/>
                <w:szCs w:val="20"/>
                <w:color w:val="auto"/>
              </w:rPr>
            </w:pPr>
            <w:r>
              <w:rPr>
                <w:rFonts w:ascii="Arial" w:cs="Arial" w:eastAsia="Arial" w:hAnsi="Arial"/>
                <w:sz w:val="14"/>
                <w:szCs w:val="14"/>
                <w:b w:val="1"/>
                <w:bCs w:val="1"/>
                <w:color w:val="auto"/>
                <w:w w:val="89"/>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83"/>
        </w:trPr>
        <w:tc>
          <w:tcPr>
            <w:tcW w:w="5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8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1"/>
              </w:rPr>
              <w:t>(unaudited)</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5"/>
                <w:szCs w:val="15"/>
                <w:color w:val="auto"/>
              </w:rPr>
            </w:pPr>
          </w:p>
        </w:tc>
      </w:tr>
      <w:tr>
        <w:trPr>
          <w:trHeight w:val="23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income/(loss)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29"/>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 attributable to noncontrolling interests</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PAA</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Translation</w:t>
            </w:r>
          </w:p>
        </w:tc>
        <w:tc>
          <w:tcPr>
            <w:tcW w:w="10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Adjustments</w:t>
            </w: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60"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Nine Months Ended</w:t>
      </w:r>
    </w:p>
    <w:p>
      <w:pPr>
        <w:jc w:val="center"/>
        <w:ind w:left="820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183"/>
        </w:trPr>
        <w:tc>
          <w:tcPr>
            <w:tcW w:w="8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5"/>
                <w:szCs w:val="15"/>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income/(loss)</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(2,555)</w:t>
            </w:r>
          </w:p>
        </w:tc>
        <w:tc>
          <w:tcPr>
            <w:tcW w:w="1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1,872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of net income/(loss) to 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439</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(Gains)/losses on asset sales and asset impairments, net (Note 14)</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Goodwill impairment losses (Note 6)</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Equity-indexed compensation expense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Inventory valuation adjustments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income tax benefit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Settlement of terminated interest rate hedging instruments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Preferred Distribution Rate Reset Option (Note 10)</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Equity earnings in unconsolidated entities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(274)</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Distributions on earnings from unconsolidated entities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(Gain on)/impairment of investments in unconsolidated entities, net (Note 7)</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assets and liabilities, net of acquisitions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r>
        <w:trPr>
          <w:trHeight w:val="209"/>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in connection with acquisitions, net of cash acquired (Note 14)</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(367)</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to property, equipment and other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Proceeds from sales of assets (Note 14)</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purchases of linefill and base gas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investing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 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(1,367)</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borrowings under commercial paper program (Note 8)</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Net repayments under senior secured hedged inventory facility (Note 8)</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the issuance of senior notes (Note 8)</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Repayments of senior notes (Note 8)</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Series A preferred unitholders (Note 9)</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Distributions paid to Series B preferred unitholders (Note 9)</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Distributions paid to common unitholders (Note 9)</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Contributions from noncontrolling interests (Note 9)</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noncontrolling interest in a subsidiary</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financing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209"/>
        </w:trPr>
        <w:tc>
          <w:tcPr>
            <w:tcW w:w="8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(used in)/provided by financing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16"/>
        </w:trPr>
        <w:tc>
          <w:tcPr>
            <w:tcW w:w="8240" w:type="dxa"/>
            <w:vAlign w:val="bottom"/>
          </w:tcPr>
          <w:p>
            <w:pPr>
              <w:ind w:left="20"/>
              <w:spacing w:after="0"/>
              <w:rPr>
                <w:sz w:val="20"/>
                <w:szCs w:val="20"/>
                <w:color w:val="auto"/>
              </w:rPr>
            </w:pPr>
            <w:r>
              <w:rPr>
                <w:rFonts w:ascii="Arial" w:cs="Arial" w:eastAsia="Arial" w:hAnsi="Arial"/>
                <w:sz w:val="17"/>
                <w:szCs w:val="17"/>
                <w:color w:val="auto"/>
              </w:rPr>
              <w:t>Effect of translation adjustment</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increase/(decrease) in cash and cash equivalents and restricted cash</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r>
      <w:tr>
        <w:trPr>
          <w:trHeight w:val="21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and restricted cash, beginning of period</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r>
      <w:tr>
        <w:trPr>
          <w:trHeight w:val="23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and restricted cash, end of period</w:t>
            </w: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40" w:type="dxa"/>
            <w:vAlign w:val="bottom"/>
          </w:tcPr>
          <w:p>
            <w:pPr>
              <w:ind w:left="120"/>
              <w:spacing w:after="0"/>
              <w:rPr>
                <w:sz w:val="20"/>
                <w:szCs w:val="20"/>
                <w:color w:val="auto"/>
              </w:rPr>
            </w:pPr>
            <w:r>
              <w:rPr>
                <w:rFonts w:ascii="Arial" w:cs="Arial" w:eastAsia="Arial" w:hAnsi="Arial"/>
                <w:sz w:val="17"/>
                <w:szCs w:val="17"/>
                <w:color w:val="auto"/>
              </w:rPr>
              <w:t>Interest, net of amounts capitalized</w:t>
            </w:r>
          </w:p>
        </w:tc>
        <w:tc>
          <w:tcPr>
            <w:tcW w:w="880" w:type="dxa"/>
            <w:vAlign w:val="bottom"/>
          </w:tcPr>
          <w:p>
            <w:pPr>
              <w:jc w:val="right"/>
              <w:ind w:right="697"/>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263</w:t>
            </w:r>
          </w:p>
        </w:tc>
      </w:tr>
      <w:tr>
        <w:trPr>
          <w:trHeight w:val="216"/>
        </w:trPr>
        <w:tc>
          <w:tcPr>
            <w:tcW w:w="8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taxes, net of amounts refunded</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80" w:right="194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90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(2,711)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(2,562)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 (Note 9)</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5"/>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90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 (Note 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Contributions from noncontrolling</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 (Note 9)</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CHANGES IN PARTNERS’ CAPITAL</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6"/>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90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1,716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1,865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Sale of noncontrolling interest in a</w:t>
            </w:r>
          </w:p>
        </w:tc>
        <w:tc>
          <w:tcPr>
            <w:tcW w:w="2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2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Partners’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Preferred Unitholders</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Capital Excluding</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4"/>
                <w:szCs w:val="4"/>
                <w:color w:val="auto"/>
              </w:rPr>
            </w:pPr>
          </w:p>
        </w:tc>
        <w:tc>
          <w:tcPr>
            <w:tcW w:w="1040" w:type="dxa"/>
            <w:vAlign w:val="bottom"/>
            <w:vMerge w:val="restart"/>
          </w:tcPr>
          <w:p>
            <w:pPr>
              <w:jc w:val="center"/>
              <w:ind w:right="136"/>
              <w:spacing w:after="0" w:line="122"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48"/>
        </w:trPr>
        <w:tc>
          <w:tcPr>
            <w:tcW w:w="3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Series A</w:t>
            </w:r>
          </w:p>
        </w:tc>
        <w:tc>
          <w:tcPr>
            <w:tcW w:w="900" w:type="dxa"/>
            <w:vAlign w:val="bottom"/>
            <w:vMerge w:val="restart"/>
          </w:tcPr>
          <w:p>
            <w:pPr>
              <w:jc w:val="center"/>
              <w:ind w:left="279"/>
              <w:spacing w:after="0"/>
              <w:rPr>
                <w:sz w:val="20"/>
                <w:szCs w:val="20"/>
                <w:color w:val="auto"/>
              </w:rPr>
            </w:pPr>
            <w:r>
              <w:rPr>
                <w:rFonts w:ascii="Arial" w:cs="Arial" w:eastAsia="Arial" w:hAnsi="Arial"/>
                <w:sz w:val="14"/>
                <w:szCs w:val="14"/>
                <w:b w:val="1"/>
                <w:bCs w:val="1"/>
                <w:color w:val="auto"/>
                <w:w w:val="89"/>
              </w:rPr>
              <w:t>Series B</w:t>
            </w: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Unitholders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5"/>
          </w:tcPr>
          <w:p>
            <w:pPr>
              <w:ind w:left="8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449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31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787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13 for further discussion of our operating segments.</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non-economic general partner interest is held by PAA GP LLC (“PAA GP”), a Delaware limited liability company, whose sole member is Plains AAP, L.P. (“AAP”), a Delaware limited partnership. In addition to its ownership of PAA GP, as of September 30, 2020, AAP also owned a limited partner interest in us through its ownership of approximately 245.8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September 30, 2020, owned an approximate 77% limited partner interest in AAP. PAA GP Holdings LLC (“PAGP GP”) is the general partner of PAGP.</w:t>
      </w:r>
    </w:p>
    <w:p>
      <w:pPr>
        <w:spacing w:after="0" w:line="17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MMbls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Million barrels</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TWh</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Terawatt hour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2019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w:t>
      </w:r>
    </w:p>
    <w:p>
      <w:pPr>
        <w:spacing w:after="0" w:line="20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condensed consolidated balance sheet data as of December 31, 2019 was derived from audited financial statements, but does not include all disclosures required by GAAP. The results of operations for the three and nine months ended September 30, 2020 should not be taken as indicative of results to be expected for the entire year.</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first quarter of 2020, the novel coronavirus (“COVID-19”) pandemic resulted in a swift and material decline in global crude oil demand, which contributed to an oversupply of crude oil that was exacerbated by increases in production from certain suppliers in the global oil markets. These macroeconomic and industry specific challenges resulted in a number of impairment charges recognized during 2020. See Note 6 and Note 14 for further discussion of these impairments.</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Many uncertainties remain with respect to COVID-19, including uncertainty regarding the length of time the pandemic will continue, as well as the timing, pace and extent of an economic recovery in the United States, Canada and elsewhere, and how such uncertainties will impact the energy industry and our business. As a result, these matters may affect our estimates and assumptions on amounts reported in the financial statements and accompanying notes in the near term.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48"/>
        </w:trPr>
        <w:tc>
          <w:tcPr>
            <w:tcW w:w="8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Except as discussed below and in our 2019 Annual Report on Form 10-K, there have been no new accounting pronouncements that have become effective or have been issued during the nine months ended September 30, 2020 that are of significance or potential significance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Adopted During the Period</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adopted the ASUs listed below effective January 1, 2020 and our adoption did not have a material impact on our financial position, results of operations or cash flows (see Note 2 to our Consolidated Financial Statements included in Part IV of our 2019 Annual Report on Form 10-K for additional information regarding these ASUs):</w:t>
      </w:r>
    </w:p>
    <w:p>
      <w:pPr>
        <w:spacing w:after="0" w:line="211" w:lineRule="exact"/>
        <w:rPr>
          <w:sz w:val="20"/>
          <w:szCs w:val="20"/>
          <w:color w:val="auto"/>
        </w:rPr>
      </w:pPr>
    </w:p>
    <w:p>
      <w:pPr>
        <w:ind w:left="820" w:right="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2019-04, Codification Improvements to Topic 326, Financial Instruments—Credit Losses, Topic 815, Derivatives and Hedging, and Topic 825, Financial Instruments;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2018-17, Consolidation (Topic 810): Targeted Improvements to Related Party Guidance for Variable Interest Entities;</w:t>
      </w:r>
    </w:p>
    <w:p>
      <w:pPr>
        <w:spacing w:after="0" w:line="117" w:lineRule="exact"/>
        <w:rPr>
          <w:rFonts w:ascii="Arial" w:cs="Arial" w:eastAsia="Arial" w:hAnsi="Arial"/>
          <w:sz w:val="18"/>
          <w:szCs w:val="18"/>
          <w:color w:val="auto"/>
        </w:rPr>
      </w:pPr>
    </w:p>
    <w:p>
      <w:pPr>
        <w:ind w:left="820" w:right="100" w:hanging="164"/>
        <w:spacing w:after="0" w:line="308" w:lineRule="auto"/>
        <w:tabs>
          <w:tab w:leader="none" w:pos="815" w:val="left"/>
        </w:tabs>
        <w:numPr>
          <w:ilvl w:val="0"/>
          <w:numId w:val="3"/>
        </w:numPr>
        <w:rPr>
          <w:rFonts w:ascii="Arial" w:cs="Arial" w:eastAsia="Arial" w:hAnsi="Arial"/>
          <w:sz w:val="17"/>
          <w:szCs w:val="17"/>
          <w:color w:val="auto"/>
        </w:rPr>
      </w:pPr>
      <w:r>
        <w:rPr>
          <w:rFonts w:ascii="Arial" w:cs="Arial" w:eastAsia="Arial" w:hAnsi="Arial"/>
          <w:sz w:val="17"/>
          <w:szCs w:val="17"/>
          <w:color w:val="auto"/>
        </w:rPr>
        <w:t>ASU 2018-15, Intangibles—Goodwill and Other—Internal-Use Software (Subtopic 350-40): Customer’s Accounting for Implementation Costs Incurred in a Cloud Computing Arrangement That Is a Service Contract (a consensus of the FASB Emerging Issues Task Force);</w:t>
      </w:r>
    </w:p>
    <w:p>
      <w:pPr>
        <w:spacing w:after="0" w:line="38" w:lineRule="exact"/>
        <w:rPr>
          <w:rFonts w:ascii="Arial" w:cs="Arial" w:eastAsia="Arial" w:hAnsi="Arial"/>
          <w:sz w:val="17"/>
          <w:szCs w:val="17"/>
          <w:color w:val="auto"/>
        </w:rPr>
      </w:pPr>
    </w:p>
    <w:p>
      <w:pPr>
        <w:ind w:left="820" w:right="78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2018-13, Fair Value Measurement (Topic 820): Disclosure Framework—Changes to the Disclosure Requirements for Fair Value Measurement; and</w:t>
      </w:r>
    </w:p>
    <w:p>
      <w:pPr>
        <w:spacing w:after="0" w:line="62" w:lineRule="exact"/>
        <w:rPr>
          <w:rFonts w:ascii="Arial" w:cs="Arial" w:eastAsia="Arial" w:hAnsi="Arial"/>
          <w:sz w:val="18"/>
          <w:szCs w:val="18"/>
          <w:color w:val="auto"/>
        </w:rPr>
      </w:pPr>
    </w:p>
    <w:p>
      <w:pPr>
        <w:ind w:left="820" w:right="140" w:hanging="164"/>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ASU 2016-13, Financial Instruments—Credit Losses (Topic 326): Measurement of Credit Losses on Financial Instruments (along with a series of related ASUs).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Issued During the Period</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GAAP to contracts, hedging relationships and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LIBOR or another reference rate expected to be discontinued because of reference rate reform. This guidance is effective prospectively upon issuance through December 31, 2022 and may be applied from the beginning of an interim period that includes the issuance date of this ASU. We are currently evaluating the effect that this guidance will have on our financial position, results of operations and cash flows.</w:t>
      </w:r>
    </w:p>
    <w:p>
      <w:pPr>
        <w:spacing w:after="0" w:line="186"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certain financial instruments with characteristics of liabilities and equity, including convertible instruments and contracts on an entity’s own equity, by eliminating two of the three models that require separate accounting for embedded conversion features and the settlement assessment that entities are required to perform to determine whether a contract qualifies for equity classification. This guidance is effective for interim and annual periods beginning after December 15, 2021, with early adoption permitted. We are currently evaluating the effect that this guidance will have on our financial position,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disaggregate our revenues by segment and type of activity under ASC Topic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xml:space="preserve"> (“Topic 606”). These categories depict how the nature, amount, timing and uncertainty of revenues and cash flows are affected by economic factors. See Note 3 to our Consolidated Financial Statements included in Part IV of our 2019 Annual Report on Form 10-K for additional information regarding our types of revenues and policies for revenue recognition.</w:t>
      </w:r>
    </w:p>
    <w:p>
      <w:pPr>
        <w:spacing w:after="0" w:line="21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following tables present our Supply and Logistics, Transportation and Facilities segment revenues from contracts with customers disaggregated by type of activity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4"/>
          </w:tcPr>
          <w:p>
            <w:pPr>
              <w:jc w:val="center"/>
              <w:ind w:left="384"/>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Supply and Logistics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4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780" w:type="dxa"/>
            <w:vAlign w:val="bottom"/>
            <w:gridSpan w:val="2"/>
          </w:tcPr>
          <w:p>
            <w:pPr>
              <w:jc w:val="right"/>
              <w:ind w:right="60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5,394</w:t>
            </w:r>
          </w:p>
        </w:tc>
        <w:tc>
          <w:tcPr>
            <w:tcW w:w="120" w:type="dxa"/>
            <w:vAlign w:val="bottom"/>
          </w:tcPr>
          <w:p>
            <w:pPr>
              <w:spacing w:after="0"/>
              <w:rPr>
                <w:sz w:val="19"/>
                <w:szCs w:val="19"/>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7,185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15,644</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21,716</w:t>
            </w:r>
          </w:p>
        </w:tc>
      </w:tr>
      <w:tr>
        <w:trPr>
          <w:trHeight w:val="230"/>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w w:val="95"/>
              </w:rPr>
              <w:t>Total Supply and Logistics segment revenues from contracts with customers</w:t>
            </w:r>
          </w:p>
        </w:tc>
        <w:tc>
          <w:tcPr>
            <w:tcW w:w="7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5,574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7,387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23,096</w:t>
            </w:r>
          </w:p>
        </w:tc>
      </w:tr>
      <w:tr>
        <w:trPr>
          <w:trHeight w:val="21"/>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06"/>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4"/>
          </w:tcPr>
          <w:p>
            <w:pPr>
              <w:jc w:val="center"/>
              <w:ind w:left="404"/>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40" w:type="dxa"/>
            <w:vAlign w:val="bottom"/>
          </w:tcPr>
          <w:p>
            <w:pPr>
              <w:ind w:left="120"/>
              <w:spacing w:after="0"/>
              <w:rPr>
                <w:sz w:val="20"/>
                <w:szCs w:val="20"/>
                <w:color w:val="auto"/>
              </w:rPr>
            </w:pPr>
            <w:r>
              <w:rPr>
                <w:rFonts w:ascii="Arial" w:cs="Arial" w:eastAsia="Arial" w:hAnsi="Arial"/>
                <w:sz w:val="18"/>
                <w:szCs w:val="18"/>
                <w:color w:val="auto"/>
              </w:rPr>
              <w:t>Tariff activities: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pipelines</w:t>
            </w:r>
          </w:p>
        </w:tc>
        <w:tc>
          <w:tcPr>
            <w:tcW w:w="780" w:type="dxa"/>
            <w:vAlign w:val="bottom"/>
            <w:gridSpan w:val="2"/>
            <w:shd w:val="clear" w:color="auto" w:fill="CCEEFF"/>
          </w:tcPr>
          <w:p>
            <w:pPr>
              <w:jc w:val="right"/>
              <w:ind w:right="58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30"/>
        </w:trPr>
        <w:tc>
          <w:tcPr>
            <w:tcW w:w="5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NGL pipelines</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tariff activities</w:t>
            </w: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30"/>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Trucking</w:t>
            </w:r>
          </w:p>
        </w:tc>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8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11"/>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Rail load / unload</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i w:val="1"/>
          <w:iCs w:val="1"/>
          <w:color w:val="auto"/>
        </w:rPr>
        <w:t xml:space="preserve">Reconciliation to Total Revenues of Reportable Segments. </w:t>
      </w:r>
      <w:r>
        <w:rPr>
          <w:rFonts w:ascii="Arial" w:cs="Arial" w:eastAsia="Arial" w:hAnsi="Arial"/>
          <w:sz w:val="16"/>
          <w:szCs w:val="16"/>
          <w:color w:val="auto"/>
        </w:rPr>
        <w:t>The following tables present the reconciliation of our revenues from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segment revenues and total revenues as disclosed in our Condensed Consolidated Statements of Operations (in millions):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14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18,725</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40" w:type="dxa"/>
            <w:vAlign w:val="bottom"/>
          </w:tcPr>
          <w:p>
            <w:pPr>
              <w:spacing w:after="0"/>
              <w:rPr>
                <w:sz w:val="24"/>
                <w:szCs w:val="2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Logistics</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25,624</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Intersegment revenues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At September 30, 2020 and December 31, 2019, counterparty deficiencies associated with contracts with customers and buy/sell arrangements that include minimum volume commitments for which we have remaining performance obligations and the customers still have the ability to meet their obligations totaled $82 million and $42 million, respectively. Billed counterparty deficiencies of $68 million and $22 million at September 30, 2020 and December 31, 2019, respectively, were recorded as a liability. Unbilled counterparty deficiencies of $14 million and $20 million at September 30, 2020 and December 31, 2019, respectively, were not reflected in our Condensed Consolidated Financial Statements.</w:t>
      </w:r>
    </w:p>
    <w:p>
      <w:pPr>
        <w:spacing w:after="0" w:line="20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 in the Topic 606 contract liability balance during the nine months ended September 30, 2020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254"/>
        </w:trPr>
        <w:tc>
          <w:tcPr>
            <w:tcW w:w="9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354</w:t>
            </w:r>
          </w:p>
        </w:tc>
        <w:tc>
          <w:tcPr>
            <w:tcW w:w="0" w:type="dxa"/>
            <w:vAlign w:val="bottom"/>
          </w:tcPr>
          <w:p>
            <w:pPr>
              <w:spacing w:after="0"/>
              <w:rPr>
                <w:sz w:val="1"/>
                <w:szCs w:val="1"/>
                <w:color w:val="auto"/>
              </w:rPr>
            </w:pPr>
          </w:p>
        </w:tc>
      </w:tr>
      <w:tr>
        <w:trPr>
          <w:trHeight w:val="20"/>
        </w:trPr>
        <w:tc>
          <w:tcPr>
            <w:tcW w:w="92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Amounts recognized as revenue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center"/>
              <w:ind w:left="1194"/>
              <w:spacing w:after="0" w:line="203" w:lineRule="exact"/>
              <w:rPr>
                <w:sz w:val="20"/>
                <w:szCs w:val="20"/>
                <w:color w:val="auto"/>
              </w:rPr>
            </w:pPr>
            <w:r>
              <w:rPr>
                <w:rFonts w:ascii="Arial" w:cs="Arial" w:eastAsia="Arial" w:hAnsi="Arial"/>
                <w:sz w:val="18"/>
                <w:szCs w:val="18"/>
                <w:color w:val="auto"/>
                <w:w w:val="95"/>
              </w:rPr>
              <w:t>(245)</w:t>
            </w:r>
          </w:p>
        </w:tc>
        <w:tc>
          <w:tcPr>
            <w:tcW w:w="0" w:type="dxa"/>
            <w:vAlign w:val="bottom"/>
          </w:tcPr>
          <w:p>
            <w:pPr>
              <w:spacing w:after="0"/>
              <w:rPr>
                <w:sz w:val="1"/>
                <w:szCs w:val="1"/>
                <w:color w:val="auto"/>
              </w:rPr>
            </w:pPr>
          </w:p>
        </w:tc>
      </w:tr>
      <w:tr>
        <w:trPr>
          <w:trHeight w:val="229"/>
        </w:trPr>
        <w:tc>
          <w:tcPr>
            <w:tcW w:w="92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center"/>
              <w:ind w:left="1214"/>
              <w:spacing w:after="0"/>
              <w:rPr>
                <w:sz w:val="20"/>
                <w:szCs w:val="20"/>
                <w:color w:val="auto"/>
              </w:rPr>
            </w:pPr>
            <w:r>
              <w:rPr>
                <w:rFonts w:ascii="Arial" w:cs="Arial" w:eastAsia="Arial" w:hAnsi="Arial"/>
                <w:sz w:val="18"/>
                <w:szCs w:val="18"/>
                <w:color w:val="auto"/>
                <w:w w:val="86"/>
              </w:rPr>
              <w:t>191</w:t>
            </w:r>
          </w:p>
        </w:tc>
        <w:tc>
          <w:tcPr>
            <w:tcW w:w="0" w:type="dxa"/>
            <w:vAlign w:val="bottom"/>
          </w:tcPr>
          <w:p>
            <w:pPr>
              <w:spacing w:after="0"/>
              <w:rPr>
                <w:sz w:val="1"/>
                <w:szCs w:val="1"/>
                <w:color w:val="auto"/>
              </w:rPr>
            </w:pPr>
          </w:p>
        </w:tc>
      </w:tr>
      <w:tr>
        <w:trPr>
          <w:trHeight w:val="223"/>
        </w:trPr>
        <w:tc>
          <w:tcPr>
            <w:tcW w:w="922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center"/>
              <w:ind w:left="1214"/>
              <w:spacing w:after="0"/>
              <w:rPr>
                <w:sz w:val="20"/>
                <w:szCs w:val="20"/>
                <w:color w:val="auto"/>
              </w:rPr>
            </w:pPr>
            <w:r>
              <w:rPr>
                <w:rFonts w:ascii="Arial" w:cs="Arial" w:eastAsia="Arial" w:hAnsi="Arial"/>
                <w:sz w:val="18"/>
                <w:szCs w:val="18"/>
                <w:color w:val="auto"/>
                <w:w w:val="86"/>
              </w:rPr>
              <w:t>300</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$152 million associated with crude oil sales agreements that are entered into in conjunction with storage arrangements and future inventory exchanges. Such amount is expected to be recognized as revenue in the fourth quarter of 2020.</w:t>
      </w:r>
    </w:p>
    <w:p>
      <w:pPr>
        <w:spacing w:after="0" w:line="2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September 30, 2020 (in millions):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Pipeline revenues supported by minimum volume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Storage, terminalling and throughput agreement revenues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540" w:right="3620" w:hanging="5532"/>
        <w:spacing w:after="0" w:line="899" w:lineRule="auto"/>
        <w:tabs>
          <w:tab w:leader="none" w:pos="65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volumes committed under contracts multiplied by the current applicable tariff rate.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8" w:lineRule="exact"/>
        <w:rPr>
          <w:sz w:val="20"/>
          <w:szCs w:val="20"/>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other Supply and Logistics contracts, due to the election of practical expedients related to variable consideration and short-term contracts;</w:t>
      </w:r>
    </w:p>
    <w:p>
      <w:pPr>
        <w:spacing w:after="0" w:line="140" w:lineRule="exact"/>
        <w:rPr>
          <w:rFonts w:ascii="Arial" w:cs="Arial" w:eastAsia="Arial" w:hAnsi="Arial"/>
          <w:sz w:val="16"/>
          <w:szCs w:val="16"/>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During the first quarter of 2020, macroeconomic and geopolitical conditions including the collapse of oil prices driven by both the decrease in demand caused by the COVID-19 pandemic and excess supply has caused liquidity issues impacting many energy companies, which in turn has increased the potential credit risks associated with certain counterparties with which we do business.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September 30, 2020 and December 31, 2019, substantially all of our trade accounts receivable were less than 30 days past their scheduled invoice date. Our expected credit losses are immaterial. Although we consider our credit procedures to be adequate to mitigate any significant credit losses, given the sharp decline in demand for crude oil and the drop in prices, the actual amount of current and future credit losses could vary significantly from estimated amounts.</w:t>
      </w:r>
    </w:p>
    <w:p>
      <w:pPr>
        <w:spacing w:after="0" w:line="21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96"/>
              <w:spacing w:after="0"/>
              <w:rPr>
                <w:sz w:val="20"/>
                <w:szCs w:val="20"/>
                <w:color w:val="auto"/>
              </w:rPr>
            </w:pPr>
            <w:r>
              <w:rPr>
                <w:rFonts w:ascii="Arial" w:cs="Arial" w:eastAsia="Arial" w:hAnsi="Arial"/>
                <w:sz w:val="18"/>
                <w:szCs w:val="18"/>
                <w:color w:val="auto"/>
                <w:w w:val="93"/>
              </w:rPr>
              <w:t>1,876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3,381</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120" w:type="dxa"/>
            <w:vAlign w:val="bottom"/>
          </w:tcPr>
          <w:p>
            <w:pPr>
              <w:jc w:val="center"/>
              <w:ind w:left="496"/>
              <w:spacing w:after="0"/>
              <w:rPr>
                <w:sz w:val="20"/>
                <w:szCs w:val="20"/>
                <w:color w:val="auto"/>
              </w:rPr>
            </w:pPr>
            <w:r>
              <w:rPr>
                <w:rFonts w:ascii="Arial" w:cs="Arial" w:eastAsia="Arial" w:hAnsi="Arial"/>
                <w:sz w:val="18"/>
                <w:szCs w:val="18"/>
                <w:color w:val="auto"/>
                <w:w w:val="93"/>
              </w:rPr>
              <w:t>2,577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color w:val="auto"/>
                <w:w w:val="88"/>
              </w:rPr>
              <w:t>3,576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76"/>
              <w:spacing w:after="0"/>
              <w:rPr>
                <w:sz w:val="20"/>
                <w:szCs w:val="20"/>
                <w:color w:val="auto"/>
              </w:rPr>
            </w:pPr>
            <w:r>
              <w:rPr>
                <w:rFonts w:ascii="Arial" w:cs="Arial" w:eastAsia="Arial" w:hAnsi="Arial"/>
                <w:sz w:val="18"/>
                <w:szCs w:val="18"/>
                <w:color w:val="auto"/>
                <w:w w:val="91"/>
              </w:rPr>
              <w:t>(2,300)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4"/>
              </w:rPr>
              <w:t>(3,343)</w:t>
            </w:r>
          </w:p>
        </w:tc>
        <w:tc>
          <w:tcPr>
            <w:tcW w:w="0" w:type="dxa"/>
            <w:vAlign w:val="bottom"/>
          </w:tcPr>
          <w:p>
            <w:pPr>
              <w:spacing w:after="0"/>
              <w:rPr>
                <w:sz w:val="1"/>
                <w:szCs w:val="1"/>
                <w:color w:val="auto"/>
              </w:rPr>
            </w:pPr>
          </w:p>
        </w:tc>
      </w:tr>
      <w:tr>
        <w:trPr>
          <w:trHeight w:val="223"/>
        </w:trPr>
        <w:tc>
          <w:tcPr>
            <w:tcW w:w="860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496"/>
              <w:spacing w:after="0"/>
              <w:rPr>
                <w:sz w:val="20"/>
                <w:szCs w:val="20"/>
                <w:color w:val="auto"/>
              </w:rPr>
            </w:pPr>
            <w:r>
              <w:rPr>
                <w:rFonts w:ascii="Arial" w:cs="Arial" w:eastAsia="Arial" w:hAnsi="Arial"/>
                <w:sz w:val="18"/>
                <w:szCs w:val="18"/>
                <w:color w:val="auto"/>
                <w:w w:val="93"/>
              </w:rPr>
              <w:t>2,153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8"/>
              </w:rPr>
              <w:t>3,614</w:t>
            </w:r>
          </w:p>
        </w:tc>
        <w:tc>
          <w:tcPr>
            <w:tcW w:w="0" w:type="dxa"/>
            <w:vAlign w:val="bottom"/>
          </w:tcPr>
          <w:p>
            <w:pPr>
              <w:spacing w:after="0"/>
              <w:rPr>
                <w:sz w:val="1"/>
                <w:szCs w:val="1"/>
                <w:color w:val="auto"/>
              </w:rPr>
            </w:pPr>
          </w:p>
        </w:tc>
      </w:tr>
      <w:tr>
        <w:trPr>
          <w:trHeight w:val="21"/>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Common Unit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calculate basic and diluted net income/(loss) per common unit by dividing net income/(loss) attributable to PAA (after deducting amounts allocated to preferred unitholders and participating securities) by the basic and diluted weighted average number of common units outstanding during the period. Participating securities include LTIP awards that have vested distribution equivalent rights, which entitle the grantee to a cash payment equal to the cash distribution paid on our outstanding common units.</w:t>
      </w:r>
    </w:p>
    <w:p>
      <w:pPr>
        <w:spacing w:after="0" w:line="21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approximately 71 million Series A preferred units, on a weighted-average basis, were excluded from the calculation of diluted net income/(loss) per common unit for the three and nine months ended September 30, 2020 as the effect was antidilutive for each period.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were deemed to be dilutive during the three and nine months ended September 30, 2020 and 2019 were reduced by a hypothetical common unit repurchase based on the remaining unamortized fair value, as prescribed by the treasury stock method in guidance issued by the FASB. As a result of the hypothetical common unit repurchase, there were no potentially dilutive equity-indexed compensation plan awards for the three months ended September 30, 2020 and approximately 0.4 million equity-indexed compensation plan awards, on a weighted-average basis, were excluded from the computation of diluted net loss per common unit as the effect was antidilutive for the nine months ended September 30, 2020. See Note 18 to our Consolidated Financial Statements included in Part IV of our 2019 Annual Report on Form 10-K for a complete discussion of our equity-indexed compensation plan awards.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common unit (in millions, except per unit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3"/>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Common Unit</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5860" w:type="dxa"/>
            <w:vAlign w:val="bottom"/>
          </w:tcPr>
          <w:p>
            <w:pPr>
              <w:ind w:left="18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5860" w:type="dxa"/>
            <w:vAlign w:val="bottom"/>
            <w:tcBorders>
              <w:top w:val="single" w:sz="8" w:color="CCEEFF"/>
              <w:bottom w:val="single" w:sz="8" w:color="CCEEFF"/>
            </w:tcBorders>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Net income/(loss) allocated to common unitholders </w:t>
            </w:r>
            <w:r>
              <w:rPr>
                <w:rFonts w:ascii="Arial" w:cs="Arial" w:eastAsia="Arial" w:hAnsi="Arial"/>
                <w:sz w:val="23"/>
                <w:szCs w:val="23"/>
                <w:color w:val="auto"/>
                <w:vertAlign w:val="superscript"/>
              </w:rPr>
              <w:t>(1)</w:t>
            </w:r>
          </w:p>
        </w:tc>
        <w:tc>
          <w:tcPr>
            <w:tcW w:w="820" w:type="dxa"/>
            <w:vAlign w:val="bottom"/>
            <w:tcBorders>
              <w:top w:val="single" w:sz="8" w:color="auto"/>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57"/>
        </w:trPr>
        <w:tc>
          <w:tcPr>
            <w:tcW w:w="5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net income/(loss) per common unit</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Common Unit</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Net income/(loss) attributable to PAA</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1,865</w:t>
            </w:r>
          </w:p>
        </w:tc>
      </w:tr>
      <w:tr>
        <w:trPr>
          <w:trHeight w:val="229"/>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 to Series A preferred unitholders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400"/>
              <w:spacing w:after="0"/>
              <w:rPr>
                <w:sz w:val="20"/>
                <w:szCs w:val="20"/>
                <w:color w:val="auto"/>
              </w:rPr>
            </w:pPr>
            <w:r>
              <w:rPr>
                <w:rFonts w:ascii="Arial" w:cs="Arial" w:eastAsia="Arial" w:hAnsi="Arial"/>
                <w:sz w:val="18"/>
                <w:szCs w:val="18"/>
                <w:color w:val="auto"/>
              </w:rPr>
              <w:t>Distributions to Series B preferred unitholders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Distributions to participating securities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60" w:type="dxa"/>
            <w:vAlign w:val="bottom"/>
          </w:tcPr>
          <w:p>
            <w:pPr>
              <w:ind w:left="180"/>
              <w:spacing w:after="0" w:line="223" w:lineRule="exact"/>
              <w:rPr>
                <w:sz w:val="20"/>
                <w:szCs w:val="20"/>
                <w:color w:val="auto"/>
              </w:rPr>
            </w:pPr>
            <w:r>
              <w:rPr>
                <w:rFonts w:ascii="Arial" w:cs="Arial" w:eastAsia="Arial" w:hAnsi="Arial"/>
                <w:sz w:val="18"/>
                <w:szCs w:val="18"/>
                <w:color w:val="auto"/>
              </w:rPr>
              <w:t xml:space="preserve">Net income allocated/(loss) to common unitholders </w:t>
            </w:r>
            <w:r>
              <w:rPr>
                <w:rFonts w:ascii="Arial" w:cs="Arial" w:eastAsia="Arial" w:hAnsi="Arial"/>
                <w:sz w:val="23"/>
                <w:szCs w:val="23"/>
                <w:color w:val="auto"/>
                <w:vertAlign w:val="superscript"/>
              </w:rPr>
              <w:t>(1)</w:t>
            </w: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w:t>
            </w:r>
          </w:p>
        </w:tc>
      </w:tr>
      <w:tr>
        <w:trPr>
          <w:trHeight w:val="230"/>
        </w:trPr>
        <w:tc>
          <w:tcPr>
            <w:tcW w:w="58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Effect of dilutive securities: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tcPr>
          <w:p>
            <w:pPr>
              <w:ind w:left="400"/>
              <w:spacing w:after="0"/>
              <w:rPr>
                <w:sz w:val="20"/>
                <w:szCs w:val="20"/>
                <w:color w:val="auto"/>
              </w:rPr>
            </w:pPr>
            <w:r>
              <w:rPr>
                <w:rFonts w:ascii="Arial" w:cs="Arial" w:eastAsia="Arial" w:hAnsi="Arial"/>
                <w:sz w:val="18"/>
                <w:szCs w:val="18"/>
                <w:color w:val="auto"/>
              </w:rPr>
              <w:t>Series A preferred units</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Equity-indexed compensation plan awards</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860" w:type="dxa"/>
            <w:vAlign w:val="bottom"/>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58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Diluted net income/(loss) per common unit</w:t>
            </w: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0.13</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73" w:lineRule="auto"/>
        <w:tabs>
          <w:tab w:leader="none" w:pos="64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calculate net income/(loss) allocated to common unitholders based on the distributions pertaining to the current period’s net income (whether paid in cash or in-kind).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ectPr>
          <w:pgSz w:w="11900" w:h="16838" w:orient="portrait"/>
          <w:cols w:equalWidth="0" w:num="1">
            <w:col w:w="11180"/>
          </w:cols>
          <w:pgMar w:left="320" w:top="125" w:right="399" w:bottom="1440" w:gutter="0" w:footer="0" w:header="0"/>
        </w:sect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920" w:type="dxa"/>
            <w:vAlign w:val="bottom"/>
          </w:tcPr>
          <w:p>
            <w:pPr>
              <w:spacing w:after="0"/>
              <w:rPr>
                <w:sz w:val="11"/>
                <w:szCs w:val="11"/>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Volumes</w:t>
            </w:r>
          </w:p>
        </w:tc>
        <w:tc>
          <w:tcPr>
            <w:tcW w:w="108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Unit of</w:t>
            </w:r>
          </w:p>
        </w:tc>
        <w:tc>
          <w:tcPr>
            <w:tcW w:w="120" w:type="dxa"/>
            <w:vAlign w:val="bottom"/>
          </w:tcPr>
          <w:p>
            <w:pPr>
              <w:spacing w:after="0"/>
              <w:rPr>
                <w:sz w:val="11"/>
                <w:szCs w:val="11"/>
                <w:color w:val="auto"/>
              </w:rPr>
            </w:pPr>
          </w:p>
        </w:tc>
        <w:tc>
          <w:tcPr>
            <w:tcW w:w="740" w:type="dxa"/>
            <w:vAlign w:val="bottom"/>
          </w:tcPr>
          <w:p>
            <w:pPr>
              <w:jc w:val="right"/>
              <w:ind w:right="53"/>
              <w:spacing w:after="0" w:line="13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174"/>
              <w:spacing w:after="0" w:line="135"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154"/>
              <w:spacing w:after="0" w:line="189" w:lineRule="exact"/>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09"/>
        </w:trPr>
        <w:tc>
          <w:tcPr>
            <w:tcW w:w="2920" w:type="dxa"/>
            <w:vAlign w:val="bottom"/>
          </w:tcPr>
          <w:p>
            <w:pPr>
              <w:spacing w:after="0"/>
              <w:rPr>
                <w:sz w:val="20"/>
                <w:szCs w:val="20"/>
                <w:color w:val="auto"/>
              </w:rPr>
            </w:pPr>
            <w:r>
              <w:rPr>
                <w:rFonts w:ascii="Arial" w:cs="Arial" w:eastAsia="Arial" w:hAnsi="Arial"/>
                <w:sz w:val="18"/>
                <w:szCs w:val="18"/>
                <w:b w:val="1"/>
                <w:bCs w:val="1"/>
                <w:color w:val="auto"/>
              </w:rPr>
              <w:t>Inventory</w:t>
            </w: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15,332</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16,144</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Arial" w:cs="Arial" w:eastAsia="Arial" w:hAnsi="Arial"/>
                <w:sz w:val="18"/>
                <w:szCs w:val="18"/>
                <w:color w:val="auto"/>
              </w:rPr>
              <w:t>Inventory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92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14,496</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Natural gas</w:t>
            </w:r>
          </w:p>
        </w:tc>
        <w:tc>
          <w:tcPr>
            <w:tcW w:w="960" w:type="dxa"/>
            <w:vAlign w:val="bottom"/>
          </w:tcPr>
          <w:p>
            <w:pPr>
              <w:jc w:val="right"/>
              <w:spacing w:after="0"/>
              <w:rPr>
                <w:sz w:val="20"/>
                <w:szCs w:val="20"/>
                <w:color w:val="auto"/>
              </w:rPr>
            </w:pPr>
            <w:r>
              <w:rPr>
                <w:rFonts w:ascii="Arial" w:cs="Arial" w:eastAsia="Arial" w:hAnsi="Arial"/>
                <w:sz w:val="18"/>
                <w:szCs w:val="18"/>
                <w:color w:val="auto"/>
              </w:rPr>
              <w:t>25,576</w:t>
            </w:r>
          </w:p>
        </w:tc>
        <w:tc>
          <w:tcPr>
            <w:tcW w:w="1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Arial" w:cs="Arial" w:eastAsia="Arial" w:hAnsi="Arial"/>
                <w:sz w:val="18"/>
                <w:szCs w:val="18"/>
                <w:color w:val="auto"/>
              </w:rPr>
              <w:t>Linefill and base gas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92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Crude oil</w:t>
            </w:r>
          </w:p>
        </w:tc>
        <w:tc>
          <w:tcPr>
            <w:tcW w:w="960" w:type="dxa"/>
            <w:vAlign w:val="bottom"/>
          </w:tcPr>
          <w:p>
            <w:pPr>
              <w:jc w:val="right"/>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NGL</w:t>
            </w: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23"/>
        </w:trPr>
        <w:tc>
          <w:tcPr>
            <w:tcW w:w="2920" w:type="dxa"/>
            <w:vAlign w:val="bottom"/>
          </w:tcPr>
          <w:p>
            <w:pPr>
              <w:ind w:left="100"/>
              <w:spacing w:after="0"/>
              <w:rPr>
                <w:sz w:val="20"/>
                <w:szCs w:val="20"/>
                <w:color w:val="auto"/>
              </w:rPr>
            </w:pPr>
            <w:r>
              <w:rPr>
                <w:rFonts w:ascii="Arial" w:cs="Arial" w:eastAsia="Arial" w:hAnsi="Arial"/>
                <w:sz w:val="18"/>
                <w:szCs w:val="18"/>
                <w:color w:val="auto"/>
              </w:rPr>
              <w:t>Long-term inventory subtotal</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-2682240</wp:posOffset>
            </wp:positionV>
            <wp:extent cx="7071995" cy="26657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2665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9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Volumes</w:t>
            </w:r>
          </w:p>
        </w:tc>
        <w:tc>
          <w:tcPr>
            <w:tcW w:w="100" w:type="dxa"/>
            <w:vAlign w:val="bottom"/>
            <w:tcBorders>
              <w:top w:val="single" w:sz="8" w:color="auto"/>
            </w:tcBorders>
            <w:vMerge w:val="restart"/>
          </w:tcPr>
          <w:p>
            <w:pPr>
              <w:spacing w:after="0"/>
              <w:rPr>
                <w:sz w:val="12"/>
                <w:szCs w:val="12"/>
                <w:color w:val="auto"/>
              </w:rPr>
            </w:pPr>
          </w:p>
        </w:tc>
        <w:tc>
          <w:tcPr>
            <w:tcW w:w="1080" w:type="dxa"/>
            <w:vAlign w:val="bottom"/>
            <w:tcBorders>
              <w:top w:val="single" w:sz="8" w:color="auto"/>
            </w:tcBorders>
            <w:gridSpan w:val="2"/>
          </w:tcPr>
          <w:p>
            <w:pPr>
              <w:ind w:left="280"/>
              <w:spacing w:after="0" w:line="141" w:lineRule="exact"/>
              <w:rPr>
                <w:sz w:val="20"/>
                <w:szCs w:val="20"/>
                <w:color w:val="auto"/>
              </w:rPr>
            </w:pPr>
            <w:r>
              <w:rPr>
                <w:rFonts w:ascii="Arial" w:cs="Arial" w:eastAsia="Arial" w:hAnsi="Arial"/>
                <w:sz w:val="14"/>
                <w:szCs w:val="14"/>
                <w:b w:val="1"/>
                <w:bCs w:val="1"/>
                <w:color w:val="auto"/>
              </w:rPr>
              <w:t>Unit of</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73"/>
              <w:spacing w:after="0" w:line="141"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54"/>
              <w:spacing w:after="0" w:line="141"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4"/>
              <w:spacing w:after="0" w:line="189" w:lineRule="exact"/>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438"/>
        </w:trPr>
        <w:tc>
          <w:tcPr>
            <w:tcW w:w="980" w:type="dxa"/>
            <w:vAlign w:val="bottom"/>
          </w:tcPr>
          <w:p>
            <w:pPr>
              <w:jc w:val="right"/>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7,574</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108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80" w:type="dxa"/>
            <w:vAlign w:val="bottom"/>
          </w:tcPr>
          <w:p>
            <w:pPr>
              <w:jc w:val="right"/>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29"/>
        </w:trPr>
        <w:tc>
          <w:tcPr>
            <w:tcW w:w="98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4"/>
        </w:trPr>
        <w:tc>
          <w:tcPr>
            <w:tcW w:w="98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30"/>
        </w:trPr>
        <w:tc>
          <w:tcPr>
            <w:tcW w:w="98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940" w:space="200"/>
            <w:col w:w="4040"/>
          </w:cols>
          <w:pgMar w:left="320" w:top="125" w:right="399" w:bottom="1440" w:gutter="0" w:footer="0" w:header="0"/>
          <w:type w:val="continuous"/>
        </w:sectPr>
      </w:pPr>
    </w:p>
    <w:p>
      <w:pPr>
        <w:spacing w:after="0" w:line="339" w:lineRule="exact"/>
        <w:rPr>
          <w:sz w:val="20"/>
          <w:szCs w:val="20"/>
          <w:color w:val="auto"/>
        </w:rPr>
      </w:pPr>
    </w:p>
    <w:p>
      <w:pPr>
        <w:ind w:left="660" w:right="300" w:hanging="652"/>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$233 million primarily during the first quarter of 2020 related to the write-down of our crude oil and NGL inventory, of which $40 million was associated with our long-term inventory, due to declines in prices. A portion of this inventory valuation adjustment was offset by the recognition of gains on derivative instruments being utilized to hedge future sales of our crude oil and NGL inventory. Such gains were recorded to “Supply and Logistics segment revenues” in our accompanying Consolidated Statement of Operations. See Note 10 for discussion of our derivative and risk management activities.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6—Goodwill</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first quarter of 2020, we recorded impairment losses related to goodwill. Our market capitalization declined significantly during the first quarter driven by current macroeconomic and geopolitical conditions including the collapse of oil prices driven by both the decrease in demand caused by the COVID-19 pandemic and excess supply as well as changing market conditions and expected lower crude oil production in certain regions, resulting in expected decreases in future cash flows for certain of our assets. In addition, the uncertainty related to oil demand continued to have a significant impact on the investment and operating plans of our primary customers. Based on these events, we concluded that a triggering event occurred which required us to perform a quantitative impairment test as of March 31, 2020, utilizing a discounted cash flow approach. We applied a discount rate of approximately 14% in the determination of the fair value of each of our reporting units, which represents our estimate of the cost of capital of a theoretical market participant as of March 31, 2020. The fair values of the reporting units are Level 3 measurements in the fair value hierarchy and were based on various inputs, as discussed below. The discounted cash flows for each reporting unit were based on six years of projected cash flows and terminal values that we believe would be applied by a theoretical market participant in similar market transactions. The discounted cash flows for the respective reporting units utilized various other assumptions, including, but not limited to (i) volumes (based on historical information and estimates of future drilling and completion activity, as well as expectations of future demand recovery), (ii) tariff and storage rates, (iii) future commodity prices (based on relevant indices and applicable quality and location differentials), and (iv) estimated fixed and variable costs. We used a range of cash flows for the discounted cash flow calculations, based on differing potential market scenarios but for each of the reporting units, the ultimate outcome of the impairment test was unchanged by the various points within the range of cash flows. Based upon the results of the impairment test, we concluded that the carrying value of each of our reporting units exceeded their respective fair values, resulting in a goodwill impairment charge for the entire goodwill balance for each reporting unit.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are reflected in the following table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280" w:type="dxa"/>
            <w:vAlign w:val="bottom"/>
          </w:tcPr>
          <w:p>
            <w:pPr>
              <w:spacing w:after="0"/>
              <w:rPr>
                <w:sz w:val="16"/>
                <w:szCs w:val="16"/>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4"/>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tcPr>
          <w:p>
            <w:pPr>
              <w:ind w:left="120"/>
              <w:spacing w:after="0"/>
              <w:rPr>
                <w:sz w:val="20"/>
                <w:szCs w:val="20"/>
                <w:color w:val="auto"/>
              </w:rPr>
            </w:pPr>
            <w:r>
              <w:rPr>
                <w:rFonts w:ascii="Arial" w:cs="Arial" w:eastAsia="Arial" w:hAnsi="Arial"/>
                <w:sz w:val="18"/>
                <w:szCs w:val="18"/>
                <w:color w:val="auto"/>
              </w:rPr>
              <w:t>Acquisitions</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gross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7—Investments in Unconsolidated Entities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Ownership Interest</w:t>
            </w: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41"/>
        </w:trPr>
        <w:tc>
          <w:tcPr>
            <w:tcW w:w="4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3"/>
                <w:szCs w:val="3"/>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18"/>
                <w:szCs w:val="18"/>
                <w:b w:val="1"/>
                <w:bCs w:val="1"/>
                <w:color w:val="auto"/>
                <w:vertAlign w:val="superscript"/>
              </w:rPr>
              <w:t>(1)</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at September 30,</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940" w:type="dxa"/>
            <w:vAlign w:val="bottom"/>
            <w:gridSpan w:val="2"/>
            <w:vMerge w:val="continue"/>
          </w:tcPr>
          <w:p>
            <w:pPr>
              <w:spacing w:after="0"/>
              <w:rPr>
                <w:sz w:val="16"/>
                <w:szCs w:val="16"/>
                <w:color w:val="auto"/>
              </w:rPr>
            </w:pPr>
          </w:p>
        </w:tc>
        <w:tc>
          <w:tcPr>
            <w:tcW w:w="2240" w:type="dxa"/>
            <w:vAlign w:val="bottom"/>
            <w:vMerge w:val="continue"/>
          </w:tcPr>
          <w:p>
            <w:pPr>
              <w:spacing w:after="0"/>
              <w:rPr>
                <w:sz w:val="16"/>
                <w:szCs w:val="16"/>
                <w:color w:val="auto"/>
              </w:rPr>
            </w:pPr>
          </w:p>
        </w:tc>
        <w:tc>
          <w:tcPr>
            <w:tcW w:w="136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Cactus II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2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175"/>
        </w:trPr>
        <w:tc>
          <w:tcPr>
            <w:tcW w:w="4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Eagle Ford Terminals Corpus Christi LLC (“Eagle</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3"/>
              </w:rPr>
              <w:t>Crude Oil Terminal and Dock</w:t>
            </w:r>
          </w:p>
        </w:tc>
        <w:tc>
          <w:tcPr>
            <w:tcW w:w="136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Ford Terminals”)</w:t>
            </w:r>
          </w:p>
        </w:tc>
        <w:tc>
          <w:tcPr>
            <w:tcW w:w="22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Oak Pipeline LLC (“Red Oak”)</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Crude Oil Pipeline</w:t>
            </w:r>
          </w:p>
        </w:tc>
        <w:tc>
          <w:tcPr>
            <w:tcW w:w="13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investments</w:t>
            </w:r>
          </w:p>
        </w:tc>
        <w:tc>
          <w:tcPr>
            <w:tcW w:w="2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98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7"/>
          <w:szCs w:val="17"/>
          <w:color w:val="auto"/>
        </w:rPr>
        <w:t>In March 2020, the partners of Red Oak announced they were deferring the Red Oak pipeline project and suspending actions that would require additional capital spending on the project, and that they would re-evaluate demand for the project in light of recent market developments. Subsequently, the partners determined that the project would not proceed as previously contemplated. We determined that there was an other-than-temporary impairment of our investment in Red Oak, and we wrote our investment in Red Oak down to the estimated residual value of our share of the net assets during the second quarter of 2020. In addition, during the first quarter of 2020, we recorded a write-down of certain of our investments included in “Other investments” in the table above due to an other-than-temporary impairment related to a decline in market conditions.</w:t>
      </w:r>
    </w:p>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During the third quarter of 2020, we determined that there was an other-than-temporary impairment of our investment in STACK Pipeline LLC as a result of a continued decline of drilling activity and related volumes of crude oil in its area of operation. We wrote off the portion of the carrying amount of our investment that exceeded its fair value. The estimated fair value (which we consider a Level 3 measurement in the fair value hierarchy) was based 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7" w:lineRule="exact"/>
        <w:rPr>
          <w:sz w:val="20"/>
          <w:szCs w:val="20"/>
          <w:color w:val="auto"/>
        </w:rPr>
      </w:pPr>
    </w:p>
    <w:p>
      <w:pPr>
        <w:jc w:val="both"/>
        <w:ind w:right="820" w:firstLine="648"/>
        <w:spacing w:after="0" w:line="248" w:lineRule="auto"/>
        <w:rPr>
          <w:sz w:val="20"/>
          <w:szCs w:val="20"/>
          <w:color w:val="auto"/>
        </w:rPr>
      </w:pPr>
      <w:r>
        <w:rPr>
          <w:rFonts w:ascii="Arial" w:cs="Arial" w:eastAsia="Arial" w:hAnsi="Arial"/>
          <w:sz w:val="18"/>
          <w:szCs w:val="18"/>
          <w:color w:val="auto"/>
        </w:rPr>
        <w:t>As a result of these write-downs, during the three and nine months ended September 30, 2020, we recognized losses of $91 million and $202 million, respectively. These losses are reflected in “Gain on/(impairment of) investments in unconsolidated entities, net” on our Condensed Consolidated Statement of Operations.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Saddlehorn. </w:t>
      </w:r>
      <w:r>
        <w:rPr>
          <w:rFonts w:ascii="Arial" w:cs="Arial" w:eastAsia="Arial" w:hAnsi="Arial"/>
          <w:sz w:val="18"/>
          <w:szCs w:val="18"/>
          <w:color w:val="auto"/>
        </w:rPr>
        <w:t>In February 2020, we sold a 10% ownership interest in Saddlehorn for proceeds of approximately $78 million and have retained a</w:t>
      </w:r>
      <w:r>
        <w:rPr>
          <w:rFonts w:ascii="Arial" w:cs="Arial" w:eastAsia="Arial" w:hAnsi="Arial"/>
          <w:sz w:val="18"/>
          <w:szCs w:val="18"/>
          <w:i w:val="1"/>
          <w:iCs w:val="1"/>
          <w:color w:val="auto"/>
        </w:rPr>
        <w:t xml:space="preserve"> </w:t>
      </w:r>
      <w:r>
        <w:rPr>
          <w:rFonts w:ascii="Arial" w:cs="Arial" w:eastAsia="Arial" w:hAnsi="Arial"/>
          <w:sz w:val="18"/>
          <w:szCs w:val="18"/>
          <w:color w:val="auto"/>
        </w:rPr>
        <w:t>30% ownership interest. We recorded a gain of approximately $21 million related to this sale, which is included in “Gain on/(impairment of) investments in unconsolidated entities, net” on our Condensed Consolidated Statement of Operations. We continue to account for our remaining interest under the equity method of accounting.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8420" w:type="dxa"/>
            <w:vAlign w:val="bottom"/>
          </w:tcPr>
          <w:p>
            <w:pPr>
              <w:ind w:left="20"/>
              <w:spacing w:after="0"/>
              <w:rPr>
                <w:sz w:val="20"/>
                <w:szCs w:val="20"/>
                <w:color w:val="auto"/>
              </w:rPr>
            </w:pPr>
            <w:r>
              <w:rPr>
                <w:rFonts w:ascii="Arial" w:cs="Arial" w:eastAsia="Arial" w:hAnsi="Arial"/>
                <w:sz w:val="18"/>
                <w:szCs w:val="18"/>
                <w:color w:val="auto"/>
              </w:rPr>
              <w:t xml:space="preserve">Commercial paper notes, bearing a weighted-average interest rate of 0.6% and 2.2%, respectively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Senior secured hedged inventory facility, bearing a weighted-average interest rate of 2.7%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short-term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Senior notes, net of unamortized discounts and debt issuance costs of $64 and $61, respectively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notes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420" w:type="dxa"/>
            <w:vAlign w:val="bottom"/>
          </w:tcPr>
          <w:p>
            <w:pPr>
              <w:ind w:left="20"/>
              <w:spacing w:after="0" w:line="176" w:lineRule="exact"/>
              <w:rPr>
                <w:sz w:val="20"/>
                <w:szCs w:val="20"/>
                <w:color w:val="auto"/>
              </w:rPr>
            </w:pPr>
            <w:r>
              <w:rPr>
                <w:rFonts w:ascii="Arial" w:cs="Arial" w:eastAsia="Arial" w:hAnsi="Arial"/>
                <w:sz w:val="18"/>
                <w:szCs w:val="18"/>
                <w:color w:val="auto"/>
                <w:w w:val="90"/>
              </w:rPr>
              <w:t>GO Zone term loans, net of debt issuance costs of $1 and $1, respectively, bearing a weighted-average interest rate</w:t>
            </w:r>
          </w:p>
        </w:tc>
        <w:tc>
          <w:tcPr>
            <w:tcW w:w="1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of 1.3% and 2.6%, respectively</w:t>
            </w: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560"/>
              <w:spacing w:after="0" w:line="223"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jc w:val="both"/>
        <w:ind w:right="60" w:hanging="11"/>
        <w:spacing w:after="0" w:line="311" w:lineRule="auto"/>
        <w:rPr>
          <w:sz w:val="20"/>
          <w:szCs w:val="20"/>
          <w:color w:val="auto"/>
        </w:rPr>
      </w:pPr>
      <w:r>
        <w:rPr>
          <w:rFonts w:ascii="Arial" w:cs="Arial" w:eastAsia="Arial" w:hAnsi="Arial"/>
          <w:sz w:val="16"/>
          <w:szCs w:val="16"/>
          <w:color w:val="auto"/>
        </w:rPr>
        <w:t>We classified these commercial paper notes as short-term as of September 30, 2020 and December 31, 2019, respectively, and these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41" w:lineRule="exact"/>
        <w:rPr>
          <w:sz w:val="20"/>
          <w:szCs w:val="20"/>
          <w:color w:val="auto"/>
        </w:rPr>
      </w:pPr>
    </w:p>
    <w:p>
      <w:pPr>
        <w:ind w:right="620" w:hanging="11"/>
        <w:spacing w:after="0" w:line="263" w:lineRule="auto"/>
        <w:rPr>
          <w:sz w:val="20"/>
          <w:szCs w:val="20"/>
          <w:color w:val="auto"/>
        </w:rPr>
      </w:pPr>
      <w:r>
        <w:rPr>
          <w:rFonts w:ascii="Arial" w:cs="Arial" w:eastAsia="Arial" w:hAnsi="Arial"/>
          <w:sz w:val="18"/>
          <w:szCs w:val="18"/>
          <w:color w:val="auto"/>
        </w:rPr>
        <w:t>During the nine months ended September 30, 2020, we repurchased $17 million of our outstanding senior notes on the open market and recognized a gain of $3 million on these transactions, which is included in “Other income/(expense), net” on our Condensed Consolidated Statement of Operations.</w:t>
      </w:r>
    </w:p>
    <w:p>
      <w:pPr>
        <w:spacing w:after="0" w:line="76" w:lineRule="exact"/>
        <w:rPr>
          <w:sz w:val="20"/>
          <w:szCs w:val="20"/>
          <w:color w:val="auto"/>
        </w:rPr>
      </w:pPr>
    </w:p>
    <w:p>
      <w:pPr>
        <w:ind w:right="280" w:hanging="11"/>
        <w:spacing w:after="0" w:line="277" w:lineRule="auto"/>
        <w:rPr>
          <w:sz w:val="20"/>
          <w:szCs w:val="20"/>
          <w:color w:val="auto"/>
        </w:rPr>
      </w:pPr>
      <w:r>
        <w:rPr>
          <w:rFonts w:ascii="Arial" w:cs="Arial" w:eastAsia="Arial" w:hAnsi="Arial"/>
          <w:sz w:val="18"/>
          <w:szCs w:val="18"/>
          <w:color w:val="auto"/>
        </w:rPr>
        <w:t>As of September 30, 2020, we classified a portion of our commercial paper notes as long-term based on our ability and intent to refinance such amounts on a long-term basis.</w:t>
      </w:r>
    </w:p>
    <w:p>
      <w:pPr>
        <w:spacing w:after="0" w:line="62" w:lineRule="exact"/>
        <w:rPr>
          <w:sz w:val="20"/>
          <w:szCs w:val="20"/>
          <w:color w:val="auto"/>
        </w:rPr>
      </w:pPr>
    </w:p>
    <w:p>
      <w:pPr>
        <w:ind w:right="120" w:hanging="11"/>
        <w:spacing w:after="0" w:line="291" w:lineRule="auto"/>
        <w:rPr>
          <w:sz w:val="20"/>
          <w:szCs w:val="20"/>
          <w:color w:val="auto"/>
        </w:rPr>
      </w:pPr>
      <w:r>
        <w:rPr>
          <w:rFonts w:ascii="Arial" w:cs="Arial" w:eastAsia="Arial" w:hAnsi="Arial"/>
          <w:sz w:val="16"/>
          <w:szCs w:val="16"/>
          <w:color w:val="auto"/>
        </w:rPr>
        <w:t>Our fixed-rate senior notes had a face value of approximately $9.7 billion and $9.0 billion as of September 30, 2020 and December 31, 2019, respectively. We estimated the aggregate fair value of these notes as of September 30, 2020 and December 31, 2019 to be approximately $9.7 billion and $9.3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60"/>
          </w:cols>
          <w:pgMar w:left="320" w:top="125" w:right="3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June 2020, we completed the offering of $750 million, 3.80% senior notes due September 2030 at a public offering price of 99.794%. Interest payments are due on March 15 and September 15 of each year, commencing on September 15,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 2020, we redeemed our $600 million, 5.00% senior notes due February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Total borrowings under our credit facilities and commercial paper program for the nine months ended September 30, 2020 and 2019 were approximately $20.2 billion and $10.5 billion, respectively. Total repayments under our credit facilities and commercial paper program were approximately $20.5 billion and $10.5 billion for the nine months ended September 30, 2020 and 2019,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September 30, 2020 and December 31, 2019, we had outstanding letters of credit of $140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1"/>
                <w:szCs w:val="11"/>
                <w:color w:val="auto"/>
              </w:rPr>
            </w:pPr>
          </w:p>
        </w:tc>
        <w:tc>
          <w:tcPr>
            <w:tcW w:w="15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Preferred Units</w:t>
            </w:r>
          </w:p>
        </w:tc>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728,028,576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vMerge w:val="restart"/>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bottom w:val="single" w:sz="8" w:color="CCEEFF"/>
            </w:tcBorders>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24,431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728,053,007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47,391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728,100,398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tcPr>
          <w:p>
            <w:pPr>
              <w:ind w:left="10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376,193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728,476,591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Limited Partners</w:t>
            </w: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1"/>
                <w:szCs w:val="11"/>
                <w:color w:val="auto"/>
              </w:rPr>
            </w:pPr>
          </w:p>
        </w:tc>
        <w:tc>
          <w:tcPr>
            <w:tcW w:w="16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Series B</w:t>
            </w:r>
          </w:p>
        </w:tc>
        <w:tc>
          <w:tcPr>
            <w:tcW w:w="20" w:type="dxa"/>
            <w:vAlign w:val="bottom"/>
          </w:tcPr>
          <w:p>
            <w:pPr>
              <w:spacing w:after="0"/>
              <w:rPr>
                <w:sz w:val="11"/>
                <w:szCs w:val="11"/>
                <w:color w:val="auto"/>
              </w:rPr>
            </w:pPr>
          </w:p>
        </w:tc>
        <w:tc>
          <w:tcPr>
            <w:tcW w:w="15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Common Units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rPr>
              <w:t>Preferred Units</w:t>
            </w:r>
          </w:p>
        </w:tc>
        <w:tc>
          <w:tcPr>
            <w:tcW w:w="40" w:type="dxa"/>
            <w:vAlign w:val="bottom"/>
          </w:tcPr>
          <w:p>
            <w:pPr>
              <w:spacing w:after="0"/>
              <w:rPr>
                <w:sz w:val="16"/>
                <w:szCs w:val="16"/>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Preferred Units</w:t>
            </w:r>
          </w:p>
        </w:tc>
        <w:tc>
          <w:tcPr>
            <w:tcW w:w="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8"/>
                <w:szCs w:val="18"/>
                <w:color w:val="auto"/>
              </w:rPr>
            </w:pPr>
          </w:p>
        </w:tc>
        <w:tc>
          <w:tcPr>
            <w:tcW w:w="6360" w:type="dxa"/>
            <w:vAlign w:val="bottom"/>
            <w:tcBorders>
              <w:top w:val="single" w:sz="8" w:color="CCEEFF"/>
              <w:bottom w:val="single" w:sz="8" w:color="CCEEFF"/>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Outstanding at December 31, 2018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726,361,924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vMerge w:val="restart"/>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gridSpan w:val="3"/>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360" w:type="dxa"/>
            <w:vAlign w:val="bottom"/>
            <w:tcBorders>
              <w:top w:val="single" w:sz="8" w:color="CCEEFF"/>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423,889</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726,785,813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638,806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2019</w:t>
            </w: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727,424,619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Issuances of common units under equity-indexed compensation plans</w:t>
            </w:r>
          </w:p>
        </w:tc>
        <w:tc>
          <w:tcPr>
            <w:tcW w:w="20" w:type="dxa"/>
            <w:vAlign w:val="bottom"/>
          </w:tcPr>
          <w:p>
            <w:pPr>
              <w:spacing w:after="0"/>
              <w:rPr>
                <w:sz w:val="19"/>
                <w:szCs w:val="19"/>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603,957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2019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71,090,468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728,028,576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i w:val="1"/>
          <w:iCs w:val="1"/>
          <w:color w:val="auto"/>
        </w:rPr>
        <w:t xml:space="preserve">Common Equity Repurchase Program. </w:t>
      </w:r>
      <w:r>
        <w:rPr>
          <w:rFonts w:ascii="Arial" w:cs="Arial" w:eastAsia="Arial" w:hAnsi="Arial"/>
          <w:sz w:val="17"/>
          <w:szCs w:val="17"/>
          <w:color w:val="auto"/>
        </w:rPr>
        <w:t>On November 2, 2020, we announced that the board of directors of PAA GP Holdings LLC has approved a</w:t>
      </w:r>
      <w:r>
        <w:rPr>
          <w:rFonts w:ascii="Arial" w:cs="Arial" w:eastAsia="Arial" w:hAnsi="Arial"/>
          <w:sz w:val="17"/>
          <w:szCs w:val="17"/>
          <w:i w:val="1"/>
          <w:iCs w:val="1"/>
          <w:color w:val="auto"/>
        </w:rPr>
        <w:t xml:space="preserve"> </w:t>
      </w:r>
      <w:r>
        <w:rPr>
          <w:rFonts w:ascii="Arial" w:cs="Arial" w:eastAsia="Arial" w:hAnsi="Arial"/>
          <w:sz w:val="17"/>
          <w:szCs w:val="17"/>
          <w:color w:val="auto"/>
        </w:rPr>
        <w:t>$500 million common equity repurchase program (the “Program”) to be utilized as an additional method of returning capital to investors. The Program authorizes the repurchase from time to time of up to $500 million of PAA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PAA common units or PAGP Class A shares. Any PAA common units or PAGP Class A shares that are repurchased will be canceled.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The following table details distributions to our Series A preferred unitholders paid during or pertaining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nine months of 2020 (in millions, except per unit data):</w:t>
      </w:r>
    </w:p>
    <w:p>
      <w:pPr>
        <w:spacing w:after="0" w:line="229"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A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80" w:type="dxa"/>
            <w:vAlign w:val="bottom"/>
          </w:tcPr>
          <w:p>
            <w:pPr>
              <w:spacing w:after="0"/>
              <w:rPr>
                <w:sz w:val="16"/>
                <w:szCs w:val="16"/>
                <w:color w:val="auto"/>
              </w:rPr>
            </w:pPr>
          </w:p>
        </w:tc>
        <w:tc>
          <w:tcPr>
            <w:tcW w:w="14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Cash Distribution</w:t>
            </w:r>
          </w:p>
        </w:tc>
      </w:tr>
      <w:tr>
        <w:trPr>
          <w:trHeight w:val="228"/>
        </w:trPr>
        <w:tc>
          <w:tcPr>
            <w:tcW w:w="772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7106285" cy="591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59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22"/>
        <w:spacing w:after="0"/>
        <w:rPr>
          <w:sz w:val="20"/>
          <w:szCs w:val="20"/>
          <w:color w:val="auto"/>
        </w:rPr>
      </w:pPr>
      <w:r>
        <w:rPr>
          <w:rFonts w:ascii="Arial" w:cs="Arial" w:eastAsia="Arial" w:hAnsi="Arial"/>
          <w:sz w:val="14"/>
          <w:szCs w:val="14"/>
          <w:b w:val="1"/>
          <w:bCs w:val="1"/>
          <w:color w:val="auto"/>
        </w:rPr>
        <w:t>Distribution per Unit</w:t>
      </w:r>
    </w:p>
    <w:p>
      <w:pPr>
        <w:spacing w:after="0" w:line="50" w:lineRule="exact"/>
        <w:rPr>
          <w:sz w:val="20"/>
          <w:szCs w:val="20"/>
          <w:color w:val="auto"/>
        </w:rPr>
      </w:pPr>
    </w:p>
    <w:p>
      <w:pPr>
        <w:ind w:left="1082" w:hanging="1082"/>
        <w:spacing w:after="0"/>
        <w:tabs>
          <w:tab w:leader="none" w:pos="1082" w:val="left"/>
        </w:tabs>
        <w:numPr>
          <w:ilvl w:val="0"/>
          <w:numId w:val="10"/>
        </w:numPr>
        <w:rPr>
          <w:rFonts w:ascii="Arial" w:cs="Arial" w:eastAsia="Arial" w:hAnsi="Arial"/>
          <w:sz w:val="15"/>
          <w:szCs w:val="15"/>
          <w:color w:val="auto"/>
        </w:rPr>
      </w:pPr>
      <w:r>
        <w:rPr>
          <w:rFonts w:ascii="Arial" w:cs="Arial" w:eastAsia="Arial" w:hAnsi="Arial"/>
          <w:sz w:val="15"/>
          <w:szCs w:val="15"/>
          <w:color w:val="auto"/>
        </w:rPr>
        <w:t>0.525</w:t>
      </w:r>
    </w:p>
    <w:p>
      <w:pPr>
        <w:spacing w:after="0" w:line="58" w:lineRule="exact"/>
        <w:rPr>
          <w:sz w:val="20"/>
          <w:szCs w:val="20"/>
          <w:color w:val="auto"/>
        </w:rPr>
      </w:pPr>
    </w:p>
    <w:p>
      <w:pPr>
        <w:ind w:left="1082" w:hanging="1082"/>
        <w:spacing w:after="0"/>
        <w:tabs>
          <w:tab w:leader="none" w:pos="1082" w:val="left"/>
        </w:tabs>
        <w:numPr>
          <w:ilvl w:val="0"/>
          <w:numId w:val="11"/>
        </w:numPr>
        <w:rPr>
          <w:rFonts w:ascii="Arial" w:cs="Arial" w:eastAsia="Arial" w:hAnsi="Arial"/>
          <w:sz w:val="15"/>
          <w:szCs w:val="15"/>
          <w:color w:val="auto"/>
        </w:rPr>
      </w:pPr>
      <w:r>
        <w:rPr>
          <w:rFonts w:ascii="Arial" w:cs="Arial" w:eastAsia="Arial" w:hAnsi="Arial"/>
          <w:sz w:val="15"/>
          <w:szCs w:val="15"/>
          <w:color w:val="auto"/>
        </w:rPr>
        <w:t>0.525</w:t>
      </w:r>
    </w:p>
    <w:p>
      <w:pPr>
        <w:spacing w:after="0" w:line="57" w:lineRule="exact"/>
        <w:rPr>
          <w:sz w:val="20"/>
          <w:szCs w:val="20"/>
          <w:color w:val="auto"/>
        </w:rPr>
      </w:pPr>
    </w:p>
    <w:p>
      <w:pPr>
        <w:ind w:left="1082" w:hanging="1082"/>
        <w:spacing w:after="0"/>
        <w:tabs>
          <w:tab w:leader="none" w:pos="1082" w:val="left"/>
        </w:tabs>
        <w:numPr>
          <w:ilvl w:val="0"/>
          <w:numId w:val="12"/>
        </w:numPr>
        <w:rPr>
          <w:rFonts w:ascii="Arial" w:cs="Arial" w:eastAsia="Arial" w:hAnsi="Arial"/>
          <w:sz w:val="15"/>
          <w:szCs w:val="15"/>
          <w:color w:val="auto"/>
        </w:rPr>
      </w:pPr>
      <w:r>
        <w:rPr>
          <w:rFonts w:ascii="Arial" w:cs="Arial" w:eastAsia="Arial" w:hAnsi="Arial"/>
          <w:sz w:val="15"/>
          <w:szCs w:val="15"/>
          <w:color w:val="auto"/>
        </w:rPr>
        <w:t>0.525</w:t>
      </w:r>
    </w:p>
    <w:p>
      <w:pPr>
        <w:spacing w:after="0" w:line="57" w:lineRule="exact"/>
        <w:rPr>
          <w:rFonts w:ascii="Arial" w:cs="Arial" w:eastAsia="Arial" w:hAnsi="Arial"/>
          <w:sz w:val="15"/>
          <w:szCs w:val="15"/>
          <w:color w:val="auto"/>
        </w:rPr>
      </w:pPr>
    </w:p>
    <w:p>
      <w:pPr>
        <w:ind w:left="1082" w:hanging="1082"/>
        <w:spacing w:after="0"/>
        <w:tabs>
          <w:tab w:leader="none" w:pos="1082" w:val="left"/>
        </w:tabs>
        <w:numPr>
          <w:ilvl w:val="0"/>
          <w:numId w:val="12"/>
        </w:numPr>
        <w:rPr>
          <w:rFonts w:ascii="Arial" w:cs="Arial" w:eastAsia="Arial" w:hAnsi="Arial"/>
          <w:sz w:val="15"/>
          <w:szCs w:val="15"/>
          <w:color w:val="auto"/>
        </w:rPr>
      </w:pPr>
      <w:r>
        <w:rPr>
          <w:rFonts w:ascii="Arial" w:cs="Arial" w:eastAsia="Arial" w:hAnsi="Arial"/>
          <w:sz w:val="15"/>
          <w:szCs w:val="15"/>
          <w:color w:val="auto"/>
        </w:rPr>
        <w:t>0.525</w:t>
      </w:r>
    </w:p>
    <w:p>
      <w:pPr>
        <w:spacing w:after="0" w:line="257" w:lineRule="exact"/>
        <w:rPr>
          <w:sz w:val="20"/>
          <w:szCs w:val="20"/>
          <w:color w:val="auto"/>
        </w:rPr>
      </w:pPr>
    </w:p>
    <w:p>
      <w:pPr>
        <w:sectPr>
          <w:pgSz w:w="11900" w:h="16838" w:orient="portrait"/>
          <w:cols w:equalWidth="0" w:num="2">
            <w:col w:w="9400" w:space="238"/>
            <w:col w:w="1582"/>
          </w:cols>
          <w:pgMar w:left="320" w:top="125" w:right="359" w:bottom="1440" w:gutter="0" w:footer="0" w:header="0"/>
          <w:type w:val="continuous"/>
        </w:sectPr>
      </w:pPr>
    </w:p>
    <w:p>
      <w:pPr>
        <w:spacing w:after="0" w:line="339" w:lineRule="exact"/>
        <w:rPr>
          <w:sz w:val="20"/>
          <w:szCs w:val="20"/>
          <w:color w:val="auto"/>
        </w:rPr>
      </w:pPr>
    </w:p>
    <w:p>
      <w:pPr>
        <w:ind w:left="660" w:right="320" w:hanging="652"/>
        <w:spacing w:after="0" w:line="234"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Payable to unitholders of record at the close of business on October 30, 2020 for the period from July 1, 2020 through September 30, 2020. At September 30, 2020, such amount was accrued as distributions payable in “Other current liabilities” on our Condensed Consolidated Balance Sheet.</w:t>
      </w:r>
    </w:p>
    <w:p>
      <w:pPr>
        <w:spacing w:after="0" w:line="23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Series B Preferred Unit Distributions</w:t>
      </w:r>
      <w:r>
        <w:rPr>
          <w:rFonts w:ascii="Arial" w:cs="Arial" w:eastAsia="Arial" w:hAnsi="Arial"/>
          <w:sz w:val="16"/>
          <w:szCs w:val="16"/>
          <w:color w:val="auto"/>
        </w:rPr>
        <w:t>. Distributions on our Series B preferred units are payable semi-annually in arrears on the 15th day of May</w:t>
      </w:r>
      <w:r>
        <w:rPr>
          <w:rFonts w:ascii="Arial" w:cs="Arial" w:eastAsia="Arial" w:hAnsi="Arial"/>
          <w:sz w:val="16"/>
          <w:szCs w:val="16"/>
          <w:i w:val="1"/>
          <w:iCs w:val="1"/>
          <w:color w:val="auto"/>
        </w:rPr>
        <w:t xml:space="preserve"> </w:t>
      </w:r>
      <w:r>
        <w:rPr>
          <w:rFonts w:ascii="Arial" w:cs="Arial" w:eastAsia="Arial" w:hAnsi="Arial"/>
          <w:sz w:val="16"/>
          <w:szCs w:val="16"/>
          <w:color w:val="auto"/>
        </w:rPr>
        <w:t>and November. The following table details distributions paid or to be paid to our Series B preferred unitholders (in millions, except per unit data):</w:t>
      </w:r>
    </w:p>
    <w:p>
      <w:pPr>
        <w:spacing w:after="0" w:line="18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23495</wp:posOffset>
            </wp:positionV>
            <wp:extent cx="214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2" w:lineRule="exact"/>
        <w:rPr>
          <w:sz w:val="20"/>
          <w:szCs w:val="20"/>
          <w:color w:val="auto"/>
        </w:rPr>
      </w:pPr>
    </w:p>
    <w:p>
      <w:pPr>
        <w:ind w:left="20"/>
        <w:spacing w:after="0"/>
        <w:tabs>
          <w:tab w:leader="none" w:pos="8040" w:val="left"/>
          <w:tab w:leader="none" w:pos="9740" w:val="left"/>
        </w:tabs>
        <w:rPr>
          <w:sz w:val="20"/>
          <w:szCs w:val="20"/>
          <w:color w:val="auto"/>
        </w:rPr>
      </w:pPr>
      <w:r>
        <w:rPr>
          <w:rFonts w:ascii="Arial" w:cs="Arial" w:eastAsia="Arial" w:hAnsi="Arial"/>
          <w:sz w:val="14"/>
          <w:szCs w:val="14"/>
          <w:b w:val="1"/>
          <w:bCs w:val="1"/>
          <w:color w:val="auto"/>
        </w:rPr>
        <w:t>Distribution Payment Date</w:t>
      </w:r>
      <w:r>
        <w:rPr>
          <w:sz w:val="20"/>
          <w:szCs w:val="20"/>
          <w:color w:val="auto"/>
        </w:rPr>
        <w:tab/>
      </w:r>
      <w:r>
        <w:rPr>
          <w:rFonts w:ascii="Arial" w:cs="Arial" w:eastAsia="Arial" w:hAnsi="Arial"/>
          <w:sz w:val="14"/>
          <w:szCs w:val="14"/>
          <w:b w:val="1"/>
          <w:bCs w:val="1"/>
          <w:color w:val="auto"/>
        </w:rPr>
        <w:t>Cash Distribution</w:t>
      </w:r>
      <w:r>
        <w:rPr>
          <w:sz w:val="20"/>
          <w:szCs w:val="20"/>
          <w:color w:val="auto"/>
        </w:rPr>
        <w:tab/>
      </w:r>
      <w:r>
        <w:rPr>
          <w:rFonts w:ascii="Arial" w:cs="Arial" w:eastAsia="Arial" w:hAnsi="Arial"/>
          <w:sz w:val="13"/>
          <w:szCs w:val="13"/>
          <w:b w:val="1"/>
          <w:bCs w:val="1"/>
          <w:color w:val="auto"/>
        </w:rPr>
        <w:t>Distribution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06285"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3003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Borders>
              <w:top w:val="single" w:sz="8" w:color="auto"/>
            </w:tcBorders>
          </w:tcPr>
          <w:p>
            <w:pPr>
              <w:ind w:left="20"/>
              <w:spacing w:after="0" w:line="234" w:lineRule="exact"/>
              <w:rPr>
                <w:sz w:val="20"/>
                <w:szCs w:val="20"/>
                <w:color w:val="auto"/>
              </w:rPr>
            </w:pPr>
            <w:r>
              <w:rPr>
                <w:rFonts w:ascii="Arial" w:cs="Arial" w:eastAsia="Arial" w:hAnsi="Arial"/>
                <w:sz w:val="18"/>
                <w:szCs w:val="18"/>
                <w:color w:val="auto"/>
              </w:rPr>
              <w:t xml:space="preserve">November 16, 2020 </w:t>
            </w:r>
            <w:r>
              <w:rPr>
                <w:rFonts w:ascii="Arial" w:cs="Arial" w:eastAsia="Arial" w:hAnsi="Arial"/>
                <w:sz w:val="23"/>
                <w:szCs w:val="23"/>
                <w:color w:val="auto"/>
                <w:vertAlign w:val="superscript"/>
              </w:rPr>
              <w:t>(1)</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002" w:hanging="1002"/>
        <w:spacing w:after="0"/>
        <w:tabs>
          <w:tab w:leader="none" w:pos="10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30.625</w:t>
      </w:r>
    </w:p>
    <w:p>
      <w:pPr>
        <w:spacing w:after="0" w:line="57" w:lineRule="exact"/>
        <w:rPr>
          <w:rFonts w:ascii="Arial" w:cs="Arial" w:eastAsia="Arial" w:hAnsi="Arial"/>
          <w:sz w:val="15"/>
          <w:szCs w:val="15"/>
          <w:color w:val="auto"/>
        </w:rPr>
      </w:pPr>
    </w:p>
    <w:p>
      <w:pPr>
        <w:ind w:left="1002" w:hanging="1002"/>
        <w:spacing w:after="0"/>
        <w:tabs>
          <w:tab w:leader="none" w:pos="1002" w:val="left"/>
        </w:tabs>
        <w:numPr>
          <w:ilvl w:val="0"/>
          <w:numId w:val="14"/>
        </w:numPr>
        <w:rPr>
          <w:rFonts w:ascii="Arial" w:cs="Arial" w:eastAsia="Arial" w:hAnsi="Arial"/>
          <w:sz w:val="15"/>
          <w:szCs w:val="15"/>
          <w:color w:val="auto"/>
        </w:rPr>
      </w:pPr>
      <w:r>
        <w:rPr>
          <w:rFonts w:ascii="Arial" w:cs="Arial" w:eastAsia="Arial" w:hAnsi="Arial"/>
          <w:sz w:val="15"/>
          <w:szCs w:val="15"/>
          <w:color w:val="auto"/>
        </w:rPr>
        <w:t>30.625</w:t>
      </w:r>
    </w:p>
    <w:p>
      <w:pPr>
        <w:spacing w:after="0" w:line="257" w:lineRule="exact"/>
        <w:rPr>
          <w:sz w:val="20"/>
          <w:szCs w:val="20"/>
          <w:color w:val="auto"/>
        </w:rPr>
      </w:pPr>
    </w:p>
    <w:p>
      <w:pPr>
        <w:sectPr>
          <w:pgSz w:w="11900" w:h="16838" w:orient="portrait"/>
          <w:cols w:equalWidth="0" w:num="2">
            <w:col w:w="9400" w:space="238"/>
            <w:col w:w="1582"/>
          </w:cols>
          <w:pgMar w:left="320" w:top="125" w:right="359" w:bottom="1440" w:gutter="0" w:footer="0" w:header="0"/>
          <w:type w:val="continuous"/>
        </w:sectPr>
      </w:pPr>
    </w:p>
    <w:p>
      <w:pPr>
        <w:spacing w:after="0" w:line="32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Payable to unitholders of record at the close of business on November 2, 2020 for the period from May 15, 2020 through November 14, 2020.</w:t>
      </w:r>
    </w:p>
    <w:p>
      <w:pPr>
        <w:spacing w:after="0" w:line="2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At September 30, 2020, approximately $18 million of accrued distributions payable to our Series B preferred unitholders was included in “Other current liabilities” on our Condensed Consolidated Balance Sheet.</w:t>
      </w:r>
    </w:p>
    <w:p>
      <w:pPr>
        <w:spacing w:after="0" w:line="19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to our common unitholders paid during or pertaining to the first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(in millions, except per unit data):</w:t>
      </w:r>
    </w:p>
    <w:p>
      <w:pPr>
        <w:sectPr>
          <w:pgSz w:w="11900" w:h="16838" w:orient="portrait"/>
          <w:cols w:equalWidth="0" w:num="1">
            <w:col w:w="11220"/>
          </w:cols>
          <w:pgMar w:left="320" w:top="125" w:right="359" w:bottom="1440" w:gutter="0" w:footer="0" w:header="0"/>
          <w:type w:val="continuous"/>
        </w:sect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5"/>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Unitholders</w:t>
            </w:r>
          </w:p>
        </w:tc>
        <w:tc>
          <w:tcPr>
            <w:tcW w:w="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7"/>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Payment Date</w:t>
            </w: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rPr>
              <w:t>Public</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236"/>
              <w:spacing w:after="0"/>
              <w:rPr>
                <w:sz w:val="20"/>
                <w:szCs w:val="20"/>
                <w:color w:val="auto"/>
              </w:rPr>
            </w:pPr>
            <w:r>
              <w:rPr>
                <w:rFonts w:ascii="Arial" w:cs="Arial" w:eastAsia="Arial" w:hAnsi="Arial"/>
                <w:sz w:val="14"/>
                <w:szCs w:val="14"/>
                <w:b w:val="1"/>
                <w:bCs w:val="1"/>
                <w:color w:val="auto"/>
              </w:rPr>
              <w:t>AAP</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Total Cash Distribution</w:t>
            </w:r>
          </w:p>
        </w:tc>
      </w:tr>
      <w:tr>
        <w:trPr>
          <w:trHeight w:val="228"/>
        </w:trPr>
        <w:tc>
          <w:tcPr>
            <w:tcW w:w="4400" w:type="dxa"/>
            <w:vAlign w:val="bottom"/>
            <w:tcBorders>
              <w:top w:val="single" w:sz="8" w:color="auto"/>
            </w:tcBorders>
          </w:tcPr>
          <w:p>
            <w:pPr>
              <w:ind w:left="20"/>
              <w:spacing w:after="0" w:line="229" w:lineRule="exact"/>
              <w:rPr>
                <w:sz w:val="20"/>
                <w:szCs w:val="20"/>
                <w:color w:val="auto"/>
              </w:rPr>
            </w:pPr>
            <w:r>
              <w:rPr>
                <w:rFonts w:ascii="Arial" w:cs="Arial" w:eastAsia="Arial" w:hAnsi="Arial"/>
                <w:sz w:val="18"/>
                <w:szCs w:val="18"/>
                <w:color w:val="auto"/>
              </w:rPr>
              <w:t xml:space="preserve">November 13, 2020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August 14,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May 15,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February 14, 2020</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098030" cy="591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591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center"/>
        <w:ind w:right="38"/>
        <w:spacing w:after="0"/>
        <w:rPr>
          <w:sz w:val="20"/>
          <w:szCs w:val="20"/>
          <w:color w:val="auto"/>
        </w:rPr>
      </w:pPr>
      <w:r>
        <w:rPr>
          <w:rFonts w:ascii="Arial" w:cs="Arial" w:eastAsia="Arial" w:hAnsi="Arial"/>
          <w:sz w:val="13"/>
          <w:szCs w:val="13"/>
          <w:b w:val="1"/>
          <w:bCs w:val="1"/>
          <w:color w:val="auto"/>
        </w:rPr>
        <w:t>Cash Distribution per</w:t>
      </w:r>
    </w:p>
    <w:p>
      <w:pPr>
        <w:spacing w:after="0" w:line="2" w:lineRule="exact"/>
        <w:rPr>
          <w:sz w:val="20"/>
          <w:szCs w:val="20"/>
          <w:color w:val="auto"/>
        </w:rPr>
      </w:pPr>
    </w:p>
    <w:p>
      <w:pPr>
        <w:jc w:val="center"/>
        <w:ind w:right="38"/>
        <w:spacing w:after="0"/>
        <w:rPr>
          <w:sz w:val="20"/>
          <w:szCs w:val="20"/>
          <w:color w:val="auto"/>
        </w:rPr>
      </w:pPr>
      <w:r>
        <w:rPr>
          <w:rFonts w:ascii="Arial" w:cs="Arial" w:eastAsia="Arial" w:hAnsi="Arial"/>
          <w:sz w:val="14"/>
          <w:szCs w:val="14"/>
          <w:b w:val="1"/>
          <w:bCs w:val="1"/>
          <w:color w:val="auto"/>
        </w:rPr>
        <w:t>Common Unit</w:t>
      </w:r>
    </w:p>
    <w:p>
      <w:pPr>
        <w:spacing w:after="0" w:line="34" w:lineRule="exact"/>
        <w:rPr>
          <w:sz w:val="20"/>
          <w:szCs w:val="20"/>
          <w:color w:val="auto"/>
        </w:rPr>
      </w:pPr>
    </w:p>
    <w:p>
      <w:pPr>
        <w:ind w:left="1162" w:hanging="1162"/>
        <w:spacing w:after="0"/>
        <w:tabs>
          <w:tab w:leader="none" w:pos="11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0.18</w:t>
      </w:r>
    </w:p>
    <w:p>
      <w:pPr>
        <w:spacing w:after="0" w:line="46" w:lineRule="exact"/>
        <w:rPr>
          <w:sz w:val="20"/>
          <w:szCs w:val="20"/>
          <w:color w:val="auto"/>
        </w:rPr>
      </w:pPr>
    </w:p>
    <w:p>
      <w:pPr>
        <w:ind w:left="1162" w:hanging="1162"/>
        <w:spacing w:after="0"/>
        <w:tabs>
          <w:tab w:leader="none" w:pos="11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0.18</w:t>
      </w:r>
    </w:p>
    <w:p>
      <w:pPr>
        <w:spacing w:after="0" w:line="46" w:lineRule="exact"/>
        <w:rPr>
          <w:sz w:val="20"/>
          <w:szCs w:val="20"/>
          <w:color w:val="auto"/>
        </w:rPr>
      </w:pPr>
    </w:p>
    <w:p>
      <w:pPr>
        <w:ind w:left="1162" w:hanging="1162"/>
        <w:spacing w:after="0"/>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0.18</w:t>
      </w:r>
    </w:p>
    <w:p>
      <w:pPr>
        <w:spacing w:after="0" w:line="45" w:lineRule="exact"/>
        <w:rPr>
          <w:rFonts w:ascii="Arial" w:cs="Arial" w:eastAsia="Arial" w:hAnsi="Arial"/>
          <w:sz w:val="16"/>
          <w:szCs w:val="16"/>
          <w:color w:val="auto"/>
        </w:rPr>
      </w:pPr>
    </w:p>
    <w:p>
      <w:pPr>
        <w:ind w:left="1162" w:hanging="1162"/>
        <w:spacing w:after="0"/>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0.36</w:t>
      </w:r>
    </w:p>
    <w:p>
      <w:pPr>
        <w:spacing w:after="0" w:line="245" w:lineRule="exact"/>
        <w:rPr>
          <w:sz w:val="20"/>
          <w:szCs w:val="20"/>
          <w:color w:val="auto"/>
        </w:rPr>
      </w:pPr>
    </w:p>
    <w:p>
      <w:pPr>
        <w:sectPr>
          <w:pgSz w:w="11900" w:h="16838" w:orient="portrait"/>
          <w:cols w:equalWidth="0" w:num="2">
            <w:col w:w="9400" w:space="238"/>
            <w:col w:w="1582"/>
          </w:cols>
          <w:pgMar w:left="320" w:top="125" w:right="3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245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Payable to unitholders of record at the close of business on October 30, 2020 for the period from July 1, 2020 through September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 in Subsidiaries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nine months ended September 30, 2020, we received $11 million of contributions from noncontrolling interests in Red River Pipeline Company LLC related to the Red River pipeline capacity expansion and paid distributions of $6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6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spacing w:after="0" w:line="21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2" w:lineRule="exact"/>
        <w:rPr>
          <w:sz w:val="20"/>
          <w:szCs w:val="20"/>
          <w:color w:val="auto"/>
        </w:rPr>
      </w:pPr>
    </w:p>
    <w:p>
      <w:pPr>
        <w:ind w:right="260" w:firstLine="607"/>
        <w:spacing w:after="0" w:line="259" w:lineRule="auto"/>
        <w:rPr>
          <w:sz w:val="20"/>
          <w:szCs w:val="20"/>
          <w:color w:val="auto"/>
        </w:rPr>
      </w:pPr>
      <w:r>
        <w:rPr>
          <w:rFonts w:ascii="Arial" w:cs="Arial" w:eastAsia="Arial" w:hAnsi="Arial"/>
          <w:sz w:val="18"/>
          <w:szCs w:val="18"/>
          <w:color w:val="auto"/>
        </w:rPr>
        <w:t>At September 30, 2020 and December 31, 2019,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September 30, 2020, net derivative positions related to these activities included:</w:t>
      </w:r>
    </w:p>
    <w:p>
      <w:pPr>
        <w:spacing w:after="0" w:line="146" w:lineRule="exact"/>
        <w:rPr>
          <w:sz w:val="20"/>
          <w:szCs w:val="20"/>
          <w:color w:val="auto"/>
        </w:rPr>
      </w:pPr>
    </w:p>
    <w:p>
      <w:pPr>
        <w:ind w:left="980" w:right="1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long position of 6.5 million barrels associated with our crude oil purchases, which was unwound ratably during October 2020 to match monthly average pricing.</w:t>
      </w:r>
    </w:p>
    <w:p>
      <w:pPr>
        <w:spacing w:after="0" w:line="116"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short time spread position of 4.7 million barrels, which hedges a portion of our anticipated crude oil lease gathering purchases through October 2021.</w:t>
      </w:r>
    </w:p>
    <w:p>
      <w:pPr>
        <w:spacing w:after="0" w:line="116"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net crude oil basis spread position of 3.1 million barrels at multiple locations through December 2021. These derivatives allow us to lock in grade basis differentials.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net short position of 36.5 million barrels through December 2022 related to anticipated net sales of crude oil and NGL inventory.</w:t>
      </w:r>
    </w:p>
    <w:p>
      <w:pPr>
        <w:spacing w:after="0" w:line="264"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i w:val="1"/>
          <w:iCs w:val="1"/>
          <w:color w:val="auto"/>
        </w:rPr>
        <w:t xml:space="preserve">Natural Gas Processing/NGL Fractionation </w:t>
      </w:r>
      <w:r>
        <w:rPr>
          <w:rFonts w:ascii="Arial" w:cs="Arial" w:eastAsia="Arial" w:hAnsi="Arial"/>
          <w:sz w:val="17"/>
          <w:szCs w:val="17"/>
          <w:color w:val="auto"/>
        </w:rPr>
        <w:t>— We purchase natural gas for processing and operational needs. Additionally, we purchase NGL</w:t>
      </w:r>
      <w:r>
        <w:rPr>
          <w:rFonts w:ascii="Arial" w:cs="Arial" w:eastAsia="Arial" w:hAnsi="Arial"/>
          <w:sz w:val="17"/>
          <w:szCs w:val="17"/>
          <w:i w:val="1"/>
          <w:iCs w:val="1"/>
          <w:color w:val="auto"/>
        </w:rPr>
        <w:t xml:space="preserve"> </w:t>
      </w:r>
      <w:r>
        <w:rPr>
          <w:rFonts w:ascii="Arial" w:cs="Arial" w:eastAsia="Arial" w:hAnsi="Arial"/>
          <w:sz w:val="17"/>
          <w:szCs w:val="17"/>
          <w:color w:val="auto"/>
        </w:rPr>
        <w:t>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September 30, 2020:</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Notional Volume</w:t>
            </w:r>
          </w:p>
        </w:tc>
        <w:tc>
          <w:tcPr>
            <w:tcW w:w="2180" w:type="dxa"/>
            <w:vAlign w:val="bottom"/>
          </w:tcPr>
          <w:p>
            <w:pPr>
              <w:spacing w:after="0"/>
              <w:rPr>
                <w:sz w:val="16"/>
                <w:szCs w:val="16"/>
                <w:color w:val="auto"/>
              </w:rPr>
            </w:pPr>
          </w:p>
        </w:tc>
      </w:tr>
      <w:tr>
        <w:trPr>
          <w:trHeight w:val="195"/>
        </w:trPr>
        <w:tc>
          <w:tcPr>
            <w:tcW w:w="6660" w:type="dxa"/>
            <w:vAlign w:val="bottom"/>
          </w:tcPr>
          <w:p>
            <w:pPr>
              <w:spacing w:after="0"/>
              <w:rPr>
                <w:sz w:val="16"/>
                <w:szCs w:val="16"/>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(Short)/Long</w:t>
            </w: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Tenor</w:t>
            </w:r>
          </w:p>
        </w:tc>
      </w:tr>
      <w:tr>
        <w:trPr>
          <w:trHeight w:val="22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Natural gas purchases</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23.8 Bcf</w:t>
            </w:r>
          </w:p>
        </w:tc>
        <w:tc>
          <w:tcPr>
            <w:tcW w:w="1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2021</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Propane sales</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(4.1)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Butane sales</w:t>
            </w:r>
          </w:p>
        </w:tc>
        <w:tc>
          <w:tcPr>
            <w:tcW w:w="2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(1.3) MMbls</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2021</w:t>
            </w: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Condensate sales (WTI position)</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(0.5) MMbls</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March 2021</w:t>
            </w:r>
          </w:p>
        </w:tc>
      </w:tr>
      <w:tr>
        <w:trPr>
          <w:trHeight w:val="230"/>
        </w:trPr>
        <w:tc>
          <w:tcPr>
            <w:tcW w:w="666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Fuel gas requirements </w:t>
            </w:r>
            <w:r>
              <w:rPr>
                <w:rFonts w:ascii="Arial" w:cs="Arial" w:eastAsia="Arial" w:hAnsi="Arial"/>
                <w:sz w:val="23"/>
                <w:szCs w:val="23"/>
                <w:color w:val="auto"/>
                <w:vertAlign w:val="superscript"/>
              </w:rPr>
              <w:t>(1)</w:t>
            </w:r>
          </w:p>
        </w:tc>
        <w:tc>
          <w:tcPr>
            <w:tcW w:w="23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16.2 Bcf</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r>
      <w:tr>
        <w:trPr>
          <w:trHeight w:val="304"/>
        </w:trPr>
        <w:tc>
          <w:tcPr>
            <w:tcW w:w="6660" w:type="dxa"/>
            <w:vAlign w:val="bottom"/>
          </w:tcPr>
          <w:p>
            <w:pPr>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0.8 TWh</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Positions to hedge a portion of our power supply and fuel gas requirements at our Canadian natural gas processing and fractionation plants.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commodity derivatives are not designated as a hedging relationship, as such, changes in the fair value are reported in earnings. A summary of the impact of our commodity derivatives recognized in earnings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3"/>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05"/>
        </w:trPr>
        <w:tc>
          <w:tcPr>
            <w:tcW w:w="58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Supply and Logistics segment revenues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Field operating costs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5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gain/(loss) from commodity derivative activity</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4"/>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676"/>
              <w:spacing w:after="0"/>
              <w:rPr>
                <w:sz w:val="20"/>
                <w:szCs w:val="20"/>
                <w:color w:val="auto"/>
              </w:rPr>
            </w:pPr>
            <w:r>
              <w:rPr>
                <w:rFonts w:ascii="Arial" w:cs="Arial" w:eastAsia="Arial" w:hAnsi="Arial"/>
                <w:sz w:val="18"/>
                <w:szCs w:val="18"/>
                <w:color w:val="auto"/>
                <w:w w:val="89"/>
              </w:rPr>
              <w:t>73</w:t>
            </w:r>
          </w:p>
        </w:tc>
      </w:tr>
      <w:tr>
        <w:trPr>
          <w:trHeight w:val="283"/>
        </w:trPr>
        <w:tc>
          <w:tcPr>
            <w:tcW w:w="860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4"/>
                <w:szCs w:val="24"/>
                <w:color w:val="auto"/>
              </w:rPr>
            </w:pPr>
          </w:p>
        </w:tc>
        <w:tc>
          <w:tcPr>
            <w:tcW w:w="1120" w:type="dxa"/>
            <w:vAlign w:val="bottom"/>
          </w:tcPr>
          <w:p>
            <w:pPr>
              <w:ind w:left="78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left="676"/>
              <w:spacing w:after="0"/>
              <w:rPr>
                <w:sz w:val="20"/>
                <w:szCs w:val="20"/>
                <w:color w:val="auto"/>
              </w:rPr>
            </w:pPr>
            <w:r>
              <w:rPr>
                <w:rFonts w:ascii="Arial" w:cs="Arial" w:eastAsia="Arial" w:hAnsi="Arial"/>
                <w:sz w:val="18"/>
                <w:szCs w:val="18"/>
                <w:color w:val="auto"/>
                <w:w w:val="93"/>
              </w:rPr>
              <w:t>(45)</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3"/>
              </w:rPr>
              <w:t>(75)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76"/>
              <w:spacing w:after="0"/>
              <w:rPr>
                <w:sz w:val="20"/>
                <w:szCs w:val="20"/>
                <w:color w:val="auto"/>
              </w:rPr>
            </w:pPr>
            <w:r>
              <w:rPr>
                <w:rFonts w:ascii="Arial" w:cs="Arial" w:eastAsia="Arial" w:hAnsi="Arial"/>
                <w:sz w:val="18"/>
                <w:szCs w:val="18"/>
                <w:color w:val="auto"/>
                <w:w w:val="93"/>
              </w:rPr>
              <w:t>(73)</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color w:val="auto"/>
              </w:rPr>
              <w:t>Net broker receivable/(payable)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676"/>
              <w:spacing w:after="0"/>
              <w:rPr>
                <w:sz w:val="20"/>
                <w:szCs w:val="20"/>
                <w:color w:val="auto"/>
              </w:rPr>
            </w:pPr>
            <w:r>
              <w:rPr>
                <w:rFonts w:ascii="Arial" w:cs="Arial" w:eastAsia="Arial" w:hAnsi="Arial"/>
                <w:sz w:val="18"/>
                <w:szCs w:val="18"/>
                <w:color w:val="auto"/>
                <w:w w:val="93"/>
              </w:rPr>
              <w:t>(45)</w:t>
            </w:r>
          </w:p>
        </w:tc>
      </w:tr>
      <w:tr>
        <w:trPr>
          <w:trHeight w:val="20"/>
        </w:trPr>
        <w:tc>
          <w:tcPr>
            <w:tcW w:w="8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ectPr>
          <w:pgSz w:w="11900" w:h="16838" w:orient="portrait"/>
          <w:cols w:equalWidth="0" w:num="1">
            <w:col w:w="11240"/>
          </w:cols>
          <w:pgMar w:left="320" w:top="125" w:right="339" w:bottom="1440" w:gutter="0" w:footer="0" w:header="0"/>
        </w:sect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5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11"/>
        </w:trPr>
        <w:tc>
          <w:tcPr>
            <w:tcW w:w="2540" w:type="dxa"/>
            <w:vAlign w:val="bottom"/>
          </w:tcPr>
          <w:p>
            <w:pPr>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25"/>
        </w:trPr>
        <w:tc>
          <w:tcPr>
            <w:tcW w:w="254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(49)</w:t>
            </w: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Arial" w:cs="Arial" w:eastAsia="Arial" w:hAnsi="Arial"/>
                <w:sz w:val="18"/>
                <w:szCs w:val="18"/>
                <w:color w:val="auto"/>
              </w:rPr>
              <w:t>Other long-term liabilities and</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vMerge w:val="restart"/>
          </w:tcPr>
          <w:p>
            <w:pPr>
              <w:jc w:val="center"/>
              <w:ind w:left="459"/>
              <w:spacing w:after="0"/>
              <w:rPr>
                <w:sz w:val="20"/>
                <w:szCs w:val="20"/>
                <w:color w:val="auto"/>
              </w:rPr>
            </w:pPr>
            <w:r>
              <w:rPr>
                <w:rFonts w:ascii="Arial" w:cs="Arial" w:eastAsia="Arial" w:hAnsi="Arial"/>
                <w:sz w:val="18"/>
                <w:szCs w:val="18"/>
                <w:color w:val="auto"/>
                <w:w w:val="93"/>
              </w:rPr>
              <w:t>(54)</w:t>
            </w:r>
          </w:p>
        </w:tc>
        <w:tc>
          <w:tcPr>
            <w:tcW w:w="0" w:type="dxa"/>
            <w:vAlign w:val="bottom"/>
          </w:tcPr>
          <w:p>
            <w:pPr>
              <w:spacing w:after="0"/>
              <w:rPr>
                <w:sz w:val="1"/>
                <w:szCs w:val="1"/>
                <w:color w:val="auto"/>
              </w:rPr>
            </w:pPr>
          </w:p>
        </w:tc>
      </w:tr>
      <w:tr>
        <w:trPr>
          <w:trHeight w:val="229"/>
        </w:trPr>
        <w:tc>
          <w:tcPr>
            <w:tcW w:w="2540" w:type="dxa"/>
            <w:vAlign w:val="bottom"/>
          </w:tcPr>
          <w:p>
            <w:pPr>
              <w:spacing w:after="0"/>
              <w:rPr>
                <w:sz w:val="20"/>
                <w:szCs w:val="20"/>
                <w:color w:val="auto"/>
              </w:rPr>
            </w:pPr>
            <w:r>
              <w:rPr>
                <w:rFonts w:ascii="Arial" w:cs="Arial" w:eastAsia="Arial" w:hAnsi="Arial"/>
                <w:sz w:val="18"/>
                <w:szCs w:val="18"/>
                <w:color w:val="auto"/>
              </w:rPr>
              <w:t>deferred credits</w:t>
            </w: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1156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27000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Effect of</w:t>
            </w:r>
          </w:p>
        </w:tc>
        <w:tc>
          <w:tcPr>
            <w:tcW w:w="120" w:type="dxa"/>
            <w:vAlign w:val="bottom"/>
          </w:tcPr>
          <w:p>
            <w:pPr>
              <w:spacing w:after="0"/>
              <w:rPr>
                <w:sz w:val="11"/>
                <w:szCs w:val="11"/>
                <w:color w:val="auto"/>
              </w:rPr>
            </w:pPr>
          </w:p>
        </w:tc>
        <w:tc>
          <w:tcPr>
            <w:tcW w:w="88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Commodity Derivatives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Presented on</w:t>
            </w:r>
          </w:p>
        </w:tc>
        <w:tc>
          <w:tcPr>
            <w:tcW w:w="0" w:type="dxa"/>
            <w:vAlign w:val="bottom"/>
          </w:tcPr>
          <w:p>
            <w:pPr>
              <w:spacing w:after="0"/>
              <w:rPr>
                <w:sz w:val="1"/>
                <w:szCs w:val="1"/>
                <w:color w:val="auto"/>
              </w:rPr>
            </w:pPr>
          </w:p>
        </w:tc>
      </w:tr>
      <w:tr>
        <w:trPr>
          <w:trHeight w:val="102"/>
        </w:trPr>
        <w:tc>
          <w:tcPr>
            <w:tcW w:w="2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Collateral</w:t>
            </w:r>
          </w:p>
        </w:tc>
        <w:tc>
          <w:tcPr>
            <w:tcW w:w="120" w:type="dxa"/>
            <w:vAlign w:val="bottom"/>
          </w:tcPr>
          <w:p>
            <w:pPr>
              <w:spacing w:after="0"/>
              <w:rPr>
                <w:sz w:val="8"/>
                <w:szCs w:val="8"/>
                <w:color w:val="auto"/>
              </w:rPr>
            </w:pPr>
          </w:p>
        </w:tc>
        <w:tc>
          <w:tcPr>
            <w:tcW w:w="88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the Balance</w:t>
            </w:r>
          </w:p>
        </w:tc>
        <w:tc>
          <w:tcPr>
            <w:tcW w:w="0" w:type="dxa"/>
            <w:vAlign w:val="bottom"/>
          </w:tcPr>
          <w:p>
            <w:pPr>
              <w:spacing w:after="0"/>
              <w:rPr>
                <w:sz w:val="1"/>
                <w:szCs w:val="1"/>
                <w:color w:val="auto"/>
              </w:rPr>
            </w:pPr>
          </w:p>
        </w:tc>
      </w:tr>
      <w:tr>
        <w:trPr>
          <w:trHeight w:val="201"/>
        </w:trPr>
        <w:tc>
          <w:tcPr>
            <w:tcW w:w="200" w:type="dxa"/>
            <w:vAlign w:val="bottom"/>
          </w:tcPr>
          <w:p>
            <w:pPr>
              <w:spacing w:after="0"/>
              <w:rPr>
                <w:sz w:val="17"/>
                <w:szCs w:val="17"/>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Netting</w:t>
            </w: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440"/>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center"/>
              <w:ind w:left="459"/>
              <w:spacing w:after="0"/>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(24)</w:t>
            </w: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35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80" w:type="dxa"/>
            <w:vAlign w:val="bottom"/>
          </w:tcPr>
          <w:p>
            <w:pPr>
              <w:jc w:val="center"/>
              <w:ind w:left="459"/>
              <w:spacing w:after="0"/>
              <w:rPr>
                <w:sz w:val="20"/>
                <w:szCs w:val="20"/>
                <w:color w:val="auto"/>
              </w:rPr>
            </w:pPr>
            <w:r>
              <w:rPr>
                <w:rFonts w:ascii="Arial" w:cs="Arial" w:eastAsia="Arial" w:hAnsi="Arial"/>
                <w:sz w:val="18"/>
                <w:szCs w:val="18"/>
                <w:color w:val="auto"/>
                <w:w w:val="93"/>
              </w:rPr>
              <w:t>(12)</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center"/>
              <w:ind w:left="419"/>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3" w:lineRule="exact"/>
        <w:rPr>
          <w:sz w:val="20"/>
          <w:szCs w:val="20"/>
          <w:color w:val="auto"/>
        </w:rPr>
      </w:pPr>
    </w:p>
    <w:p>
      <w:pPr>
        <w:sectPr>
          <w:pgSz w:w="11900" w:h="16838" w:orient="portrait"/>
          <w:cols w:equalWidth="0" w:num="2">
            <w:col w:w="6800" w:space="180"/>
            <w:col w:w="4260"/>
          </w:cols>
          <w:pgMar w:left="320" w:top="125" w:right="339" w:bottom="1440" w:gutter="0" w:footer="0" w:header="0"/>
          <w:type w:val="continuous"/>
        </w:sectPr>
      </w:pPr>
    </w:p>
    <w:p>
      <w:pPr>
        <w:spacing w:after="0" w:line="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terms of our outstanding interest rate derivatives as of September 30, 2020 (notional amounts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 Rate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60" w:type="dxa"/>
            <w:vAlign w:val="bottom"/>
            <w:gridSpan w:val="2"/>
            <w:vMerge w:val="continue"/>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Derivatives Employed</w:t>
            </w: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Termination Date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Locked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70"/>
        </w:trPr>
        <w:tc>
          <w:tcPr>
            <w:tcW w:w="266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rPr>
              <w:t>Anticipated interest payments</w:t>
            </w:r>
          </w:p>
        </w:tc>
        <w:tc>
          <w:tcPr>
            <w:tcW w:w="10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8 forward starting swaps</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2"/>
              </w:rPr>
              <w:t>6/15/2023</w:t>
            </w: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1.38 %</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Anticipated interest payments</w:t>
            </w:r>
          </w:p>
        </w:tc>
        <w:tc>
          <w:tcPr>
            <w:tcW w:w="248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8 forward starting swaps</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2"/>
              </w:rPr>
              <w:t>6/14/2024</w:t>
            </w:r>
          </w:p>
        </w:tc>
        <w:tc>
          <w:tcPr>
            <w:tcW w:w="120" w:type="dxa"/>
            <w:vAlign w:val="bottom"/>
          </w:tcPr>
          <w:p>
            <w:pPr>
              <w:spacing w:after="0"/>
              <w:rPr>
                <w:sz w:val="15"/>
                <w:szCs w:val="15"/>
                <w:color w:val="auto"/>
              </w:rPr>
            </w:pPr>
          </w:p>
        </w:tc>
        <w:tc>
          <w:tcPr>
            <w:tcW w:w="1440" w:type="dxa"/>
            <w:vAlign w:val="bottom"/>
          </w:tcPr>
          <w:p>
            <w:pPr>
              <w:jc w:val="right"/>
              <w:spacing w:after="0" w:line="176" w:lineRule="exact"/>
              <w:rPr>
                <w:sz w:val="20"/>
                <w:szCs w:val="20"/>
                <w:color w:val="auto"/>
              </w:rPr>
            </w:pPr>
            <w:r>
              <w:rPr>
                <w:rFonts w:ascii="Arial" w:cs="Arial" w:eastAsia="Arial" w:hAnsi="Arial"/>
                <w:sz w:val="18"/>
                <w:szCs w:val="18"/>
                <w:color w:val="auto"/>
              </w:rPr>
              <w:t>0.73 %</w:t>
            </w:r>
          </w:p>
        </w:tc>
        <w:tc>
          <w:tcPr>
            <w:tcW w:w="120" w:type="dxa"/>
            <w:vAlign w:val="bottom"/>
          </w:tcPr>
          <w:p>
            <w:pPr>
              <w:spacing w:after="0"/>
              <w:rPr>
                <w:sz w:val="15"/>
                <w:szCs w:val="15"/>
                <w:color w:val="auto"/>
              </w:rPr>
            </w:pPr>
          </w:p>
        </w:tc>
        <w:tc>
          <w:tcPr>
            <w:tcW w:w="1720" w:type="dxa"/>
            <w:vAlign w:val="bottom"/>
          </w:tcPr>
          <w:p>
            <w:pPr>
              <w:jc w:val="center"/>
              <w:spacing w:after="0" w:line="176"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(30-year)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September 30, 2020, there was a net loss of $290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We reclassified losses of $3 million and $2 million during the three months ended September 30,</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2020 and 2019, respectively, and losses of $8 million and $7 million during the nine months ended September 30, 2020 and 2019, respectively. Of the total net loss deferred in AOCI at September 30, 2020, we expect to reclassify a loss of $13 million to earnings in the next twelve months. We estimate that substantially all of the remaining deferred loss will be reclassified to earnings through 2054 as the underlying hedged transactions impact earnings. A portion of these amounts is based on market prices as of September 30, 2020; thus, actual amounts to be reclassified will differ and could vary materially as a result of changes in market conditions.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center"/>
              <w:ind w:left="362"/>
              <w:spacing w:after="0"/>
              <w:rPr>
                <w:sz w:val="20"/>
                <w:szCs w:val="20"/>
                <w:color w:val="auto"/>
              </w:rPr>
            </w:pPr>
            <w:r>
              <w:rPr>
                <w:rFonts w:ascii="Arial" w:cs="Arial" w:eastAsia="Arial" w:hAnsi="Arial"/>
                <w:sz w:val="14"/>
                <w:szCs w:val="14"/>
                <w:b w:val="1"/>
                <w:bCs w:val="1"/>
                <w:color w:val="auto"/>
                <w:w w:val="94"/>
              </w:rPr>
              <w:t>Nine Months Ended</w:t>
            </w:r>
          </w:p>
        </w:tc>
        <w:tc>
          <w:tcPr>
            <w:tcW w:w="440" w:type="dxa"/>
            <w:vAlign w:val="bottom"/>
          </w:tcPr>
          <w:p>
            <w:pPr>
              <w:spacing w:after="0"/>
              <w:rPr>
                <w:sz w:val="14"/>
                <w:szCs w:val="14"/>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4"/>
                <w:szCs w:val="14"/>
                <w:b w:val="1"/>
                <w:bCs w:val="1"/>
                <w:color w:val="auto"/>
                <w:w w:val="89"/>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w:t>
            </w:r>
          </w:p>
        </w:tc>
      </w:tr>
    </w:tbl>
    <w:p>
      <w:pPr>
        <w:spacing w:after="0" w:line="33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At September 30, 2020, the net fair value of our interest rate hedges, which were included in “Other long-term assets” and “Other long-term liabilities and deferred credits” on our Condensed Consolidated Balance Sheet, totaled $23 million and $6 million, respectively. At December 31, 2019, the fair value of these hedges was $44 million and included in “Other current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4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September 30, 2020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2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6780" w:type="dxa"/>
            <w:vAlign w:val="bottom"/>
            <w:tcBorders>
              <w:top w:val="single" w:sz="8" w:color="CCEEFF"/>
            </w:tcBorders>
            <w:shd w:val="clear" w:color="auto" w:fill="CCEEFF"/>
          </w:tcPr>
          <w:p>
            <w:pPr>
              <w:jc w:val="right"/>
              <w:ind w:right="219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$1.00 - $1.34</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118</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$1.00 - $1.34</w:t>
            </w:r>
          </w:p>
        </w:tc>
      </w:tr>
      <w:tr>
        <w:trPr>
          <w:trHeight w:val="230"/>
        </w:trPr>
        <w:tc>
          <w:tcPr>
            <w:tcW w:w="6580" w:type="dxa"/>
            <w:vAlign w:val="bottom"/>
          </w:tcPr>
          <w:p>
            <w:pPr>
              <w:jc w:val="right"/>
              <w:ind w:right="13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28</w:t>
            </w:r>
          </w:p>
        </w:tc>
        <w:tc>
          <w:tcPr>
            <w:tcW w:w="2020" w:type="dxa"/>
            <w:vAlign w:val="bottom"/>
          </w:tcPr>
          <w:p>
            <w:pPr>
              <w:jc w:val="right"/>
              <w:ind w:right="550"/>
              <w:spacing w:after="0"/>
              <w:rPr>
                <w:sz w:val="20"/>
                <w:szCs w:val="20"/>
                <w:color w:val="auto"/>
              </w:rPr>
            </w:pPr>
            <w:r>
              <w:rPr>
                <w:rFonts w:ascii="Arial" w:cs="Arial" w:eastAsia="Arial" w:hAnsi="Arial"/>
                <w:sz w:val="18"/>
                <w:szCs w:val="18"/>
                <w:color w:val="auto"/>
              </w:rPr>
              <w:t>$1.00 - $1.32</w:t>
            </w:r>
          </w:p>
        </w:tc>
      </w:tr>
    </w:tbl>
    <w:p>
      <w:pPr>
        <w:spacing w:after="0" w:line="30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These derivatives are not designated as a hedging relationship. As such, changes in fair value are recognized in earnings as a component of Supply and Logistics segment revenues. For the three months ended September 30, 2020 and 2019, the amounts recognized in earnings for our currency exchange rate hedges were a gain of $2 million and a loss of $1 million, respectively. For the nine months ended September 30, 2020 and 2019, the amounts recognized in earnings for our currency exchange rate hedges were a loss of $2 million and a gain of $6 million, respectively.</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At September 30, 2020, the net fair value of these currency exchange rate hedges was less than $1 million included in both “Other current assets” and “Other current liabilities” on our Condensed Consolidated Balance Sheet. At December 31, 2019, the net fair value of these currency exchange rate hedges, which was included in “Other current assets” and “Other current liabilities” on our Condensed Consolidated Balance Sheet, totaled $2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This embedded derivative is not designated as a hedging relationship and corresponding changes in fair value are recognized in “Other income/(expense), net” in our Condensed Consolidated Statement of Operations. For the three months ended September 30, 2020 and 2019, we recognized a loss of $10 million and a gain of $1 million, respectively. For the nine months ended September 30, 2020 and 2019, we recognized net gains of $7 million and $16 million, respectively. The fair value of the Preferred Distribution Rate Reset Option, which was included in “Other long-term liabilities and deferred credits” on our Condensed Consolidated Balance Sheets, totaled $27 million and $34 million at September 30, 2020 and December 31, 2019, respectively. See Note 13 to our Consolidated Financial Statements included in Part IV of our 2019 Annual Report on Form 10-K for additional information regarding our Series A preferred units and the Preferred Distribution Rate Reset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ectPr>
          <w:pgSz w:w="11900" w:h="16838" w:orient="portrait"/>
          <w:cols w:equalWidth="0" w:num="1">
            <w:col w:w="11220"/>
          </w:cols>
          <w:pgMar w:left="320" w:top="125" w:right="35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as of September 30, 2020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6"/>
                <w:szCs w:val="16"/>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2"/>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Commodity derivatives</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235"/>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center"/>
              <w:ind w:left="213"/>
              <w:spacing w:after="0"/>
              <w:rPr>
                <w:sz w:val="20"/>
                <w:szCs w:val="20"/>
                <w:color w:val="auto"/>
              </w:rPr>
            </w:pPr>
            <w:r>
              <w:rPr>
                <w:rFonts w:ascii="Arial" w:cs="Arial" w:eastAsia="Arial" w:hAnsi="Arial"/>
                <w:sz w:val="18"/>
                <w:szCs w:val="18"/>
                <w:color w:val="auto"/>
                <w:w w:val="93"/>
              </w:rPr>
              <w:t>(20)</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center"/>
              <w:ind w:left="173"/>
              <w:spacing w:after="0"/>
              <w:rPr>
                <w:sz w:val="20"/>
                <w:szCs w:val="20"/>
                <w:color w:val="auto"/>
              </w:rPr>
            </w:pPr>
            <w:r>
              <w:rPr>
                <w:rFonts w:ascii="Arial" w:cs="Arial" w:eastAsia="Arial" w:hAnsi="Arial"/>
                <w:sz w:val="18"/>
                <w:szCs w:val="18"/>
                <w:color w:val="auto"/>
                <w:w w:val="93"/>
              </w:rPr>
              <w:t>(77)</w:t>
            </w:r>
          </w:p>
        </w:tc>
        <w:tc>
          <w:tcPr>
            <w:tcW w:w="0" w:type="dxa"/>
            <w:vAlign w:val="bottom"/>
          </w:tcPr>
          <w:p>
            <w:pPr>
              <w:spacing w:after="0"/>
              <w:rPr>
                <w:sz w:val="1"/>
                <w:szCs w:val="1"/>
                <w:color w:val="auto"/>
              </w:rPr>
            </w:pP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19"/>
                <w:szCs w:val="19"/>
                <w:color w:val="auto"/>
              </w:rPr>
            </w:pPr>
          </w:p>
        </w:tc>
        <w:tc>
          <w:tcPr>
            <w:tcW w:w="76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00" w:type="dxa"/>
            <w:vAlign w:val="bottom"/>
          </w:tcPr>
          <w:p>
            <w:pPr>
              <w:jc w:val="center"/>
              <w:ind w:left="173"/>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Foreign currency derivatives</w:t>
            </w:r>
          </w:p>
        </w:tc>
        <w:tc>
          <w:tcPr>
            <w:tcW w:w="140" w:type="dxa"/>
            <w:vAlign w:val="bottom"/>
          </w:tcPr>
          <w:p>
            <w:pPr>
              <w:spacing w:after="0"/>
              <w:rPr>
                <w:sz w:val="19"/>
                <w:szCs w:val="19"/>
                <w:color w:val="auto"/>
              </w:rPr>
            </w:pPr>
          </w:p>
        </w:tc>
        <w:tc>
          <w:tcPr>
            <w:tcW w:w="76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00" w:type="dxa"/>
            <w:vAlign w:val="bottom"/>
          </w:tcPr>
          <w:p>
            <w:pPr>
              <w:jc w:val="center"/>
              <w:ind w:left="1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0"/>
                <w:szCs w:val="20"/>
                <w:color w:val="auto"/>
              </w:rPr>
            </w:pPr>
          </w:p>
        </w:tc>
        <w:tc>
          <w:tcPr>
            <w:tcW w:w="760" w:type="dxa"/>
            <w:vAlign w:val="bottom"/>
            <w:gridSpan w:val="2"/>
          </w:tcPr>
          <w:p>
            <w:pPr>
              <w:jc w:val="center"/>
              <w:ind w:left="1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center"/>
              <w:ind w:left="213"/>
              <w:spacing w:after="0"/>
              <w:rPr>
                <w:sz w:val="20"/>
                <w:szCs w:val="20"/>
                <w:color w:val="auto"/>
              </w:rPr>
            </w:pPr>
            <w:r>
              <w:rPr>
                <w:rFonts w:ascii="Arial" w:cs="Arial" w:eastAsia="Arial" w:hAnsi="Arial"/>
                <w:sz w:val="18"/>
                <w:szCs w:val="18"/>
                <w:color w:val="auto"/>
                <w:w w:val="93"/>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center"/>
              <w:ind w:left="173"/>
              <w:spacing w:after="0"/>
              <w:rPr>
                <w:sz w:val="20"/>
                <w:szCs w:val="20"/>
                <w:color w:val="auto"/>
              </w:rPr>
            </w:pPr>
            <w:r>
              <w:rPr>
                <w:rFonts w:ascii="Arial" w:cs="Arial" w:eastAsia="Arial" w:hAnsi="Arial"/>
                <w:sz w:val="18"/>
                <w:szCs w:val="18"/>
                <w:color w:val="auto"/>
                <w:w w:val="93"/>
              </w:rPr>
              <w:t>(27)</w:t>
            </w:r>
          </w:p>
        </w:tc>
        <w:tc>
          <w:tcPr>
            <w:tcW w:w="0" w:type="dxa"/>
            <w:vAlign w:val="bottom"/>
          </w:tcPr>
          <w:p>
            <w:pPr>
              <w:spacing w:after="0"/>
              <w:rPr>
                <w:sz w:val="1"/>
                <w:szCs w:val="1"/>
                <w:color w:val="auto"/>
              </w:rPr>
            </w:pPr>
          </w:p>
        </w:tc>
      </w:tr>
      <w:tr>
        <w:trPr>
          <w:trHeight w:val="223"/>
        </w:trPr>
        <w:tc>
          <w:tcPr>
            <w:tcW w:w="3840" w:type="dxa"/>
            <w:vAlign w:val="bottom"/>
            <w:gridSpan w:val="2"/>
          </w:tcPr>
          <w:p>
            <w:pPr>
              <w:ind w:left="12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center"/>
              <w:ind w:left="235"/>
              <w:spacing w:after="0"/>
              <w:rPr>
                <w:sz w:val="20"/>
                <w:szCs w:val="20"/>
                <w:color w:val="auto"/>
              </w:rPr>
            </w:pPr>
            <w:r>
              <w:rPr>
                <w:rFonts w:ascii="Arial" w:cs="Arial" w:eastAsia="Arial" w:hAnsi="Arial"/>
                <w:sz w:val="18"/>
                <w:szCs w:val="18"/>
                <w:color w:val="auto"/>
                <w:w w:val="93"/>
              </w:rPr>
              <w:t>(81)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center"/>
              <w:ind w:left="213"/>
              <w:spacing w:after="0"/>
              <w:rPr>
                <w:sz w:val="20"/>
                <w:szCs w:val="20"/>
                <w:color w:val="auto"/>
              </w:rPr>
            </w:pPr>
            <w:r>
              <w:rPr>
                <w:rFonts w:ascii="Arial" w:cs="Arial" w:eastAsia="Arial" w:hAnsi="Arial"/>
                <w:sz w:val="18"/>
                <w:szCs w:val="18"/>
                <w:color w:val="auto"/>
                <w:w w:val="93"/>
              </w:rPr>
              <w:t>(47)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center"/>
              <w:ind w:left="173"/>
              <w:spacing w:after="0"/>
              <w:rPr>
                <w:sz w:val="20"/>
                <w:szCs w:val="20"/>
                <w:color w:val="auto"/>
              </w:rPr>
            </w:pPr>
            <w:r>
              <w:rPr>
                <w:rFonts w:ascii="Arial" w:cs="Arial" w:eastAsia="Arial" w:hAnsi="Arial"/>
                <w:sz w:val="18"/>
                <w:szCs w:val="18"/>
                <w:color w:val="auto"/>
                <w:w w:val="93"/>
              </w:rPr>
              <w:t>(87)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-779145</wp:posOffset>
            </wp:positionV>
            <wp:extent cx="7020560" cy="7626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0560" cy="7626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Fair Value as of 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center"/>
              <w:ind w:left="233"/>
              <w:spacing w:after="0"/>
              <w:rPr>
                <w:sz w:val="20"/>
                <w:szCs w:val="20"/>
                <w:color w:val="auto"/>
              </w:rPr>
            </w:pPr>
            <w:r>
              <w:rPr>
                <w:rFonts w:ascii="Arial" w:cs="Arial" w:eastAsia="Arial" w:hAnsi="Arial"/>
                <w:sz w:val="18"/>
                <w:szCs w:val="18"/>
                <w:color w:val="auto"/>
                <w:w w:val="93"/>
              </w:rPr>
              <w:t>(17)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center"/>
              <w:ind w:left="23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center"/>
              <w:ind w:left="233"/>
              <w:spacing w:after="0"/>
              <w:rPr>
                <w:sz w:val="20"/>
                <w:szCs w:val="20"/>
                <w:color w:val="auto"/>
              </w:rPr>
            </w:pPr>
            <w:r>
              <w:rPr>
                <w:rFonts w:ascii="Arial" w:cs="Arial" w:eastAsia="Arial" w:hAnsi="Arial"/>
                <w:sz w:val="18"/>
                <w:szCs w:val="18"/>
                <w:color w:val="auto"/>
                <w:w w:val="93"/>
              </w:rPr>
              <w:t>(51)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220"/>
            <w:col w:w="3660"/>
          </w:cols>
          <w:pgMar w:left="320" w:top="125" w:right="359" w:bottom="1440" w:gutter="0" w:footer="0" w:header="0"/>
          <w:type w:val="continuous"/>
        </w:sectPr>
      </w:pPr>
    </w:p>
    <w:p>
      <w:pPr>
        <w:spacing w:after="0" w:line="305"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25" w:lineRule="exact"/>
        <w:rPr>
          <w:rFonts w:ascii="Arial" w:cs="Arial" w:eastAsia="Arial" w:hAnsi="Arial"/>
          <w:sz w:val="23"/>
          <w:szCs w:val="23"/>
          <w:color w:val="auto"/>
          <w:vertAlign w:val="superscript"/>
        </w:rPr>
      </w:pPr>
    </w:p>
    <w:p>
      <w:pPr>
        <w:ind w:left="660"/>
        <w:spacing w:after="0" w:line="263"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8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25" w:lineRule="exact"/>
        <w:rPr>
          <w:rFonts w:ascii="Arial" w:cs="Arial" w:eastAsia="Arial" w:hAnsi="Arial"/>
          <w:sz w:val="23"/>
          <w:szCs w:val="23"/>
          <w:color w:val="auto"/>
          <w:vertAlign w:val="superscript"/>
        </w:rPr>
      </w:pPr>
    </w:p>
    <w:p>
      <w:pPr>
        <w:ind w:left="660" w:right="80"/>
        <w:spacing w:after="0" w:line="311"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80"/>
        <w:spacing w:after="0" w:line="308" w:lineRule="auto"/>
        <w:rPr>
          <w:sz w:val="20"/>
          <w:szCs w:val="20"/>
          <w:color w:val="auto"/>
        </w:rPr>
      </w:pPr>
      <w:r>
        <w:rPr>
          <w:rFonts w:ascii="Arial" w:cs="Arial" w:eastAsia="Arial" w:hAnsi="Arial"/>
          <w:sz w:val="17"/>
          <w:szCs w:val="17"/>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46" w:lineRule="exact"/>
        <w:rPr>
          <w:sz w:val="20"/>
          <w:szCs w:val="20"/>
          <w:color w:val="auto"/>
        </w:rPr>
      </w:pPr>
    </w:p>
    <w:p>
      <w:pPr>
        <w:ind w:left="660" w:right="140"/>
        <w:spacing w:after="0" w:line="257" w:lineRule="auto"/>
        <w:rPr>
          <w:sz w:val="20"/>
          <w:szCs w:val="20"/>
          <w:color w:val="auto"/>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Condensed Consolidated Statements of Operations as Supply and Logistics segment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8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20" w:type="dxa"/>
            <w:vAlign w:val="bottom"/>
            <w:tcBorders>
              <w:top w:val="single" w:sz="8" w:color="auto"/>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Change in unrealized gains/(losses) included in earnings relating to Level 3</w:t>
            </w:r>
          </w:p>
        </w:tc>
        <w:tc>
          <w:tcPr>
            <w:tcW w:w="820" w:type="dxa"/>
            <w:vAlign w:val="bottom"/>
            <w:vMerge w:val="restart"/>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still held at the end of the period</w:t>
            </w:r>
          </w:p>
        </w:tc>
        <w:tc>
          <w:tcPr>
            <w:tcW w:w="82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See Note 17 to our Consolidated Financial Statements included in Part IV of our 2019 Annual Report on Form 10-K for a complete discussion of our 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September 30, 2020 and December 31, 2019, we owned 553,800,444 and 549,538,139, respectively, Class C shares of PAGP. The Class C shares represent a non-economic limited partner interest in PAGP that provides us a “pass-through” voting mechanism through which we, as the sole holder, vote on behalf of our common unitholders and Series A preferred unitholders, who have the right to vote, pro rata with the holders of Class A and Class B shares of PAGP, for the election of eligible PAGP GP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Our other related parties include (i) principal owners and their affiliated entities and (ii) entities in which we hold investments and account for under the equity method of accounting (see Note 7 for information regarding such entities). We recognize as our principal owners entities that have a designated representative on the board of directors of PAGP GP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 As of September 30, 2020, Kayne Anderson Capital Advisors, L.P. was a principal owner.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During the three and nine months ended September 30, 2020 and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4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6"/>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4"/>
        </w:trPr>
        <w:tc>
          <w:tcPr>
            <w:tcW w:w="5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56"/>
        </w:trPr>
        <w:tc>
          <w:tcPr>
            <w:tcW w:w="5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5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(1) (2)</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80" w:hanging="652"/>
        <w:spacing w:after="0" w:line="227" w:lineRule="auto"/>
        <w:tabs>
          <w:tab w:leader="none" w:pos="64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40" w:lineRule="exact"/>
        <w:rPr>
          <w:rFonts w:ascii="Arial" w:cs="Arial" w:eastAsia="Arial" w:hAnsi="Arial"/>
          <w:sz w:val="23"/>
          <w:szCs w:val="23"/>
          <w:color w:val="auto"/>
          <w:vertAlign w:val="superscript"/>
        </w:rPr>
      </w:pPr>
    </w:p>
    <w:p>
      <w:pPr>
        <w:ind w:left="660" w:right="140" w:hanging="652"/>
        <w:spacing w:after="0" w:line="254" w:lineRule="auto"/>
        <w:tabs>
          <w:tab w:leader="none" w:pos="64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Revenues and purchases and related costs from related parties for 2019 include transactions with The Energy &amp; Minerals Group (“EMG”) and its subsidiaries through May 2019 and Occidental Petroleum Corporation (“Oxy”) and its subsidiaries through September 2019. Following transactions reducing EMG and Oxy’s ownership interest in AAP in May and September 2019, respectively, EMG and Oxy are no longer recognized as principal owners. See Note 17 to our 2019 Annual Report on Form 10-K for additional information.</w:t>
      </w:r>
    </w:p>
    <w:p>
      <w:pPr>
        <w:spacing w:after="0" w:line="27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receivable and payable amounts with these related parties as reflected on our Condensed Consolidated Balance Sheets were as follows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r>
      <w:tr>
        <w:trPr>
          <w:trHeight w:val="224"/>
        </w:trPr>
        <w:tc>
          <w:tcPr>
            <w:tcW w:w="8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56"/>
        </w:trPr>
        <w:tc>
          <w:tcPr>
            <w:tcW w:w="8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12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investment capital projects of equity method investees where we serve as construction manager.</w:t>
      </w:r>
    </w:p>
    <w:p>
      <w:pPr>
        <w:spacing w:after="0" w:line="8" w:lineRule="exact"/>
        <w:rPr>
          <w:sz w:val="20"/>
          <w:szCs w:val="20"/>
          <w:color w:val="auto"/>
        </w:rPr>
      </w:pPr>
    </w:p>
    <w:p>
      <w:pPr>
        <w:ind w:right="100" w:hanging="11"/>
        <w:spacing w:after="0" w:line="263" w:lineRule="auto"/>
        <w:rPr>
          <w:sz w:val="20"/>
          <w:szCs w:val="20"/>
          <w:color w:val="auto"/>
        </w:rPr>
      </w:pPr>
      <w:r>
        <w:rPr>
          <w:rFonts w:ascii="Arial" w:cs="Arial" w:eastAsia="Arial" w:hAnsi="Arial"/>
          <w:sz w:val="18"/>
          <w:szCs w:val="18"/>
          <w:color w:val="auto"/>
        </w:rPr>
        <w:t>We have agreements to store and transport crude oil at posted tariff rates on pipelines or at facilities that are owned by equity method investees, in which we own a 50% interest.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19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At September 30, 2020, our estimated undiscounted reserve for environmental liabilities (including liabilities related to the Line 901 incident, as discussed further below) totaled $188 million, of which $143 million was classified as short-term and $45 million was classified as long-term. At December 31, 2019, our estimated undiscounted reserve for environmental liabilities (including liabilities related to the Line 901 incident) totaled $140 million, of which $60 million was classified as short-term and $80 million was classified as long-term. Such short- and long-term environmental liabilities are reflected in “Other current liabilities” and “Other long-term liabilities and deferred credits,” respectively, on our Condensed Consolidated Balance Sheets. At September 30, 2020, we had recorded receivables totaling $120 million for amounts probable of recovery under insurance and from third parties under indemnification agreements, of which $119 million was classified as short-term and $1 million was classified as long-term. At December 31, 2019, we had recorded $72 million of such receivables, of which $35 million was classified as short-term and $37 million was classified as long-term. Such short- and long-term receivables are reflected in “Trade accounts receivable and other receivables, net” and “Other long-term assets, net,” respectively,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spacing w:after="0" w:line="20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Set forth below is a brief summary of actions and matters that are currently pending:</w:t>
      </w:r>
    </w:p>
    <w:p>
      <w:pPr>
        <w:spacing w:after="0" w:line="184"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the Partnership and the Trustees jointly and independently planned and conducted a number of natural resource assessment activities related to the Line 901 incident. On March 13, 2020, the United States and the People of the State of California filed a civil complaint against Plains All American Pipeline, L.P. and Plains Pipeline L.P. along with a pre-negotiated settlement agreement in the form of a Consent Decree (the “Consent Decree”). The Consent Decree, which was signed by the United States Department of Justice, Environmental and Natural Resources Division, the United States Department of Transportation, Pipeline and Hazardous Materials Safety Administration, the United States Environmental Protection Agency,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settles all of the claims asserted in the lawsuit. The Consent Decree requires Plains to pay $24 million in civil penalties and implement certain agreed-upon injunctive relief, and pay $22.325 million as compensation for injuries to, destruction of, loss of, or loss of use of natural resources resulting from the Line 901 incident. The Consent Decree also contains the requirements for restarting Line 901 and the Sisquoc to Pentland portion of Line 903. The Consent Decree was approved and entered by the Federal District Court for the Central District of California on October 14, 2020. We have included the costs associated with the Consent Decree settlement in the loss accrual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 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19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processed those claims and made payments as appropriate. In addition, we have also had nine class action lawsuits filed against us, six of which were administratively consolidated into a single proceeding in the United States District Court for the Central District of California. In general, the plaintiffs are seeking to establish different classes of claimants that have allegedly been damaged by the release. The court originally certified three sub-classes of claimants and denied certification of the other proposed sub-class. On appeal, the Ninth Circuit Court of Appeals overturned the certification of one of the three sub-classes, the oil-industry sub-class, and the District Court subsequently dismissed the oil-industry sub-class representatives’ claims. The two remaining sub-classes include (i) commercial fishermen who landed fish in certain specified fishing blocks in the waters off the coast of Southern California or persons or businesses who resold commercial seafood landed in such areas; and (ii) residential beachfront properties on a beach and residential properties with a private easement to a beach where oil from the spill washed up. The September 2020 trial date initially set by the Court has been postponed due to COVID-19 related trial suspensions.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In addition, four unitholder derivative lawsuits were filed by certain purported investors in the Partnership against PAGP and certain of the Partnership’s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the Partnership and all affiliates of the Partnership,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16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 The majority of these lawsuits have been settled or dismissed by the court. We may be subject to additional claims and lawsuits, which could materially impact the liabilities and costs we currently expect to incur as a result of the Line 901 incident.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September 30, 2020, we estimate that the aggregate total costs we have incurred or will incur with respect to the Line 901 incident will be approximately $455 million, which estimate includes actual and projected emergency response and clean-up costs, natural resource damage assessments, fines and penalties payable pursuant to the Consent Decree and certain third party claims settlements, as well as estimates for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 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3"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As of September 30, 2020, we had a remaining undiscounted gross liability of $134 million related to this event, which is presented in “Other current liabilities” on our Condensed Consolidated Balance Sheet.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September 30, 2020, we had collected, subject to customary reservations, $218 million out of the approximate $330 million of release costs that we believe are probable of recovery from insurance carriers, net of deductibles. Therefore, as of September 30, 2020, we have recognized a receivable of approximately $112 million for the portion of the release costs that we believe is probable of recovery from insurance, net of deductibles and amounts already collected. Such amount is recognized as a current asset in “Trade accounts receivable and other receivables, net” on our Condensed Consolidated Balance Sheet.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See Note 3 to our Consolidated Financial Statements included in Part IV of our 2019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21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1"/>
              <w:spacing w:after="0"/>
              <w:rPr>
                <w:sz w:val="20"/>
                <w:szCs w:val="20"/>
                <w:color w:val="auto"/>
              </w:rPr>
            </w:pPr>
            <w:r>
              <w:rPr>
                <w:rFonts w:ascii="Arial" w:cs="Arial" w:eastAsia="Arial" w:hAnsi="Arial"/>
                <w:sz w:val="14"/>
                <w:szCs w:val="14"/>
                <w:b w:val="1"/>
                <w:bCs w:val="1"/>
                <w:color w:val="auto"/>
              </w:rPr>
              <w:t>Supply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Intersegment</w:t>
            </w:r>
          </w:p>
        </w:tc>
        <w:tc>
          <w:tcPr>
            <w:tcW w:w="300" w:type="dxa"/>
            <w:vAlign w:val="bottom"/>
          </w:tcPr>
          <w:p>
            <w:pPr>
              <w:spacing w:after="0"/>
              <w:rPr>
                <w:sz w:val="14"/>
                <w:szCs w:val="14"/>
                <w:color w:val="auto"/>
              </w:rPr>
            </w:pPr>
          </w:p>
        </w:tc>
        <w:tc>
          <w:tcPr>
            <w:tcW w:w="10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11"/>
              <w:spacing w:after="0"/>
              <w:rPr>
                <w:sz w:val="20"/>
                <w:szCs w:val="20"/>
                <w:color w:val="auto"/>
              </w:rPr>
            </w:pPr>
            <w:r>
              <w:rPr>
                <w:rFonts w:ascii="Arial" w:cs="Arial" w:eastAsia="Arial" w:hAnsi="Arial"/>
                <w:sz w:val="14"/>
                <w:szCs w:val="14"/>
                <w:b w:val="1"/>
                <w:bCs w:val="1"/>
                <w:color w:val="auto"/>
              </w:rPr>
              <w:t>Logistics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2019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24,515</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Equity earnings in unconsolidated entities</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 of December 31, 2019</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24599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20" w:hanging="11"/>
        <w:spacing w:after="0" w:line="273"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to our Consolidated Financial Statements included in Part IV of our 2019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p>
      <w:pPr>
        <w:spacing w:after="0" w:line="70" w:lineRule="exact"/>
        <w:rPr>
          <w:sz w:val="20"/>
          <w:szCs w:val="20"/>
          <w:color w:val="auto"/>
        </w:rPr>
      </w:pPr>
    </w:p>
    <w:p>
      <w:pPr>
        <w:ind w:right="160" w:hanging="11"/>
        <w:spacing w:after="0" w:line="311" w:lineRule="auto"/>
        <w:rPr>
          <w:sz w:val="20"/>
          <w:szCs w:val="20"/>
          <w:color w:val="auto"/>
        </w:rPr>
      </w:pPr>
      <w:r>
        <w:rPr>
          <w:rFonts w:ascii="Arial" w:cs="Arial" w:eastAsia="Arial" w:hAnsi="Arial"/>
          <w:sz w:val="16"/>
          <w:szCs w:val="16"/>
          <w:color w:val="auto"/>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income/(loss) attributable to PAA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18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8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5"/>
        </w:trPr>
        <w:tc>
          <w:tcPr>
            <w:tcW w:w="5860" w:type="dxa"/>
            <w:vAlign w:val="bottom"/>
          </w:tcPr>
          <w:p>
            <w:pPr>
              <w:ind w:left="180"/>
              <w:spacing w:after="0" w:line="176" w:lineRule="exact"/>
              <w:rPr>
                <w:sz w:val="20"/>
                <w:szCs w:val="20"/>
                <w:color w:val="auto"/>
              </w:rPr>
            </w:pPr>
            <w:r>
              <w:rPr>
                <w:rFonts w:ascii="Arial" w:cs="Arial" w:eastAsia="Arial" w:hAnsi="Arial"/>
                <w:sz w:val="18"/>
                <w:szCs w:val="18"/>
                <w:color w:val="auto"/>
              </w:rPr>
              <w:t>Gains/(losses) from derivative activities, net of inventory valuation</w:t>
            </w:r>
          </w:p>
        </w:tc>
        <w:tc>
          <w:tcPr>
            <w:tcW w:w="8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86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8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8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8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tax</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(expense)/benefit</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PAA</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our proportionate share of the depreciation and amortization of unconsolidated entities.</w:t>
      </w:r>
    </w:p>
    <w:p>
      <w:pPr>
        <w:spacing w:after="0" w:line="117"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20"/>
        <w:spacing w:after="0" w:line="275" w:lineRule="auto"/>
        <w:rPr>
          <w:sz w:val="20"/>
          <w:szCs w:val="20"/>
          <w:color w:val="auto"/>
        </w:rPr>
      </w:pPr>
      <w:r>
        <w:rPr>
          <w:rFonts w:ascii="Arial" w:cs="Arial" w:eastAsia="Arial" w:hAnsi="Arial"/>
          <w:sz w:val="17"/>
          <w:szCs w:val="17"/>
          <w:color w:val="auto"/>
        </w:rPr>
        <w:t>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68" w:lineRule="exact"/>
        <w:rPr>
          <w:sz w:val="20"/>
          <w:szCs w:val="20"/>
          <w:color w:val="auto"/>
        </w:rPr>
      </w:pPr>
    </w:p>
    <w:p>
      <w:pPr>
        <w:ind w:left="20" w:hanging="11"/>
        <w:spacing w:after="0" w:line="296"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53"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for additional information regarding the Line 901 incident.</w:t>
      </w:r>
    </w:p>
    <w:p>
      <w:pPr>
        <w:spacing w:after="0" w:line="62" w:lineRule="exact"/>
        <w:rPr>
          <w:sz w:val="20"/>
          <w:szCs w:val="20"/>
          <w:color w:val="auto"/>
        </w:rPr>
      </w:pPr>
    </w:p>
    <w:p>
      <w:pPr>
        <w:ind w:left="20" w:right="60" w:hanging="11"/>
        <w:spacing w:after="0" w:line="286" w:lineRule="auto"/>
        <w:rPr>
          <w:sz w:val="20"/>
          <w:szCs w:val="20"/>
          <w:color w:val="auto"/>
        </w:rPr>
      </w:pPr>
      <w:r>
        <w:rPr>
          <w:rFonts w:ascii="Arial" w:cs="Arial" w:eastAsia="Arial" w:hAnsi="Arial"/>
          <w:sz w:val="17"/>
          <w:szCs w:val="17"/>
          <w:color w:val="auto"/>
        </w:rPr>
        <w:t>Includes acquisition-related expenses associated with the Felix Midstream LLC acquisition. See Note 14 for additional discussion. An adjustment for these non-recurring expenses is included in the calculation of Segment Adjusted EBITDA for the nine months ended September 30, 2020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560"/>
          </w:cols>
          <w:pgMar w:left="320" w:top="125" w:right="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14—Acquisitions, Divestitures and Asset Impairments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 xml:space="preserve">Felix Midstream LLC. </w:t>
      </w:r>
      <w:r>
        <w:rPr>
          <w:rFonts w:ascii="Arial" w:cs="Arial" w:eastAsia="Arial" w:hAnsi="Arial"/>
          <w:sz w:val="16"/>
          <w:szCs w:val="16"/>
          <w:color w:val="auto"/>
        </w:rPr>
        <w:t>In February 2020, we acquired Felix Midstream LLC, now known as FM Gathering LLC (“FM Gathering”) from Felix</w:t>
      </w:r>
      <w:r>
        <w:rPr>
          <w:rFonts w:ascii="Arial" w:cs="Arial" w:eastAsia="Arial" w:hAnsi="Arial"/>
          <w:sz w:val="16"/>
          <w:szCs w:val="16"/>
          <w:i w:val="1"/>
          <w:iCs w:val="1"/>
          <w:color w:val="auto"/>
        </w:rPr>
        <w:t xml:space="preserve"> </w:t>
      </w:r>
      <w:r>
        <w:rPr>
          <w:rFonts w:ascii="Arial" w:cs="Arial" w:eastAsia="Arial" w:hAnsi="Arial"/>
          <w:sz w:val="16"/>
          <w:szCs w:val="16"/>
          <w:color w:val="auto"/>
        </w:rPr>
        <w:t>Energy Holdings II, LLC for approximately $300 million, net of working capital and other adjustments. FM Gathering owns and operates a newly constructed crude oil gathering system in the Delaware Basin, with associated crude oil storage and truck offloading capacity, and is supported by a long-term acreage dedication. The assets acquired are primarily included in our Transportation and Supply and Logistics segments. This acquisition was accounted for using the acquisition method of accounting and the determination of the fair value of the assets acquired and liabilities assumed has been estimated in accordance with the applicable accounting guidance. The assets acquired primarily consisted of property and equipment of $115 million and intangible assets of $187 million. The fair value of the tangible assets is a Level 3 measurement in the fair value hierarchy and was determined using a cost approach. The cost approach was based on costs incurred on similar recent construction projects. The fair value of the intangible assets is also a Level 3 measurement in the fair value hierarchy and was determined by applying a discounted cash flow approach. Such approach utilized discount rates varying from 18% to 19%, based on our estimate of the risk that a theoretical market participant would assign to the respective intangible assets.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 xml:space="preserve">Saddlehorn Pipeline Company, LLC. </w:t>
      </w:r>
      <w:r>
        <w:rPr>
          <w:rFonts w:ascii="Arial" w:cs="Arial" w:eastAsia="Arial" w:hAnsi="Arial"/>
          <w:sz w:val="18"/>
          <w:szCs w:val="18"/>
          <w:color w:val="auto"/>
        </w:rPr>
        <w:t>In February 2020, we sold a 10% ownership interest in Saddlehorn Pipeline Company, LLC for proceeds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$78 million. We recorded a gain of approximately $21 million related to this sale, which is included in “Gain on/(impairment of) investments in unconsolidated entities, net” on our Condensed Consolidated Statement of Operations.</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i w:val="1"/>
          <w:iCs w:val="1"/>
          <w:color w:val="auto"/>
        </w:rPr>
        <w:t>Assets Held For Sale</w:t>
      </w:r>
      <w:r>
        <w:rPr>
          <w:rFonts w:ascii="Arial" w:cs="Arial" w:eastAsia="Arial" w:hAnsi="Arial"/>
          <w:sz w:val="17"/>
          <w:szCs w:val="17"/>
          <w:color w:val="auto"/>
        </w:rPr>
        <w:t>. As of September 30, 2020, we classified approximately $224 million as assets held for sale on our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(in “Other current assets”). The assets held for sale, which were valued at the lower of the carrying amount or fair value less costs to sell, are primarily property and equipment related to transactions to divest our interests in certain Los Angeles Basin (“LA Basin”) terminals included in our Facilities segment. In January 2020, we signed a definitive agreement to sell certain of our LA Basin crude oil terminals. This transaction closed in the fourth quarter of 2020 for proceeds of approximately $200 million, subject to certain adjustments.</w:t>
      </w:r>
    </w:p>
    <w:p>
      <w:pPr>
        <w:spacing w:after="0" w:line="20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2020, certain NGL terminals included in our Facilities segment were also classified as held for sale. In April 2020, the transaction closed for proceeds of approximately $163 million, subject to certain adjustments.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Upon these classifications to assets held for sale, we recognized non-cash impairment losses of approximately $167 million during the first quarter of 2020. Such impairment losses are reflected in “(Gains)/losses on asset sales and asset impairments, net” on our Condensed Consolidated Statement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 (Held and Used)</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nine months ended September 30, 2020, we recognized approximately $648 million of non-cash impairment losses related to certain pipeline and other long-lived assets included in our Transportation and Facilities segments, along with certain of our investments in unconsolidated entities. Of these losses, approximately $446 million is reflected in “(Gains)/losses on asset sales and asset impairments, net” with the remainder reflected in “Gain on/(impairment of) investments in unconsolidated entities, net” on our Condensed Consolidated Statement of Operations. See Note 7 for additional information regarding our investments in unconsolidated entities.</w:t>
      </w:r>
    </w:p>
    <w:p>
      <w:pPr>
        <w:spacing w:after="0" w:line="21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current macroeconomic and geopolitical conditions including the collapse of oil prices driven by both the decrease in demand caused by the COVID-19 pandemic and excess supply, as well as changing market conditions and expected lower crude oil production in certain regions, resulted in expected decreases in future cash flows for certain of our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(which we consider a Level 3 measurement in the fair value hierarchy) were based upon a discounted cash flow approach utilizing various assumptions and the application of a discount rate of approximately 14%, which represents our estimate of the cost of capital of a theoretical market participant. Such assumptions included (but were not limited to) (i) volumes (consistent with historical information and estimates of future drilling and completion activity), (ii) tariff rates, (iii) future commodity prices (based on relevant indices and applicable quality and location differentials), and (iv) estimated fixed and variable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2019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Operations—Analysis of Operating Segments” for further discussion.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 &amp; Outlook</w:t>
      </w:r>
    </w:p>
    <w:p>
      <w:pPr>
        <w:spacing w:after="0" w:line="252" w:lineRule="exact"/>
        <w:rPr>
          <w:sz w:val="20"/>
          <w:szCs w:val="20"/>
          <w:color w:val="auto"/>
        </w:rPr>
      </w:pPr>
    </w:p>
    <w:p>
      <w:pPr>
        <w:ind w:right="180" w:firstLine="648"/>
        <w:spacing w:after="0" w:line="276" w:lineRule="auto"/>
        <w:rPr>
          <w:sz w:val="20"/>
          <w:szCs w:val="20"/>
          <w:color w:val="auto"/>
        </w:rPr>
      </w:pPr>
      <w:r>
        <w:rPr>
          <w:rFonts w:ascii="Arial" w:cs="Arial" w:eastAsia="Arial" w:hAnsi="Arial"/>
          <w:sz w:val="16"/>
          <w:szCs w:val="16"/>
          <w:color w:val="auto"/>
        </w:rPr>
        <w:t>During the first quarter of 2020, COVID-19 escalated into a global pandemic, which led to widespread shelter-in-place or similar requirements throughout North America and across the world, resulting in significantly reduced energy demand. As a result, North American producers responded aggressively by shutting in significant levels of production early in the second quarter, which mitigated the pace of crude oil inventory builds and the risk of testing storage maximums. Subsequently, United States refinery utilization increased, the previously steep contango market structure tempered, and crude oil prices improved to more constructive levels. This supported the ability for producers to bring a substantial portion of previously shut-in production back on line and resume completion activity during the third quarter at a level likely to be sufficient to offset natural declines.</w:t>
      </w:r>
    </w:p>
    <w:p>
      <w:pPr>
        <w:spacing w:after="0" w:line="188"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Additionally, in the third quarter, United States Lower 48 horizontal crude oil rig counts increased modestly but as of quarter end represented approximately 25% of peak levels reached in 2019. Additionally, although United States inventories of crude oil and distillate had constructive draws during the third quarter, they remained elevated relative to their prior five-year range. The combination of steep shale declines relative to drilling and completion activity, substantial inventory overhang, and the potential for a prolonged demand recovery has challenged the ability of North American liquids production to return to a sustainable growth trajectory in 2020, and which is likely to persist into 2021. Furthermore, we expect a continuation of elevated near-term market uncertainty to be driven by various risks, including potential COVID-19 resurgence, regulatory changes and evolving geo-political dynamics. In aggregate, we expect these market dynamics to have a negative impact on our business relative to pre-pandemic levels, with the impacts in 2021 potentially being more pronounced than in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We believe our business is well positioned to manage through the current challenging market environment. We expect global demand for hydrocarbons will recover, which should drive a return of constructive crude oil price levels and higher production levels in key onshore shale basins, which should support growing demand for our assets.</w:t>
      </w:r>
    </w:p>
    <w:p>
      <w:pPr>
        <w:spacing w:after="0" w:line="211"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addition, in response to the challenging near-term market conditions, we have taken steps to further strengthen our balance sheet, liquidity and long-term financial flexibility. These actions include significantly reducing and continuing to challenge our capital program, reducing the amount of our common unit distribution payable, progressing asset sales, and reducing costs, while remaining focused on operating safely and responsibly.</w:t>
      </w:r>
    </w:p>
    <w:p>
      <w:pPr>
        <w:spacing w:after="0" w:line="176"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Specifically, since April, we have reduced our 2020/2021 capital program by $850 million, or 37%, and have decreased our common unit distributions and PAGP’s Class A share distributions by 50% versus the distributions paid in February 2020, which reflects a reduction of $525 million on an annualized basis. We have completed approximately $450 million of asset sales (which amount includes an approximately $200 million asset sale that closed in October 2020). While each of these actions should contribute to a stronger balance sheet and enhanced liquidity and long-term financial flexibility, we can provide no assurance that we will be able to effect certain future actions (such as additional capital reductions, asset sales and expense reductions) and additional actions may be necessary to achieve our balance sheet, liquidity and financial security objectives. See “Risk Factors—Risks Related to Our Business” discussed in Item 1A. of our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Part II, Item 1A. “Risk Factors” in our Quarterly Report on Form 10-Q for the period ended March 31, 2020.</w:t>
      </w:r>
    </w:p>
    <w:p>
      <w:pPr>
        <w:spacing w:after="0" w:line="231"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While some modifications in our operations have been necessary to deal with risks associated with the COVID-19 pandemic, we have not experienced any material constraints in our ability to continue our essential business functions and have not incurred any significant additional operating costs as a result of the pandemic, including costs associated with navigating the applicable shelter-in-place or similar restrictions and implementing our business continuity plans. We remain focused on the health and safety of our workforce, and have modified our operations in ways that we believe are prudent and appropriate in order to protect our employees while continuing to operate our assets in an effective, safe and responsible manner.</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many governments have enacted or are contemplating measures to provide aid and economic stimulus in response to the COVID-19 pandemic. These measures include actions by both the United States federal government and the government of Canada. There has been no material impact to our financial position, results of operations or cash flows resulting from these measures. However, our Canadian subsidiary participated in a wage subsidy program during the second and third quarters of 2020 for subsidies totaling approximately $20 million. The impact of such subsidies is included in the line items “Field operating costs” and “Segment general and administrative expenses” of the applicable segments. See “—Results of Operations— Analysis of Operating Segments” for further discussion.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macroeconomic and industry specific challenges discussed above have resulted in a number of impairment charges recognized during 2020 as discussed further below. See “—Liquidity and Capital Resources” for additional discussion of the expected and potential impact of COVID-19 and related market conditions on our business.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first nine months of 2020, we recognized a net loss of $2.555 billion as compared to net income of $1.872 billion recognized during the first nine months of 2019. The net loss for the period was driven by goodwill impairment losses of $2.5 billion and was also impacted by non-cash impairment charges of approximately $815 million related to the write-down of certain pipeline and other long-lived assets, certain of our investments in unconsolidated entities, and assets upon classification as held for sale. In addition, we recognized approximately $233 million of inventory valuation adjustments due to declines in commodity prices primarily during the first quarter of 2020.</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for the comparative period were also impacted by:</w:t>
      </w:r>
    </w:p>
    <w:p>
      <w:pPr>
        <w:spacing w:after="0" w:line="239" w:lineRule="exact"/>
        <w:rPr>
          <w:sz w:val="20"/>
          <w:szCs w:val="20"/>
          <w:color w:val="auto"/>
        </w:rPr>
      </w:pPr>
    </w:p>
    <w:p>
      <w:pPr>
        <w:ind w:left="1300" w:right="100" w:hanging="320"/>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favorable results from our Supply and Logistics segment due to less favorable crude oil differentials, lower NGL margins and the unfavorable impact of the mark-to-market of certain derivative instruments, resulting from losses recognized in the 2020 period compared to gains in the 2019 period, partially offset by the favorable impact of contango market conditions during the second and third quarters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300" w:right="120" w:hanging="320"/>
        <w:spacing w:after="0" w:line="259" w:lineRule="auto"/>
        <w:tabs>
          <w:tab w:leader="none" w:pos="1295"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Less favorable results from our Transportation segment driven by lower volumes from shut-ins of crude oil production, reduced drilling and completion activity and compressed regional basis differentials, a portion of which are covered by minimum volume commitments that will be made up or paid for in future periods, and lower pipeline loss allowance revenue in 2020 due to lower prices and volumes, partially offset by lower field operating costs;</w:t>
      </w:r>
    </w:p>
    <w:p>
      <w:pPr>
        <w:spacing w:after="0" w:line="213" w:lineRule="exact"/>
        <w:rPr>
          <w:rFonts w:ascii="Arial" w:cs="Arial" w:eastAsia="Arial" w:hAnsi="Arial"/>
          <w:sz w:val="18"/>
          <w:szCs w:val="18"/>
          <w:i w:val="1"/>
          <w:iCs w:val="1"/>
          <w:color w:val="auto"/>
        </w:rPr>
      </w:pPr>
    </w:p>
    <w:p>
      <w:pPr>
        <w:ind w:left="1300" w:right="280" w:hanging="320"/>
        <w:spacing w:after="0" w:line="308" w:lineRule="auto"/>
        <w:tabs>
          <w:tab w:leader="none" w:pos="1295"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Higher depreciation and amortization expense in the 2020 period primarily due to additional depreciation expense associated with the completion of various investment capital projects and by a reduction in the useful lives of certain assets;</w:t>
      </w:r>
    </w:p>
    <w:p>
      <w:pPr>
        <w:spacing w:after="0" w:line="173" w:lineRule="exact"/>
        <w:rPr>
          <w:rFonts w:ascii="Arial" w:cs="Arial" w:eastAsia="Arial" w:hAnsi="Arial"/>
          <w:sz w:val="17"/>
          <w:szCs w:val="17"/>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foreign currency impacts of $20 million recognized in “Other income/(expense), net” in the 2020 period;</w:t>
      </w:r>
    </w:p>
    <w:p>
      <w:pPr>
        <w:spacing w:after="0" w:line="252" w:lineRule="exact"/>
        <w:rPr>
          <w:rFonts w:ascii="Arial" w:cs="Arial" w:eastAsia="Arial" w:hAnsi="Arial"/>
          <w:sz w:val="18"/>
          <w:szCs w:val="18"/>
          <w:color w:val="auto"/>
        </w:rPr>
      </w:pPr>
    </w:p>
    <w:p>
      <w:pPr>
        <w:ind w:left="1300" w:right="180" w:hanging="320"/>
        <w:spacing w:after="0" w:line="259" w:lineRule="auto"/>
        <w:tabs>
          <w:tab w:leader="none" w:pos="12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gain of $21 million recognized in the current period related to the sale of a portion of our interest in Saddlehorn Pipeline Company, LLC in February 2020, compared to a non-cash gain of $269 million recognized in the 2019 period related to a fair value adjustment resulting from the accounting for the contribution of our undivided joint interest in the Capline pipeline system for an equity interest in Capline Pipeline Company LLC; partially offset by</w:t>
      </w:r>
    </w:p>
    <w:p>
      <w:pPr>
        <w:spacing w:after="0" w:line="213"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Favorable results from our Facilities segment primarily due to lower field operating costs; and</w:t>
      </w:r>
    </w:p>
    <w:p>
      <w:pPr>
        <w:spacing w:after="0" w:line="252" w:lineRule="exact"/>
        <w:rPr>
          <w:rFonts w:ascii="Arial" w:cs="Arial" w:eastAsia="Arial" w:hAnsi="Arial"/>
          <w:sz w:val="18"/>
          <w:szCs w:val="18"/>
          <w:i w:val="1"/>
          <w:iCs w:val="1"/>
          <w:color w:val="auto"/>
        </w:rPr>
      </w:pPr>
    </w:p>
    <w:p>
      <w:pPr>
        <w:ind w:left="1300" w:right="80" w:hanging="320"/>
        <w:spacing w:after="0" w:line="263" w:lineRule="auto"/>
        <w:tabs>
          <w:tab w:leader="none" w:pos="1295" w:val="left"/>
        </w:tabs>
        <w:numPr>
          <w:ilvl w:val="0"/>
          <w:numId w:val="26"/>
        </w:numPr>
        <w:rPr>
          <w:rFonts w:ascii="Arial" w:cs="Arial" w:eastAsia="Arial" w:hAnsi="Arial"/>
          <w:sz w:val="18"/>
          <w:szCs w:val="18"/>
          <w:i w:val="1"/>
          <w:iCs w:val="1"/>
          <w:color w:val="auto"/>
        </w:rPr>
      </w:pPr>
      <w:r>
        <w:rPr>
          <w:rFonts w:ascii="Arial" w:cs="Arial" w:eastAsia="Arial" w:hAnsi="Arial"/>
          <w:sz w:val="18"/>
          <w:szCs w:val="18"/>
          <w:color w:val="auto"/>
        </w:rPr>
        <w:t>A decrease in income tax expense primarily due to lower earnings in our Canadian operations, partially offset by the recognition of a deferred tax benefit of approximately $60 million during the second quarter of 2019 as a result of the reduction of the provincial tax rate in Alberta, Canada.</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See further discussion of our operating results in the “—Results of Operations—Analysis of Operating Segments” and “—Other Income and Expenses” sections below.</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invested $785 million in midstream infrastructure projects during the nine months ended September 30, 2020, which primarily related to projects under development in the Permian Basin. Additionally, during the first quarter of 2020, we acquired approximately $310 million of assets, which primarily included a crude oil gathering system located in the Delaware Basin. See the “—Acquisitions and Capital Projects” section below for additional information.</w:t>
      </w:r>
    </w:p>
    <w:p>
      <w:pPr>
        <w:spacing w:after="0" w:line="21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June 2020, we completed the issuance of $750 million, 3.80% senior notes due September 2030. We used the net proceeds from this offering of $742 million, after deducting the underwriting discount and offering expenses, to repay the principal amounts of our 5.00% senior notes due February 2021 (which were redeemed on November 3, 2020). Prior to such repayment, we used a portion of the proceeds to repay outstanding borrowings under our commercial paper program and credit facilities and for general partnership purposes.</w:t>
      </w:r>
    </w:p>
    <w:p>
      <w:pPr>
        <w:spacing w:after="0" w:line="21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We paid approximately $524 million of cash distributions to our common unitholders during the nine months ended September 30, 2020. We also paid cash distributions of approximately $112 million to our Series A preferred unitholders, and we paid a semi-annual cash distribution of $25 million to our Series B preferred unitholders.</w:t>
      </w:r>
    </w:p>
    <w:p>
      <w:pPr>
        <w:spacing w:after="0" w:line="211"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On November 2, 2020, we announced that the board of directors of PAA GP Holdings LLC has approved a $500 million common equity repurchase program (the “Program”) to be utilized as an additional method of returning capital to investors. The Program authorizes the repurchase from time to time of up to $500 million of PAA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PAA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PAA common units or PAGP Class A shares. Any PAA common units or PAGP Class A shares that are repurchased will be canceled.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investment capital and maintenance capital (in millions):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capital</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 capital </w:t>
            </w:r>
            <w:r>
              <w:rPr>
                <w:rFonts w:ascii="Arial" w:cs="Arial" w:eastAsia="Arial" w:hAnsi="Arial"/>
                <w:sz w:val="23"/>
                <w:szCs w:val="23"/>
                <w:color w:val="auto"/>
                <w:vertAlign w:val="superscript"/>
              </w:rPr>
              <w:t>(1) (2) (3)</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826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380" w:hanging="11"/>
        <w:spacing w:after="0" w:line="277" w:lineRule="auto"/>
        <w:rPr>
          <w:sz w:val="20"/>
          <w:szCs w:val="20"/>
          <w:color w:val="auto"/>
        </w:rPr>
      </w:pPr>
      <w:r>
        <w:rPr>
          <w:rFonts w:ascii="Arial" w:cs="Arial" w:eastAsia="Arial" w:hAnsi="Arial"/>
          <w:sz w:val="18"/>
          <w:szCs w:val="18"/>
          <w:color w:val="auto"/>
        </w:rPr>
        <w:t>“Investment capital” was previously termed “Expansion capital”. Although what is included in this category has not changed, we consider the term “Investment capital” to be more descriptive.</w:t>
      </w:r>
    </w:p>
    <w:p>
      <w:pPr>
        <w:spacing w:after="0" w:line="62"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Contributions to unconsolidated entities related to investment capital projects of such entities are recognized in “Investment capital.” We account for our investments in such entities under the equity method of accounting.</w:t>
      </w:r>
    </w:p>
    <w:p>
      <w:pPr>
        <w:spacing w:after="0" w:line="62" w:lineRule="exact"/>
        <w:rPr>
          <w:sz w:val="20"/>
          <w:szCs w:val="20"/>
          <w:color w:val="auto"/>
        </w:rPr>
      </w:pPr>
    </w:p>
    <w:p>
      <w:pPr>
        <w:jc w:val="both"/>
        <w:ind w:right="260" w:hanging="11"/>
        <w:spacing w:after="0" w:line="263"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“Investment capital.” Capital expenditures for the replacement and/or refurbishment of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Capital Projects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April 2020, in response to the current dynamic and uncertain market conditions, we announced our plan to significantly reduce and continue to challenge our capital program. Total investment capital for 2020/2021 is now targeted to be approximately $1.45 billion, or $850 million (37%) lower than the previously targeted $2.3 billion investment capital program, and $1.45 billion (50%) lower when eliminating $600 million of assumed joint venture project financing (net to our share) for the Red Oak project, which was deferred in March 2020. Subsequently, the partners of Red Oak determined that the project would not proceed as previously contemplated. The balance of the investment capital reductions relate to cancellations, cost savings and scope adjustments to other investment capital projects. The following table summarizes our notable projects in progress during 2020 and the estimated cost for the year ending December 31, 2020 (in millions):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Projects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229"/>
        </w:trPr>
        <w:tc>
          <w:tcPr>
            <w:tcW w:w="9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Long-haul Pipeline Projects (Non-Permian)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Selected Facilities/Downstream Projects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3"/>
        </w:trPr>
        <w:tc>
          <w:tcPr>
            <w:tcW w:w="9780" w:type="dxa"/>
            <w:vAlign w:val="bottom"/>
            <w:gridSpan w:val="2"/>
          </w:tcPr>
          <w:p>
            <w:pPr>
              <w:ind w:left="120"/>
              <w:spacing w:after="0"/>
              <w:rPr>
                <w:sz w:val="20"/>
                <w:szCs w:val="20"/>
                <w:color w:val="auto"/>
              </w:rPr>
            </w:pPr>
            <w:r>
              <w:rPr>
                <w:rFonts w:ascii="Arial" w:cs="Arial" w:eastAsia="Arial" w:hAnsi="Arial"/>
                <w:sz w:val="18"/>
                <w:szCs w:val="18"/>
                <w:color w:val="auto"/>
              </w:rPr>
              <w:t>Total Projected 2020 Investment Capital Expenditures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overview of our consolidated financial results calculated in accordance with GAAP (in millions, except per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53" w:lineRule="exact"/>
        <w:rPr>
          <w:sz w:val="20"/>
          <w:szCs w:val="20"/>
          <w:color w:val="auto"/>
        </w:rPr>
      </w:pPr>
    </w:p>
    <w:tbl>
      <w:tblPr>
        <w:tblLayout w:type="fixed"/>
        <w:tblInd w:w="3420" w:type="dxa"/>
        <w:tblCellMar>
          <w:top w:w="0" w:type="dxa"/>
          <w:left w:w="0" w:type="dxa"/>
          <w:bottom w:w="0" w:type="dxa"/>
          <w:right w:w="0" w:type="dxa"/>
        </w:tblCellMar>
      </w:tblPr>
      <w:tr>
        <w:trPr>
          <w:trHeight w:val="161"/>
        </w:trPr>
        <w:tc>
          <w:tcPr>
            <w:tcW w:w="1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Pr>
          <w:p>
            <w:pPr>
              <w:spacing w:after="0"/>
              <w:rPr>
                <w:sz w:val="14"/>
                <w:szCs w:val="14"/>
                <w:color w:val="auto"/>
              </w:rPr>
            </w:pPr>
          </w:p>
        </w:tc>
        <w:tc>
          <w:tcPr>
            <w:tcW w:w="13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3"/>
          </w:tcPr>
          <w:p>
            <w:pPr>
              <w:ind w:left="46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8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0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40201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02018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tbl>
      <w:tblPr>
        <w:tblLayout w:type="fixed"/>
        <w:tblInd w:w="20" w:type="dxa"/>
        <w:tblCellMar>
          <w:top w:w="0" w:type="dxa"/>
          <w:left w:w="0" w:type="dxa"/>
          <w:bottom w:w="0" w:type="dxa"/>
          <w:right w:w="0" w:type="dxa"/>
        </w:tblCellMar>
      </w:tblPr>
      <w:tr>
        <w:trPr>
          <w:trHeight w:val="220"/>
        </w:trPr>
        <w:tc>
          <w:tcPr>
            <w:tcW w:w="3400" w:type="dxa"/>
            <w:vAlign w:val="bottom"/>
          </w:tcPr>
          <w:p>
            <w:pPr>
              <w:spacing w:after="0" w:line="220" w:lineRule="exact"/>
              <w:rPr>
                <w:sz w:val="20"/>
                <w:szCs w:val="20"/>
                <w:color w:val="auto"/>
              </w:rPr>
            </w:pPr>
            <w:r>
              <w:rPr>
                <w:rFonts w:ascii="Arial" w:cs="Arial" w:eastAsia="Arial" w:hAnsi="Arial"/>
                <w:sz w:val="18"/>
                <w:szCs w:val="18"/>
                <w:color w:val="auto"/>
                <w:w w:val="93"/>
              </w:rPr>
              <w:t xml:space="preserve">Transportation Segment Adjusted EBITDA </w:t>
            </w:r>
            <w:r>
              <w:rPr>
                <w:rFonts w:ascii="Arial" w:cs="Arial" w:eastAsia="Arial" w:hAnsi="Arial"/>
                <w:sz w:val="23"/>
                <w:szCs w:val="23"/>
                <w:color w:val="auto"/>
                <w:w w:val="93"/>
                <w:vertAlign w:val="superscript"/>
              </w:rPr>
              <w:t>(1)</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5"/>
        </w:trPr>
        <w:tc>
          <w:tcPr>
            <w:tcW w:w="3400" w:type="dxa"/>
            <w:vAlign w:val="bottom"/>
          </w:tcPr>
          <w:p>
            <w:pPr>
              <w:spacing w:after="0" w:line="235"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Supply and Logistics Segment Adjusted</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400" w:type="dxa"/>
            <w:vAlign w:val="bottom"/>
          </w:tcPr>
          <w:p>
            <w:pPr>
              <w:ind w:left="160"/>
              <w:spacing w:after="0" w:line="229"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00"/>
              <w:spacing w:after="0" w:line="176" w:lineRule="exact"/>
              <w:rPr>
                <w:sz w:val="20"/>
                <w:szCs w:val="20"/>
                <w:color w:val="auto"/>
              </w:rPr>
            </w:pPr>
            <w:r>
              <w:rPr>
                <w:rFonts w:ascii="Arial" w:cs="Arial" w:eastAsia="Arial" w:hAnsi="Arial"/>
                <w:sz w:val="18"/>
                <w:szCs w:val="18"/>
                <w:color w:val="auto"/>
              </w:rPr>
              <w:t>Depreciation and amortization of</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Pr>
          <w:p>
            <w:pPr>
              <w:ind w:left="100"/>
              <w:spacing w:after="0"/>
              <w:rPr>
                <w:sz w:val="20"/>
                <w:szCs w:val="20"/>
                <w:color w:val="auto"/>
              </w:rPr>
            </w:pPr>
            <w:r>
              <w:rPr>
                <w:rFonts w:ascii="Arial" w:cs="Arial" w:eastAsia="Arial" w:hAnsi="Arial"/>
                <w:sz w:val="18"/>
                <w:szCs w:val="18"/>
                <w:color w:val="auto"/>
              </w:rPr>
              <w:t>unconsolidated entities</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00"/>
              <w:spacing w:after="0" w:line="176" w:lineRule="exact"/>
              <w:rPr>
                <w:sz w:val="20"/>
                <w:szCs w:val="20"/>
                <w:color w:val="auto"/>
              </w:rPr>
            </w:pPr>
            <w:r>
              <w:rPr>
                <w:rFonts w:ascii="Arial" w:cs="Arial" w:eastAsia="Arial" w:hAnsi="Arial"/>
                <w:sz w:val="18"/>
                <w:szCs w:val="18"/>
                <w:color w:val="auto"/>
              </w:rPr>
              <w:t>Selected items impacting comparability -</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3400" w:type="dxa"/>
            <w:vAlign w:val="bottom"/>
          </w:tcPr>
          <w:p>
            <w:pPr>
              <w:ind w:left="100"/>
              <w:spacing w:after="0"/>
              <w:rPr>
                <w:sz w:val="20"/>
                <w:szCs w:val="20"/>
                <w:color w:val="auto"/>
              </w:rPr>
            </w:pPr>
            <w:r>
              <w:rPr>
                <w:rFonts w:ascii="Arial" w:cs="Arial" w:eastAsia="Arial" w:hAnsi="Arial"/>
                <w:sz w:val="18"/>
                <w:szCs w:val="18"/>
                <w:color w:val="auto"/>
              </w:rPr>
              <w:t>Segment Adjusted EBITDA</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Gains/(losses) on asset sales and asset</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Goodwill impairment losses</w:t>
            </w:r>
          </w:p>
        </w:tc>
        <w:tc>
          <w:tcPr>
            <w:tcW w:w="2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Gain on/(impairment of) investments in</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Net income/(loss)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line="176" w:lineRule="exact"/>
              <w:rPr>
                <w:sz w:val="20"/>
                <w:szCs w:val="20"/>
                <w:color w:val="auto"/>
              </w:rPr>
            </w:pPr>
            <w:r>
              <w:rPr>
                <w:rFonts w:ascii="Arial" w:cs="Arial" w:eastAsia="Arial" w:hAnsi="Arial"/>
                <w:sz w:val="18"/>
                <w:szCs w:val="18"/>
                <w:color w:val="auto"/>
                <w:w w:val="98"/>
              </w:rPr>
              <w:t>Net income attributable to noncontrolling</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income/(loss) attributable to PAA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3400" w:type="dxa"/>
            <w:vAlign w:val="bottom"/>
          </w:tcPr>
          <w:p>
            <w:pPr>
              <w:spacing w:after="0"/>
              <w:rPr>
                <w:sz w:val="20"/>
                <w:szCs w:val="20"/>
                <w:color w:val="auto"/>
              </w:rPr>
            </w:pPr>
            <w:r>
              <w:rPr>
                <w:rFonts w:ascii="Arial" w:cs="Arial" w:eastAsia="Arial" w:hAnsi="Arial"/>
                <w:sz w:val="18"/>
                <w:szCs w:val="18"/>
                <w:color w:val="auto"/>
              </w:rPr>
              <w:t>Basic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Diluted net income/(loss) per common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Basic weighted average common units</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rPr>
              <w:t>Diluted weighted average common units</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2459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320" w:hanging="147"/>
        <w:spacing w:after="0"/>
        <w:tabs>
          <w:tab w:leader="none" w:pos="3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w:t>
      </w:r>
    </w:p>
    <w:p>
      <w:pPr>
        <w:spacing w:after="0" w:line="2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(34)%</w:t>
      </w:r>
    </w:p>
    <w:p>
      <w:pPr>
        <w:spacing w:after="0" w:line="200" w:lineRule="exact"/>
        <w:rPr>
          <w:rFonts w:ascii="Arial" w:cs="Arial" w:eastAsia="Arial" w:hAnsi="Arial"/>
          <w:sz w:val="15"/>
          <w:szCs w:val="15"/>
          <w:color w:val="auto"/>
        </w:rPr>
      </w:pPr>
    </w:p>
    <w:p>
      <w:pPr>
        <w:spacing w:after="0" w:line="239" w:lineRule="exact"/>
        <w:rPr>
          <w:rFonts w:ascii="Arial" w:cs="Arial" w:eastAsia="Arial" w:hAnsi="Arial"/>
          <w:sz w:val="15"/>
          <w:szCs w:val="15"/>
          <w:color w:val="auto"/>
        </w:rPr>
      </w:pPr>
    </w:p>
    <w:p>
      <w:pPr>
        <w:ind w:left="80"/>
        <w:spacing w:after="0"/>
        <w:rPr>
          <w:rFonts w:ascii="Arial" w:cs="Arial" w:eastAsia="Arial" w:hAnsi="Arial"/>
          <w:sz w:val="15"/>
          <w:szCs w:val="15"/>
          <w:color w:val="auto"/>
        </w:rPr>
      </w:pPr>
      <w:r>
        <w:rPr>
          <w:rFonts w:ascii="Arial" w:cs="Arial" w:eastAsia="Arial" w:hAnsi="Arial"/>
          <w:sz w:val="17"/>
          <w:szCs w:val="17"/>
          <w:color w:val="auto"/>
        </w:rPr>
        <w:t>— %</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(71)%</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N/A</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both"/>
        <w:ind w:firstLine="90"/>
        <w:spacing w:after="0" w:line="337" w:lineRule="auto"/>
        <w:rPr>
          <w:sz w:val="20"/>
          <w:szCs w:val="20"/>
          <w:color w:val="auto"/>
        </w:rPr>
      </w:pPr>
      <w:r>
        <w:rPr>
          <w:rFonts w:ascii="Arial" w:cs="Arial" w:eastAsia="Arial" w:hAnsi="Arial"/>
          <w:sz w:val="16"/>
          <w:szCs w:val="16"/>
          <w:color w:val="auto"/>
        </w:rPr>
        <w:t>— % 107 % (68)%</w:t>
      </w:r>
    </w:p>
    <w:p>
      <w:pPr>
        <w:spacing w:after="0" w:line="102" w:lineRule="exact"/>
        <w:rPr>
          <w:sz w:val="20"/>
          <w:szCs w:val="20"/>
          <w:color w:val="auto"/>
        </w:rPr>
      </w:pPr>
    </w:p>
    <w:p>
      <w:pPr>
        <w:ind w:left="320" w:hanging="237"/>
        <w:spacing w:after="0"/>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t>
      </w:r>
    </w:p>
    <w:p>
      <w:pPr>
        <w:spacing w:after="0" w:line="7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(68)%</w:t>
      </w:r>
    </w:p>
    <w:p>
      <w:pPr>
        <w:spacing w:after="0" w:line="3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63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24"/>
        </w:trPr>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404"/>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65"/>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05"/>
        </w:trPr>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3">
            <w:col w:w="6140" w:space="580"/>
            <w:col w:w="460" w:space="220"/>
            <w:col w:w="3840"/>
          </w:cols>
          <w:pgMar w:left="320" w:top="125" w:right="339" w:bottom="1440" w:gutter="0" w:footer="0" w:header="0"/>
          <w:type w:val="continuous"/>
        </w:sectPr>
      </w:pPr>
    </w:p>
    <w:p>
      <w:pPr>
        <w:spacing w:after="0" w:line="304"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pacing w:after="0" w:line="44" w:lineRule="exact"/>
        <w:rPr>
          <w:sz w:val="20"/>
          <w:szCs w:val="20"/>
          <w:color w:val="auto"/>
        </w:rPr>
      </w:pPr>
    </w:p>
    <w:p>
      <w:pPr>
        <w:ind w:left="660" w:right="280" w:hanging="652"/>
        <w:spacing w:after="0" w:line="267" w:lineRule="auto"/>
        <w:tabs>
          <w:tab w:leader="none" w:pos="648"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and other general partnership purposes.</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The primary additional measures used by management are earnings before interest, taxes, depreciation and amortization (including our proportionate share of depreciation and amortization of unconsolidated entities), gains and losses on asset sales and asset impairments, goodwill impairment losses and gains on and impairments of investments in unconsolidated entities, adjusted for certain selected items impacting comparability (“Adjusted EBITDA”), Implied distributable cash flow (“DCF”), Free Cash Flow and Free Cash Flow After Distributions.</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Income/(Loss), and Free Cash Flow and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Management believes that the presentation of Adjusted EBITDA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w:t>
      </w:r>
    </w:p>
    <w:p>
      <w:pPr>
        <w:spacing w:after="0" w:line="4" w:lineRule="exact"/>
        <w:rPr>
          <w:sz w:val="20"/>
          <w:szCs w:val="20"/>
          <w:color w:val="auto"/>
        </w:rPr>
      </w:pPr>
    </w:p>
    <w:p>
      <w:pPr>
        <w:jc w:val="both"/>
        <w:ind w:right="420" w:firstLine="8"/>
        <w:spacing w:after="0" w:line="281"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gains or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w:t>
      </w:r>
    </w:p>
    <w:p>
      <w:pPr>
        <w:spacing w:after="0" w:line="1" w:lineRule="exact"/>
        <w:rPr>
          <w:rFonts w:ascii="Arial" w:cs="Arial" w:eastAsia="Arial" w:hAnsi="Arial"/>
          <w:sz w:val="16"/>
          <w:szCs w:val="16"/>
          <w:color w:val="auto"/>
        </w:rPr>
      </w:pPr>
    </w:p>
    <w:p>
      <w:pPr>
        <w:ind w:right="20" w:firstLine="8"/>
        <w:spacing w:after="0" w:line="290" w:lineRule="auto"/>
        <w:tabs>
          <w:tab w:leader="none" w:pos="2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tables set forth the reconciliation of the non-GAAP financial performance measures Adjusted EBITDA and Implied DCF from Net Income/(Loss)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14"/>
                <w:szCs w:val="14"/>
                <w:color w:val="auto"/>
              </w:rPr>
            </w:pPr>
          </w:p>
        </w:tc>
        <w:tc>
          <w:tcPr>
            <w:tcW w:w="11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Income tax expense/(benefit)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6" w:lineRule="exact"/>
              <w:rPr>
                <w:sz w:val="20"/>
                <w:szCs w:val="20"/>
                <w:color w:val="auto"/>
              </w:rPr>
            </w:pPr>
            <w:r>
              <w:rPr>
                <w:rFonts w:ascii="Arial" w:cs="Arial" w:eastAsia="Arial" w:hAnsi="Arial"/>
                <w:sz w:val="18"/>
                <w:szCs w:val="18"/>
                <w:color w:val="auto"/>
                <w:w w:val="98"/>
              </w:rPr>
              <w:t>(Gains)/losses on asset sales and asset</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impairments,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impairment losses</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75"/>
        </w:trPr>
        <w:tc>
          <w:tcPr>
            <w:tcW w:w="3280" w:type="dxa"/>
            <w:vAlign w:val="bottom"/>
          </w:tcPr>
          <w:p>
            <w:pPr>
              <w:ind w:left="120"/>
              <w:spacing w:after="0" w:line="176" w:lineRule="exact"/>
              <w:rPr>
                <w:sz w:val="20"/>
                <w:szCs w:val="20"/>
                <w:color w:val="auto"/>
              </w:rPr>
            </w:pPr>
            <w:r>
              <w:rPr>
                <w:rFonts w:ascii="Arial" w:cs="Arial" w:eastAsia="Arial" w:hAnsi="Arial"/>
                <w:sz w:val="18"/>
                <w:szCs w:val="18"/>
                <w:color w:val="auto"/>
              </w:rPr>
              <w:t>(Gain on)/impairment of investments in</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3280" w:type="dxa"/>
            <w:vAlign w:val="bottom"/>
          </w:tcPr>
          <w:p>
            <w:pPr>
              <w:ind w:left="120"/>
              <w:spacing w:after="0"/>
              <w:rPr>
                <w:sz w:val="20"/>
                <w:szCs w:val="20"/>
                <w:color w:val="auto"/>
              </w:rPr>
            </w:pPr>
            <w:r>
              <w:rPr>
                <w:rFonts w:ascii="Arial" w:cs="Arial" w:eastAsia="Arial" w:hAnsi="Arial"/>
                <w:sz w:val="18"/>
                <w:szCs w:val="18"/>
                <w:color w:val="auto"/>
              </w:rPr>
              <w:t>unconsolidated entities,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unconsolidated entities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74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w w:val="97"/>
              </w:rPr>
              <w:t>Selected Items Impacting Comparability:</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4"/>
              </w:rPr>
              <w:t>net of inventory valuation adjustments</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40"/>
              <w:spacing w:after="0" w:line="176" w:lineRule="exact"/>
              <w:rPr>
                <w:sz w:val="20"/>
                <w:szCs w:val="20"/>
                <w:color w:val="auto"/>
              </w:rPr>
            </w:pPr>
            <w:r>
              <w:rPr>
                <w:rFonts w:ascii="Arial" w:cs="Arial" w:eastAsia="Arial" w:hAnsi="Arial"/>
                <w:sz w:val="18"/>
                <w:szCs w:val="18"/>
                <w:color w:val="auto"/>
                <w:w w:val="93"/>
              </w:rPr>
              <w:t>Long-term inventory costing adjustments</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80" w:type="dxa"/>
            <w:vAlign w:val="bottom"/>
          </w:tcPr>
          <w:p>
            <w:pPr>
              <w:ind w:left="40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line="230" w:lineRule="exact"/>
              <w:rPr>
                <w:sz w:val="20"/>
                <w:szCs w:val="20"/>
                <w:color w:val="auto"/>
              </w:rPr>
            </w:pPr>
            <w:r>
              <w:rPr>
                <w:rFonts w:ascii="Arial" w:cs="Arial" w:eastAsia="Arial" w:hAnsi="Arial"/>
                <w:sz w:val="18"/>
                <w:szCs w:val="18"/>
                <w:color w:val="auto"/>
                <w:w w:val="90"/>
              </w:rPr>
              <w:t xml:space="preserve">Equity-indexed compensation expense </w:t>
            </w:r>
            <w:r>
              <w:rPr>
                <w:rFonts w:ascii="Arial" w:cs="Arial" w:eastAsia="Arial" w:hAnsi="Arial"/>
                <w:sz w:val="23"/>
                <w:szCs w:val="23"/>
                <w:color w:val="auto"/>
                <w:w w:val="90"/>
                <w:vertAlign w:val="superscript"/>
              </w:rPr>
              <w:t>(5)</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5"/>
              </w:rPr>
              <w:t>Significant acquisition-related expenses</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120"/>
              <w:spacing w:after="0" w:line="156" w:lineRule="exact"/>
              <w:rPr>
                <w:sz w:val="20"/>
                <w:szCs w:val="20"/>
                <w:color w:val="auto"/>
              </w:rPr>
            </w:pPr>
            <w:r>
              <w:rPr>
                <w:rFonts w:ascii="Arial" w:cs="Arial" w:eastAsia="Arial" w:hAnsi="Arial"/>
                <w:sz w:val="18"/>
                <w:szCs w:val="18"/>
                <w:color w:val="auto"/>
                <w:w w:val="95"/>
              </w:rPr>
              <w:t>Selected Items Impacting Comparability -</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120"/>
              <w:spacing w:after="0"/>
              <w:rPr>
                <w:sz w:val="20"/>
                <w:szCs w:val="20"/>
                <w:color w:val="auto"/>
              </w:rPr>
            </w:pPr>
            <w:r>
              <w:rPr>
                <w:rFonts w:ascii="Arial" w:cs="Arial" w:eastAsia="Arial" w:hAnsi="Arial"/>
                <w:sz w:val="18"/>
                <w:szCs w:val="18"/>
                <w:color w:val="auto"/>
              </w:rPr>
              <w:t>Segment Adjusted EBITDA</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6"/>
              </w:rPr>
              <w:t>(Gains)/losses from derivative activities</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40"/>
              <w:spacing w:after="0" w:line="176" w:lineRule="exact"/>
              <w:rPr>
                <w:sz w:val="20"/>
                <w:szCs w:val="20"/>
                <w:color w:val="auto"/>
              </w:rPr>
            </w:pPr>
            <w:r>
              <w:rPr>
                <w:rFonts w:ascii="Arial" w:cs="Arial" w:eastAsia="Arial" w:hAnsi="Arial"/>
                <w:sz w:val="18"/>
                <w:szCs w:val="18"/>
                <w:color w:val="auto"/>
              </w:rPr>
              <w:t>Net (gain)/loss on foreign currency</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400"/>
              <w:spacing w:after="0" w:line="230" w:lineRule="exact"/>
              <w:rPr>
                <w:sz w:val="20"/>
                <w:szCs w:val="20"/>
                <w:color w:val="auto"/>
              </w:rPr>
            </w:pPr>
            <w:r>
              <w:rPr>
                <w:rFonts w:ascii="Arial" w:cs="Arial" w:eastAsia="Arial" w:hAnsi="Arial"/>
                <w:sz w:val="18"/>
                <w:szCs w:val="18"/>
                <w:color w:val="auto"/>
              </w:rPr>
              <w:t xml:space="preserve">revaluation </w:t>
            </w:r>
            <w:r>
              <w:rPr>
                <w:rFonts w:ascii="Arial" w:cs="Arial" w:eastAsia="Arial" w:hAnsi="Arial"/>
                <w:sz w:val="23"/>
                <w:szCs w:val="23"/>
                <w:color w:val="auto"/>
                <w:vertAlign w:val="superscript"/>
              </w:rPr>
              <w:t>(6)</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Net gain on early repayment of senior</w:t>
            </w:r>
          </w:p>
        </w:tc>
        <w:tc>
          <w:tcPr>
            <w:tcW w:w="1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16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3"/>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80" w:type="dxa"/>
            <w:vAlign w:val="bottom"/>
          </w:tcPr>
          <w:p>
            <w:pPr>
              <w:ind w:left="140"/>
              <w:spacing w:after="0" w:line="156" w:lineRule="exact"/>
              <w:rPr>
                <w:sz w:val="20"/>
                <w:szCs w:val="20"/>
                <w:color w:val="auto"/>
              </w:rPr>
            </w:pPr>
            <w:r>
              <w:rPr>
                <w:rFonts w:ascii="Arial" w:cs="Arial" w:eastAsia="Arial" w:hAnsi="Arial"/>
                <w:sz w:val="18"/>
                <w:szCs w:val="18"/>
                <w:color w:val="auto"/>
                <w:w w:val="95"/>
              </w:rPr>
              <w:t>Selected Items Impacting Comparability -</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140"/>
              <w:spacing w:after="0" w:line="176" w:lineRule="exact"/>
              <w:rPr>
                <w:sz w:val="20"/>
                <w:szCs w:val="20"/>
                <w:color w:val="auto"/>
              </w:rPr>
            </w:pPr>
            <w:r>
              <w:rPr>
                <w:rFonts w:ascii="Arial" w:cs="Arial" w:eastAsia="Arial" w:hAnsi="Arial"/>
                <w:sz w:val="18"/>
                <w:szCs w:val="18"/>
                <w:color w:val="auto"/>
              </w:rPr>
              <w:t>Adjusted</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9"/>
              </w:rPr>
              <w:t>Variance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3300" w:type="dxa"/>
            <w:vAlign w:val="bottom"/>
          </w:tcPr>
          <w:p>
            <w:pPr>
              <w:ind w:left="140"/>
              <w:spacing w:after="0" w:line="176" w:lineRule="exact"/>
              <w:rPr>
                <w:sz w:val="20"/>
                <w:szCs w:val="20"/>
                <w:color w:val="auto"/>
              </w:rPr>
            </w:pPr>
            <w:r>
              <w:rPr>
                <w:rFonts w:ascii="Arial" w:cs="Arial" w:eastAsia="Arial" w:hAnsi="Arial"/>
                <w:sz w:val="18"/>
                <w:szCs w:val="18"/>
                <w:color w:val="auto"/>
                <w:w w:val="96"/>
              </w:rPr>
              <w:t>Interest expense, net of certain non-cash</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items </w:t>
            </w:r>
            <w:r>
              <w:rPr>
                <w:rFonts w:ascii="Arial" w:cs="Arial" w:eastAsia="Arial" w:hAnsi="Arial"/>
                <w:sz w:val="23"/>
                <w:szCs w:val="23"/>
                <w:color w:val="auto"/>
                <w:vertAlign w:val="superscript"/>
              </w:rPr>
              <w:t>(11)</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(12)</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3300" w:type="dxa"/>
            <w:vAlign w:val="bottom"/>
          </w:tcPr>
          <w:p>
            <w:pPr>
              <w:ind w:left="120"/>
              <w:spacing w:after="0"/>
              <w:rPr>
                <w:sz w:val="20"/>
                <w:szCs w:val="20"/>
                <w:color w:val="auto"/>
              </w:rPr>
            </w:pPr>
            <w:r>
              <w:rPr>
                <w:rFonts w:ascii="Arial" w:cs="Arial" w:eastAsia="Arial" w:hAnsi="Arial"/>
                <w:sz w:val="18"/>
                <w:szCs w:val="18"/>
                <w:color w:val="auto"/>
              </w:rPr>
              <w:t>Current income tax expense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Distributions from unconsolidated entities</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 excess of/(less than) adjusted equity</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(13)</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w w:val="91"/>
              </w:rPr>
              <w:t xml:space="preserve">Distributions to noncontrolling interests </w:t>
            </w:r>
            <w:r>
              <w:rPr>
                <w:rFonts w:ascii="Arial" w:cs="Arial" w:eastAsia="Arial" w:hAnsi="Arial"/>
                <w:sz w:val="23"/>
                <w:szCs w:val="23"/>
                <w:color w:val="auto"/>
                <w:w w:val="91"/>
                <w:vertAlign w:val="superscript"/>
              </w:rPr>
              <w:t>(14)</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Implied DCF</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3"/>
                <w:szCs w:val="23"/>
                <w:color w:val="auto"/>
                <w:vertAlign w:val="superscript"/>
              </w:rPr>
              <w:t>(15)</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56"/>
        </w:trPr>
        <w:tc>
          <w:tcPr>
            <w:tcW w:w="3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Implied DCF Available to Common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Unitholders</w:t>
            </w:r>
          </w:p>
        </w:tc>
        <w:tc>
          <w:tcPr>
            <w:tcW w:w="18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140"/>
              <w:spacing w:after="0" w:line="243"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(14)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Implied DCF Excess </w:t>
            </w:r>
            <w:r>
              <w:rPr>
                <w:rFonts w:ascii="Arial" w:cs="Arial" w:eastAsia="Arial" w:hAnsi="Arial"/>
                <w:sz w:val="23"/>
                <w:szCs w:val="23"/>
                <w:color w:val="auto"/>
                <w:vertAlign w:val="superscript"/>
              </w:rPr>
              <w:t>(16)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63" w:lineRule="exact"/>
        <w:rPr>
          <w:sz w:val="20"/>
          <w:szCs w:val="20"/>
          <w:color w:val="auto"/>
        </w:rPr>
      </w:pPr>
    </w:p>
    <w:p>
      <w:pPr>
        <w:ind w:left="420" w:right="400" w:hanging="11"/>
        <w:spacing w:after="0" w:line="263" w:lineRule="auto"/>
        <w:rPr>
          <w:sz w:val="20"/>
          <w:szCs w:val="20"/>
          <w:color w:val="auto"/>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such unconsolidated entities when reviewing Adjusted EBITDA, similar to our consolidated assets.</w:t>
      </w:r>
    </w:p>
    <w:p>
      <w:pPr>
        <w:spacing w:after="0" w:line="76" w:lineRule="exact"/>
        <w:rPr>
          <w:sz w:val="20"/>
          <w:szCs w:val="20"/>
          <w:color w:val="auto"/>
        </w:rPr>
      </w:pPr>
    </w:p>
    <w:p>
      <w:pPr>
        <w:ind w:left="420" w:hanging="11"/>
        <w:spacing w:after="0" w:line="271" w:lineRule="auto"/>
        <w:rPr>
          <w:sz w:val="20"/>
          <w:szCs w:val="20"/>
          <w:color w:val="auto"/>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10 to our Condensed Consolidated Financial Statements for a comprehensive discussion regarding our derivatives and risk management activities.</w:t>
      </w:r>
    </w:p>
    <w:p>
      <w:pPr>
        <w:spacing w:after="0" w:line="70"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0" w:hanging="652"/>
        <w:spacing w:after="0" w:line="243" w:lineRule="auto"/>
        <w:tabs>
          <w:tab w:leader="none" w:pos="64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2019 Annual Report on Form 10-K for additional inventory disclosures.</w:t>
      </w:r>
    </w:p>
    <w:p>
      <w:pPr>
        <w:spacing w:after="0" w:line="94" w:lineRule="exact"/>
        <w:rPr>
          <w:rFonts w:ascii="Arial" w:cs="Arial" w:eastAsia="Arial" w:hAnsi="Arial"/>
          <w:sz w:val="23"/>
          <w:szCs w:val="23"/>
          <w:color w:val="auto"/>
          <w:vertAlign w:val="superscript"/>
        </w:rPr>
      </w:pPr>
    </w:p>
    <w:p>
      <w:pPr>
        <w:ind w:left="660" w:right="40" w:hanging="652"/>
        <w:spacing w:after="0" w:line="260" w:lineRule="auto"/>
        <w:tabs>
          <w:tab w:leader="none" w:pos="648"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6" w:lineRule="exact"/>
        <w:rPr>
          <w:sz w:val="20"/>
          <w:szCs w:val="20"/>
          <w:color w:val="auto"/>
        </w:rPr>
      </w:pPr>
    </w:p>
    <w:p>
      <w:pPr>
        <w:ind w:left="660" w:right="120" w:hanging="652"/>
        <w:spacing w:after="0" w:line="277" w:lineRule="auto"/>
        <w:tabs>
          <w:tab w:leader="none" w:pos="64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18 to our Consolidated Financial Statements included in Part IV of our 2019 Annual Report on Form 10-K for a comprehensive discussion regarding our equity-indexed compensation plans.</w:t>
      </w:r>
    </w:p>
    <w:p>
      <w:pPr>
        <w:spacing w:after="0" w:line="67" w:lineRule="exact"/>
        <w:rPr>
          <w:rFonts w:ascii="Arial" w:cs="Arial" w:eastAsia="Arial" w:hAnsi="Arial"/>
          <w:sz w:val="21"/>
          <w:szCs w:val="21"/>
          <w:color w:val="auto"/>
          <w:vertAlign w:val="superscript"/>
        </w:rPr>
      </w:pPr>
    </w:p>
    <w:p>
      <w:pPr>
        <w:ind w:left="660" w:hanging="652"/>
        <w:spacing w:after="0" w:line="273" w:lineRule="auto"/>
        <w:tabs>
          <w:tab w:leader="none" w:pos="64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 See Note 10 to our Condensed Consolidated Financial Statements for discussion regarding our currency exchange rate risk hedging activities.</w:t>
      </w:r>
    </w:p>
    <w:p>
      <w:pPr>
        <w:spacing w:after="0" w:line="69" w:lineRule="exact"/>
        <w:rPr>
          <w:rFonts w:ascii="Arial" w:cs="Arial" w:eastAsia="Arial" w:hAnsi="Arial"/>
          <w:sz w:val="21"/>
          <w:szCs w:val="21"/>
          <w:color w:val="auto"/>
          <w:vertAlign w:val="superscript"/>
        </w:rPr>
      </w:pPr>
    </w:p>
    <w:p>
      <w:pPr>
        <w:ind w:left="660" w:right="80" w:hanging="652"/>
        <w:spacing w:after="0" w:line="234" w:lineRule="auto"/>
        <w:tabs>
          <w:tab w:leader="none" w:pos="648"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12 to our Condensed Consolidated Financial Statements for additional information regarding the Line 901 incident.</w:t>
      </w:r>
    </w:p>
    <w:p>
      <w:pPr>
        <w:sectPr>
          <w:pgSz w:w="11900" w:h="16838" w:orient="portrait"/>
          <w:cols w:equalWidth="0" w:num="1">
            <w:col w:w="11220"/>
          </w:cols>
          <w:pgMar w:left="320" w:top="125" w:right="35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Includes acquisition-related expenses associated with the Felix Midstream acquisition in February 2020. See Note 14 for additional information.</w:t>
      </w:r>
    </w:p>
    <w:p>
      <w:pPr>
        <w:spacing w:after="0" w:line="140" w:lineRule="exact"/>
        <w:rPr>
          <w:sz w:val="20"/>
          <w:szCs w:val="20"/>
          <w:color w:val="auto"/>
        </w:rPr>
      </w:pPr>
    </w:p>
    <w:p>
      <w:pPr>
        <w:ind w:left="20" w:right="80" w:hanging="11"/>
        <w:spacing w:after="0" w:line="277" w:lineRule="auto"/>
        <w:rPr>
          <w:sz w:val="20"/>
          <w:szCs w:val="20"/>
          <w:color w:val="auto"/>
        </w:rPr>
      </w:pPr>
      <w:r>
        <w:rPr>
          <w:rFonts w:ascii="Arial" w:cs="Arial" w:eastAsia="Arial" w:hAnsi="Arial"/>
          <w:sz w:val="18"/>
          <w:szCs w:val="18"/>
          <w:color w:val="auto"/>
        </w:rPr>
        <w:t>Includes net gains recognized in connection with the repurchase of our outstanding senior notes on the open market. See Note 8 to our Condensed Consolidated Financial Statements for additional information.</w:t>
      </w:r>
    </w:p>
    <w:p>
      <w:pPr>
        <w:spacing w:after="0" w:line="62"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left="660" w:right="460" w:hanging="652"/>
        <w:spacing w:after="0" w:line="267" w:lineRule="auto"/>
        <w:tabs>
          <w:tab w:leader="none" w:pos="652"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Other income/(expense), net per our Condensed Consolidated Statements of Operations, adjusted for selected items impacting comparability (“Adjusted Other income/(expense), net”) is included in Adjusted EBITDA and excluded from Segment Adjusted EBITDA.</w:t>
      </w:r>
    </w:p>
    <w:p>
      <w:pPr>
        <w:spacing w:after="0" w:line="55" w:lineRule="exact"/>
        <w:rPr>
          <w:rFonts w:ascii="Arial" w:cs="Arial" w:eastAsia="Arial" w:hAnsi="Arial"/>
          <w:sz w:val="21"/>
          <w:szCs w:val="21"/>
          <w:color w:val="auto"/>
          <w:vertAlign w:val="superscript"/>
        </w:rPr>
      </w:pPr>
    </w:p>
    <w:p>
      <w:pPr>
        <w:ind w:left="640" w:hanging="632"/>
        <w:spacing w:after="0"/>
        <w:tabs>
          <w:tab w:leader="none" w:pos="64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93" w:lineRule="exact"/>
        <w:rPr>
          <w:rFonts w:ascii="Arial" w:cs="Arial" w:eastAsia="Arial" w:hAnsi="Arial"/>
          <w:sz w:val="21"/>
          <w:szCs w:val="21"/>
          <w:color w:val="auto"/>
          <w:vertAlign w:val="superscript"/>
        </w:rPr>
      </w:pPr>
    </w:p>
    <w:p>
      <w:pPr>
        <w:ind w:left="660" w:right="320" w:hanging="652"/>
        <w:spacing w:after="0" w:line="227" w:lineRule="auto"/>
        <w:tabs>
          <w:tab w:leader="none" w:pos="652"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3"/>
          <w:szCs w:val="23"/>
          <w:color w:val="auto"/>
          <w:vertAlign w:val="superscript"/>
        </w:rPr>
      </w:pPr>
    </w:p>
    <w:p>
      <w:pPr>
        <w:ind w:left="660" w:right="940" w:hanging="652"/>
        <w:spacing w:after="0" w:line="227" w:lineRule="auto"/>
        <w:tabs>
          <w:tab w:leader="none" w:pos="652"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Comprised of cash distributions received from unconsolidated entities less equity earnings in unconsolidated entities (adjusted for our proportionate share of depreciation and amortization).</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93" w:lineRule="exact"/>
        <w:rPr>
          <w:rFonts w:ascii="Arial" w:cs="Arial" w:eastAsia="Arial" w:hAnsi="Arial"/>
          <w:sz w:val="23"/>
          <w:szCs w:val="23"/>
          <w:color w:val="auto"/>
          <w:vertAlign w:val="superscript"/>
        </w:rPr>
      </w:pPr>
    </w:p>
    <w:p>
      <w:pPr>
        <w:ind w:left="660" w:right="60" w:hanging="652"/>
        <w:spacing w:after="0" w:line="242" w:lineRule="auto"/>
        <w:tabs>
          <w:tab w:leader="none" w:pos="652"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is payable in cash semi-annually in arrears on May 15 and November 15. See Note 12 to our Consolidated Financial Statements included in Part IV of our 2019 Annual Report on Form 10-K for additional information regarding our preferred units.</w:t>
      </w:r>
    </w:p>
    <w:p>
      <w:pPr>
        <w:spacing w:after="0" w:line="59"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Excess DCF is retained to establish reserves for future distributions, capital expenditures and other partnership purposes.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distributions to, contributions from and proceeds from the sale of noncontrolling interests. Free Cash Flow is further reduced by cash distributions paid to preferred and common unitholders to arrive at Free Cash Flow After Distributions.</w:t>
      </w:r>
    </w:p>
    <w:p>
      <w:pPr>
        <w:spacing w:after="0" w:line="20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sets forth the reconciliation of the non-GAAP financial liquidity measures Free Cash Flow and Free Cash Flow After Distributions from Net Cash Provided by Operating Activities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w w:val="96"/>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r>
      <w:tr>
        <w:trPr>
          <w:trHeight w:val="230"/>
        </w:trPr>
        <w:tc>
          <w:tcPr>
            <w:tcW w:w="6240" w:type="dxa"/>
            <w:vAlign w:val="bottom"/>
          </w:tcPr>
          <w:p>
            <w:pPr>
              <w:ind w:left="12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240" w:type="dxa"/>
            <w:vAlign w:val="bottom"/>
          </w:tcPr>
          <w:p>
            <w:pPr>
              <w:ind w:left="120"/>
              <w:spacing w:after="0"/>
              <w:rPr>
                <w:sz w:val="20"/>
                <w:szCs w:val="20"/>
                <w:color w:val="auto"/>
              </w:rPr>
            </w:pPr>
            <w:r>
              <w:rPr>
                <w:rFonts w:ascii="Arial" w:cs="Arial" w:eastAsia="Arial" w:hAnsi="Arial"/>
                <w:sz w:val="18"/>
                <w:szCs w:val="18"/>
                <w:color w:val="auto"/>
              </w:rPr>
              <w:t>Sale of noncontrolling interest in a subsidiary</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Borders>
              <w:top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9"/>
        </w:trPr>
        <w:tc>
          <w:tcPr>
            <w:tcW w:w="62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(2)</w:t>
            </w: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(168)</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paid to our preferred and common unitholders during the period presented.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18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a discussion of the primary drivers of cash flow from operating activities, see “Liquidity and Capital Resources—</w:t>
      </w:r>
      <w:r>
        <w:rPr>
          <w:rFonts w:ascii="Arial" w:cs="Arial" w:eastAsia="Arial" w:hAnsi="Arial"/>
          <w:sz w:val="18"/>
          <w:szCs w:val="18"/>
          <w:i w:val="1"/>
          <w:iCs w:val="1"/>
          <w:color w:val="auto"/>
        </w:rPr>
        <w:t>Cash Flow from 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18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income/(loss) attributable to PAA.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and trucks.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60" w:type="dxa"/>
            <w:vAlign w:val="bottom"/>
          </w:tcPr>
          <w:p>
            <w:pPr>
              <w:spacing w:after="0"/>
              <w:rPr>
                <w:sz w:val="14"/>
                <w:szCs w:val="14"/>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104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4"/>
                <w:szCs w:val="14"/>
                <w:color w:val="auto"/>
              </w:rPr>
            </w:pPr>
          </w:p>
        </w:tc>
        <w:tc>
          <w:tcPr>
            <w:tcW w:w="106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6"/>
        </w:trPr>
        <w:tc>
          <w:tcPr>
            <w:tcW w:w="3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4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(Gains)/losses from derivative activities,</w:t>
            </w:r>
          </w:p>
        </w:tc>
        <w:tc>
          <w:tcPr>
            <w:tcW w:w="16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of inventory valuation adjustments</w:t>
            </w:r>
          </w:p>
        </w:tc>
        <w:tc>
          <w:tcPr>
            <w:tcW w:w="16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2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Deficiencies under minimum volume</w:t>
            </w: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commitments, net</w:t>
            </w: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gridSpan w:val="2"/>
          </w:tcPr>
          <w:p>
            <w:pPr>
              <w:ind w:left="120"/>
              <w:spacing w:after="0"/>
              <w:rPr>
                <w:sz w:val="20"/>
                <w:szCs w:val="20"/>
                <w:color w:val="auto"/>
              </w:rPr>
            </w:pPr>
            <w:r>
              <w:rPr>
                <w:rFonts w:ascii="Arial" w:cs="Arial" w:eastAsia="Arial" w:hAnsi="Arial"/>
                <w:sz w:val="18"/>
                <w:szCs w:val="18"/>
                <w:color w:val="auto"/>
              </w:rPr>
              <w:t>Line 901 incident</w:t>
            </w: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Significant acquisition-related expenses</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Segment Adjusted EBITDA per barrel</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20" w:type="dxa"/>
            <w:vAlign w:val="bottom"/>
            <w:gridSpan w:val="2"/>
            <w:vMerge w:val="continue"/>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3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00" w:type="dxa"/>
            <w:vAlign w:val="bottom"/>
            <w:gridSpan w:val="2"/>
            <w:vMerge w:val="continue"/>
          </w:tcPr>
          <w:p>
            <w:pPr>
              <w:spacing w:after="0"/>
              <w:rPr>
                <w:sz w:val="16"/>
                <w:szCs w:val="16"/>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00" w:type="dxa"/>
            <w:vAlign w:val="bottom"/>
            <w:gridSpan w:val="2"/>
          </w:tcPr>
          <w:p>
            <w:pPr>
              <w:ind w:left="20"/>
              <w:spacing w:after="0" w:line="185" w:lineRule="exact"/>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8"/>
                <w:szCs w:val="18"/>
                <w:b w:val="1"/>
                <w:bCs w:val="1"/>
                <w:color w:val="auto"/>
                <w:vertAlign w:val="superscript"/>
              </w:rPr>
              <w:t>(4)</w:t>
            </w:r>
          </w:p>
        </w:tc>
        <w:tc>
          <w:tcPr>
            <w:tcW w:w="840" w:type="dxa"/>
            <w:vAlign w:val="bottom"/>
            <w:tcBorders>
              <w:top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20" w:type="dxa"/>
            <w:vAlign w:val="bottom"/>
            <w:tcBorders>
              <w:top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Gulf Coast</w:t>
            </w:r>
          </w:p>
        </w:tc>
        <w:tc>
          <w:tcPr>
            <w:tcW w:w="8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340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400" w:type="dxa"/>
            <w:vAlign w:val="bottom"/>
            <w:gridSpan w:val="2"/>
          </w:tcPr>
          <w:p>
            <w:pPr>
              <w:ind w:left="220"/>
              <w:spacing w:after="0"/>
              <w:rPr>
                <w:sz w:val="20"/>
                <w:szCs w:val="20"/>
                <w:color w:val="auto"/>
              </w:rPr>
            </w:pPr>
            <w:r>
              <w:rPr>
                <w:rFonts w:ascii="Arial" w:cs="Arial" w:eastAsia="Arial" w:hAnsi="Arial"/>
                <w:sz w:val="18"/>
                <w:szCs w:val="18"/>
                <w:color w:val="auto"/>
              </w:rPr>
              <w:t>Western</w:t>
            </w: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Canada</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840" w:type="dxa"/>
            <w:vAlign w:val="bottom"/>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840" w:type="dxa"/>
            <w:vAlign w:val="bottom"/>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6,352</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Indicates that variance as a percentage is not meaningful.</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100"/>
            <w:col w:w="11000"/>
          </w:cols>
          <w:pgMar w:left="320" w:top="125" w:right="339" w:bottom="1440" w:gutter="0" w:footer="0" w:header="0"/>
          <w:type w:val="continuous"/>
        </w:sectPr>
      </w:pPr>
    </w:p>
    <w:p>
      <w:pPr>
        <w:ind w:left="660" w:right="480" w:hanging="652"/>
        <w:spacing w:after="0" w:line="227" w:lineRule="auto"/>
        <w:tabs>
          <w:tab w:leader="none" w:pos="648"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ectPr>
          <w:pgSz w:w="11900" w:h="16838" w:orient="portrait"/>
          <w:cols w:equalWidth="0" w:num="1">
            <w:col w:w="11240"/>
          </w:cols>
          <w:pgMar w:left="320" w:top="12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40" w:firstLine="693"/>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ectPr>
          <w:pgSz w:w="11900" w:h="16838" w:orient="portrait"/>
          <w:cols w:equalWidth="0" w:num="1">
            <w:col w:w="11240"/>
          </w:cols>
          <w:pgMar w:left="320" w:top="125" w:right="339" w:bottom="1440" w:gutter="0" w:footer="0" w:header="0"/>
        </w:sectPr>
      </w:pP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jc w:val="center"/>
              <w:ind w:right="54"/>
              <w:spacing w:after="0"/>
              <w:rPr>
                <w:sz w:val="20"/>
                <w:szCs w:val="20"/>
                <w:color w:val="auto"/>
              </w:rPr>
            </w:pPr>
            <w:r>
              <w:rPr>
                <w:rFonts w:ascii="Arial" w:cs="Arial" w:eastAsia="Arial" w:hAnsi="Arial"/>
                <w:sz w:val="14"/>
                <w:szCs w:val="14"/>
                <w:b w:val="1"/>
                <w:bCs w:val="1"/>
                <w:color w:val="auto"/>
                <w:w w:val="94"/>
              </w:rPr>
              <w:t>Favorable/(Unfavorable) Variance</w:t>
            </w: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7"/>
          </w:tcPr>
          <w:p>
            <w:pPr>
              <w:jc w:val="center"/>
              <w:ind w:right="54"/>
              <w:spacing w:after="0" w:line="135" w:lineRule="exact"/>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88"/>
        </w:trPr>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2020-2019</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40" w:type="dxa"/>
            <w:vAlign w:val="bottom"/>
            <w:gridSpan w:val="3"/>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Purchases and</w:t>
            </w:r>
          </w:p>
        </w:tc>
        <w:tc>
          <w:tcPr>
            <w:tcW w:w="160" w:type="dxa"/>
            <w:vAlign w:val="bottom"/>
          </w:tcPr>
          <w:p>
            <w:pPr>
              <w:spacing w:after="0"/>
              <w:rPr>
                <w:sz w:val="11"/>
                <w:szCs w:val="11"/>
                <w:color w:val="auto"/>
              </w:rPr>
            </w:pPr>
          </w:p>
        </w:tc>
        <w:tc>
          <w:tcPr>
            <w:tcW w:w="780" w:type="dxa"/>
            <w:vAlign w:val="bottom"/>
          </w:tcPr>
          <w:p>
            <w:pPr>
              <w:jc w:val="right"/>
              <w:ind w:right="174"/>
              <w:spacing w:after="0" w:line="130"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3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Related Costs</w:t>
            </w:r>
          </w:p>
        </w:tc>
        <w:tc>
          <w:tcPr>
            <w:tcW w:w="16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3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Permian Basin region</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Central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Rocky Mountain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Canada region</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regions, trucking and pipeline loss</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allowance revenue</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gridSpan w:val="2"/>
          </w:tcPr>
          <w:p>
            <w:pPr>
              <w:ind w:left="100"/>
              <w:spacing w:after="0"/>
              <w:rPr>
                <w:sz w:val="20"/>
                <w:szCs w:val="20"/>
                <w:color w:val="auto"/>
              </w:rPr>
            </w:pPr>
            <w:r>
              <w:rPr>
                <w:rFonts w:ascii="Arial" w:cs="Arial" w:eastAsia="Arial" w:hAnsi="Arial"/>
                <w:sz w:val="18"/>
                <w:szCs w:val="18"/>
                <w:color w:val="auto"/>
              </w:rPr>
              <w:t>Total variance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-1182370</wp:posOffset>
            </wp:positionV>
            <wp:extent cx="6240780" cy="1165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4078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left="420" w:right="760"/>
        <w:spacing w:after="0" w:line="226" w:lineRule="auto"/>
        <w:rPr>
          <w:sz w:val="20"/>
          <w:szCs w:val="20"/>
          <w:color w:val="auto"/>
        </w:rPr>
      </w:pPr>
      <w:r>
        <w:rPr>
          <w:rFonts w:ascii="Arial" w:cs="Arial" w:eastAsia="Arial" w:hAnsi="Arial"/>
          <w:sz w:val="14"/>
          <w:szCs w:val="14"/>
          <w:b w:val="1"/>
          <w:bCs w:val="1"/>
          <w:color w:val="auto"/>
        </w:rPr>
        <w:t>Favorable/(Unfavorable) Variance Nine Months Ended September 30, 2020-2019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Revenues</w:t>
            </w:r>
          </w:p>
        </w:tc>
        <w:tc>
          <w:tcPr>
            <w:tcW w:w="1040" w:type="dxa"/>
            <w:vAlign w:val="bottom"/>
            <w:tcBorders>
              <w:top w:val="single" w:sz="8" w:color="auto"/>
            </w:tcBorders>
            <w:gridSpan w:val="3"/>
          </w:tcPr>
          <w:p>
            <w:pPr>
              <w:ind w:left="20"/>
              <w:spacing w:after="0" w:line="141" w:lineRule="exact"/>
              <w:rPr>
                <w:sz w:val="20"/>
                <w:szCs w:val="20"/>
                <w:color w:val="auto"/>
              </w:rPr>
            </w:pPr>
            <w:r>
              <w:rPr>
                <w:rFonts w:ascii="Arial" w:cs="Arial" w:eastAsia="Arial" w:hAnsi="Arial"/>
                <w:sz w:val="14"/>
                <w:szCs w:val="14"/>
                <w:b w:val="1"/>
                <w:bCs w:val="1"/>
                <w:color w:val="auto"/>
              </w:rPr>
              <w:t>Purchases and</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4"/>
              <w:spacing w:after="0" w:line="141"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Related Costs</w:t>
            </w:r>
          </w:p>
        </w:tc>
        <w:tc>
          <w:tcPr>
            <w:tcW w:w="140" w:type="dxa"/>
            <w:vAlign w:val="bottom"/>
          </w:tcPr>
          <w:p>
            <w:pPr>
              <w:spacing w:after="0"/>
              <w:rPr>
                <w:sz w:val="16"/>
                <w:szCs w:val="16"/>
                <w:color w:val="auto"/>
              </w:rPr>
            </w:pPr>
          </w:p>
        </w:tc>
        <w:tc>
          <w:tcPr>
            <w:tcW w:w="7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2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center"/>
              <w:ind w:left="150"/>
              <w:spacing w:after="0"/>
              <w:rPr>
                <w:sz w:val="20"/>
                <w:szCs w:val="20"/>
                <w:color w:val="auto"/>
              </w:rPr>
            </w:pPr>
            <w:r>
              <w:rPr>
                <w:rFonts w:ascii="Arial" w:cs="Arial" w:eastAsia="Arial" w:hAnsi="Arial"/>
                <w:sz w:val="18"/>
                <w:szCs w:val="18"/>
                <w:color w:val="auto"/>
                <w:w w:val="93"/>
              </w:rPr>
              <w:t>(50)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5"/>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3"/>
              </w:rPr>
              <w:t>(29)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60" w:space="220"/>
            <w:col w:w="3760"/>
          </w:cols>
          <w:pgMar w:left="320" w:top="125" w:right="339" w:bottom="1440" w:gutter="0" w:footer="0" w:header="0"/>
          <w:type w:val="continuous"/>
        </w:sectPr>
      </w:pPr>
    </w:p>
    <w:p>
      <w:pPr>
        <w:spacing w:after="0" w:line="110" w:lineRule="exact"/>
        <w:rPr>
          <w:sz w:val="20"/>
          <w:szCs w:val="20"/>
          <w:color w:val="auto"/>
        </w:rPr>
      </w:pPr>
    </w:p>
    <w:p>
      <w:pPr>
        <w:ind w:left="980" w:right="40" w:hanging="324"/>
        <w:spacing w:after="0" w:line="290" w:lineRule="auto"/>
        <w:tabs>
          <w:tab w:leader="none" w:pos="975"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The decrease in revenues, net of purchases and related costs, of $64 million and $90 million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2020, respectively, compared to the same periods in 2019, was primarily due to lower long-haul pipeline movements to Cushing and Corpus Christi due to compressed regional basis differentials. Some shippers on the pipelines to Cushing and Corpus Christi have under-delivered relative to their minimum volume commitments; however, the earnings related to these volume shortfalls will not be recognized until future periods when either the shortfall is made up or when the shipper’s make-up rights expire. Such deficiencies are reflected as an “Adjustment” in the table above as discussed further below under “—</w:t>
      </w:r>
      <w:r>
        <w:rPr>
          <w:rFonts w:ascii="Arial" w:cs="Arial" w:eastAsia="Arial" w:hAnsi="Arial"/>
          <w:sz w:val="16"/>
          <w:szCs w:val="16"/>
          <w:i w:val="1"/>
          <w:iCs w:val="1"/>
          <w:color w:val="auto"/>
        </w:rPr>
        <w:t>Adjustments: Deficiencies under minimum volume</w:t>
      </w:r>
      <w:r>
        <w:rPr>
          <w:rFonts w:ascii="Arial" w:cs="Arial" w:eastAsia="Arial" w:hAnsi="Arial"/>
          <w:sz w:val="16"/>
          <w:szCs w:val="16"/>
          <w:color w:val="auto"/>
        </w:rPr>
        <w:t xml:space="preserve"> </w:t>
      </w:r>
      <w:r>
        <w:rPr>
          <w:rFonts w:ascii="Arial" w:cs="Arial" w:eastAsia="Arial" w:hAnsi="Arial"/>
          <w:sz w:val="16"/>
          <w:szCs w:val="16"/>
          <w:i w:val="1"/>
          <w:iCs w:val="1"/>
          <w:color w:val="auto"/>
        </w:rPr>
        <w:t>commitments, net.</w:t>
      </w:r>
      <w:r>
        <w:rPr>
          <w:rFonts w:ascii="Arial" w:cs="Arial" w:eastAsia="Arial" w:hAnsi="Arial"/>
          <w:sz w:val="16"/>
          <w:szCs w:val="16"/>
          <w:color w:val="auto"/>
        </w:rPr>
        <w:t>” For the nine-month comparative period, increased volumes from our gathering pipelines, including the gathering system</w:t>
      </w:r>
      <w:r>
        <w:rPr>
          <w:rFonts w:ascii="Arial" w:cs="Arial" w:eastAsia="Arial" w:hAnsi="Arial"/>
          <w:sz w:val="16"/>
          <w:szCs w:val="16"/>
          <w:i w:val="1"/>
          <w:iCs w:val="1"/>
          <w:color w:val="auto"/>
        </w:rPr>
        <w:t xml:space="preserve"> </w:t>
      </w:r>
      <w:r>
        <w:rPr>
          <w:rFonts w:ascii="Arial" w:cs="Arial" w:eastAsia="Arial" w:hAnsi="Arial"/>
          <w:sz w:val="16"/>
          <w:szCs w:val="16"/>
          <w:color w:val="auto"/>
        </w:rPr>
        <w:t>we acquired from Felix Midstream in February 2020, were more than offset by declines on our long-haul pipelines.</w:t>
      </w:r>
    </w:p>
    <w:p>
      <w:pPr>
        <w:spacing w:after="0" w:line="192" w:lineRule="exact"/>
        <w:rPr>
          <w:rFonts w:ascii="Arial" w:cs="Arial" w:eastAsia="Arial" w:hAnsi="Arial"/>
          <w:sz w:val="16"/>
          <w:szCs w:val="16"/>
          <w:b w:val="1"/>
          <w:bCs w:val="1"/>
          <w:i w:val="1"/>
          <w:iCs w:val="1"/>
          <w:color w:val="auto"/>
        </w:rPr>
      </w:pPr>
    </w:p>
    <w:p>
      <w:pPr>
        <w:jc w:val="both"/>
        <w:ind w:left="98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The increase in equity earnings over the comparative periods was primarily from our 65% interest in the Cactus II pipeline, which was placed in service in August 2019, partially offset by lower equity earnings from our 30% interest in BridgeTex Pipeline Company, LLC primarily due to lower volumes.</w:t>
      </w:r>
    </w:p>
    <w:p>
      <w:pPr>
        <w:spacing w:after="0" w:line="210" w:lineRule="exact"/>
        <w:rPr>
          <w:rFonts w:ascii="Arial" w:cs="Arial" w:eastAsia="Arial" w:hAnsi="Arial"/>
          <w:sz w:val="16"/>
          <w:szCs w:val="16"/>
          <w:b w:val="1"/>
          <w:bCs w:val="1"/>
          <w:i w:val="1"/>
          <w:iCs w:val="1"/>
          <w:color w:val="auto"/>
        </w:rPr>
      </w:pPr>
    </w:p>
    <w:p>
      <w:pPr>
        <w:ind w:left="980" w:right="140" w:hanging="324"/>
        <w:spacing w:after="0" w:line="286" w:lineRule="auto"/>
        <w:tabs>
          <w:tab w:leader="none" w:pos="975"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Equity earnings from our 50% interest in Eagle Ford Pipeline LLC decreased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compared to the three and nine months ended September 30, 2019 due to a combination of lower joint tariff volumes from the Permian Basin via our Cactus I pipeline, and to a lesser extent, lower regional receipts.</w:t>
      </w:r>
    </w:p>
    <w:p>
      <w:pPr>
        <w:spacing w:after="0" w:line="192" w:lineRule="exact"/>
        <w:rPr>
          <w:rFonts w:ascii="Arial" w:cs="Arial" w:eastAsia="Arial" w:hAnsi="Arial"/>
          <w:sz w:val="17"/>
          <w:szCs w:val="17"/>
          <w:i w:val="1"/>
          <w:iCs w:val="1"/>
          <w:color w:val="auto"/>
        </w:rPr>
      </w:pPr>
    </w:p>
    <w:p>
      <w:pPr>
        <w:ind w:left="980" w:hanging="324"/>
        <w:spacing w:after="0" w:line="257"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decrease in revenues, net of purchases and related costs, for the three and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2019 was primarily due to lower volumes as a result of (i) voluntary curtailments and shut-ins by oil producers and (ii) a significant decrease in drilling and completion activity in the Mid-Continent, both factors are due to the low crude oil prices during the current year. In addition, the production declines in this area, like other areas in which we operate, has resulted in an increase in competition for the remaining production in this region.</w:t>
      </w:r>
    </w:p>
    <w:p>
      <w:pPr>
        <w:spacing w:after="0" w:line="214" w:lineRule="exact"/>
        <w:rPr>
          <w:rFonts w:ascii="Arial" w:cs="Arial" w:eastAsia="Arial" w:hAnsi="Arial"/>
          <w:sz w:val="18"/>
          <w:szCs w:val="18"/>
          <w:i w:val="1"/>
          <w:iCs w:val="1"/>
          <w:color w:val="auto"/>
        </w:rPr>
      </w:pPr>
    </w:p>
    <w:p>
      <w:pPr>
        <w:ind w:left="980" w:right="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The decrease in equity earnings for the three and nine months ended September 30, 2020 compared to the same periods in 2019 was primarily due to the impact of refinery downtime on certain of the demand pull pipelines out of Cushing, Oklahoma, in which we own a 50% interest, as well as voluntary curtailments and shut-ins by oil producers due to the low crude oil prices during the current year.</w:t>
      </w:r>
    </w:p>
    <w:p>
      <w:pPr>
        <w:spacing w:after="0" w:line="192" w:lineRule="exact"/>
        <w:rPr>
          <w:rFonts w:ascii="Arial" w:cs="Arial" w:eastAsia="Arial" w:hAnsi="Arial"/>
          <w:sz w:val="18"/>
          <w:szCs w:val="18"/>
          <w:i w:val="1"/>
          <w:iCs w:val="1"/>
          <w:color w:val="auto"/>
        </w:rPr>
      </w:pPr>
    </w:p>
    <w:p>
      <w:pPr>
        <w:ind w:left="980" w:right="40" w:hanging="324"/>
        <w:spacing w:after="0" w:line="259" w:lineRule="auto"/>
        <w:tabs>
          <w:tab w:leader="none" w:pos="97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Equity earnings decreased for the three and nine months ended September 30, 2020 compared to the same periods in</w:t>
      </w:r>
      <w:r>
        <w:rPr>
          <w:rFonts w:ascii="Arial" w:cs="Arial" w:eastAsia="Arial" w:hAnsi="Arial"/>
          <w:sz w:val="18"/>
          <w:szCs w:val="18"/>
          <w:i w:val="1"/>
          <w:iCs w:val="1"/>
          <w:color w:val="auto"/>
        </w:rPr>
        <w:t xml:space="preserve"> </w:t>
      </w:r>
      <w:r>
        <w:rPr>
          <w:rFonts w:ascii="Arial" w:cs="Arial" w:eastAsia="Arial" w:hAnsi="Arial"/>
          <w:sz w:val="18"/>
          <w:szCs w:val="18"/>
          <w:color w:val="auto"/>
        </w:rPr>
        <w:t>2019 primarily due to (i) the sale of a 10% interest in Saddlehorn in February 2020 and (ii) lower volumes of higher tariff crude oil movements, partially offset by new movements of lower tariff NGL volumes on the pipelines owned by White Cliffs, in which we own a 36%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980" w:right="180" w:hanging="324"/>
        <w:spacing w:after="0" w:line="263"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Revenues decreased for the three and nine months ended September 30, 2020 compared to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primarily due to voluntary curtailments and shut-ins by oil producers due to the low crude oil prices during the current year.</w:t>
      </w:r>
    </w:p>
    <w:p>
      <w:pPr>
        <w:spacing w:after="0" w:line="210" w:lineRule="exact"/>
        <w:rPr>
          <w:rFonts w:ascii="Arial" w:cs="Arial" w:eastAsia="Arial" w:hAnsi="Arial"/>
          <w:sz w:val="18"/>
          <w:szCs w:val="18"/>
          <w:color w:val="auto"/>
        </w:rPr>
      </w:pPr>
    </w:p>
    <w:p>
      <w:pPr>
        <w:ind w:left="980" w:right="40" w:hanging="324"/>
        <w:spacing w:after="0" w:line="301" w:lineRule="auto"/>
        <w:tabs>
          <w:tab w:leader="none" w:pos="975"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regions, trucking and pipeline loss allowance revenue. </w:t>
      </w:r>
      <w:r>
        <w:rPr>
          <w:rFonts w:ascii="Arial" w:cs="Arial" w:eastAsia="Arial" w:hAnsi="Arial"/>
          <w:sz w:val="16"/>
          <w:szCs w:val="16"/>
          <w:color w:val="auto"/>
        </w:rPr>
        <w:t>The decrease in other revenues, net of purchases and related costs,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and nine months ended September 30, 2020 compared to the three and nine months ended September 30, 2019 was primarily due to lower pipeline loss allowance revenue in 2020 due to lower prices and volumes. Additionally, volumes in our Gulf Coast region were impacted by a decrease in throughput due to reduced refinery demand on a lower tariff pipeline, which did not result in a significant impact on revenue.</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three and nine months ended September 30, 2020, amounts billed to counterparties exceeded revenue recognized during the period that was previously deferred. For the three and nine months ended September 30, 2019, the recognition of previously deferred revenue exceeded amounts billed to counterparties associated with deficiencies under minimum volume commitments.</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due to (i) a decrease in variable costs including reductions in generator and power costs, the use of drag reducing agents and corrosion inhibiting chemicals due to lower volumes, (ii) reductions in compensation costs, including the benefit of wage subsidies received by our Canadian subsidiary, and (iii) a decrease of maintenance and integrity management activities, primarily due to interval changes facilitated through risk-based data application, partially offset by (iv) higher property taxes due to assets placed in service in 2020. In addition, the nine-month comparative period was favorably impacted by (i) lower equity-based compensation costs on liability-classified awards (which are not included as an “Adjustment” in the table above) due to a decrease in our common unit price and (ii) additional estimated costs recognized in the second quarter of 2019 associated with the Line 901 incident (which impact field operating costs but are excluded from Segment Adjusted EBITDA and thus are reflected as an “Adjustment” in the table above).</w:t>
      </w:r>
    </w:p>
    <w:p>
      <w:pPr>
        <w:spacing w:after="0" w:line="223"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periods in 2019 was primarily due to lower equity-based compensation costs on liability-classified awards (which are not included as an “Adjustment” in the table above), due to a decrease in our common unit price, and lower compensation costs including the benefit of wage subsidies received by our Canadian subsidiary.</w:t>
      </w:r>
    </w:p>
    <w:p>
      <w:pPr>
        <w:spacing w:after="0" w:line="21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Maintenance Capital</w:t>
      </w:r>
      <w:r>
        <w:rPr>
          <w:rFonts w:ascii="Arial" w:cs="Arial" w:eastAsia="Arial" w:hAnsi="Arial"/>
          <w:sz w:val="18"/>
          <w:szCs w:val="18"/>
          <w:color w:val="auto"/>
        </w:rPr>
        <w:t>. Maintenance capital consists of capital expenditures for the replacement and/or refurbishment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spending for the three and nine months ended September 30, 2020 compared to the same periods in 2019 was primarily due to interval changes facilitated through risk-based data application to integrity management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7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2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w w:val="95"/>
              </w:rPr>
              <w:t>Variance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9"/>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80" w:type="dxa"/>
            <w:vAlign w:val="bottom"/>
            <w:gridSpan w:val="4"/>
            <w:vMerge w:val="restart"/>
          </w:tcPr>
          <w:p>
            <w:pPr>
              <w:ind w:left="56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9"/>
          </w:tcPr>
          <w:p>
            <w:pPr>
              <w:ind w:left="2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4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3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46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6"/>
        </w:trPr>
        <w:tc>
          <w:tcPr>
            <w:tcW w:w="3460" w:type="dxa"/>
            <w:vAlign w:val="bottom"/>
            <w:gridSpan w:val="4"/>
          </w:tcPr>
          <w:p>
            <w:pPr>
              <w:ind w:left="20"/>
              <w:spacing w:after="0" w:line="176" w:lineRule="exact"/>
              <w:rPr>
                <w:sz w:val="20"/>
                <w:szCs w:val="20"/>
                <w:color w:val="auto"/>
              </w:rPr>
            </w:pPr>
            <w:r>
              <w:rPr>
                <w:rFonts w:ascii="Arial" w:cs="Arial" w:eastAsia="Arial" w:hAnsi="Arial"/>
                <w:sz w:val="18"/>
                <w:szCs w:val="18"/>
                <w:color w:val="auto"/>
                <w:w w:val="92"/>
              </w:rPr>
              <w:t>Segment general and administrative expenses</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2"/>
        </w:trPr>
        <w:tc>
          <w:tcPr>
            <w:tcW w:w="3220" w:type="dxa"/>
            <w:vAlign w:val="bottom"/>
          </w:tcPr>
          <w:p>
            <w:pPr>
              <w:ind w:left="18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6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100" w:type="dxa"/>
            <w:vAlign w:val="bottom"/>
          </w:tcPr>
          <w:p>
            <w:pPr>
              <w:spacing w:after="0"/>
              <w:rPr>
                <w:sz w:val="15"/>
                <w:szCs w:val="15"/>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4"/>
          </w:tcPr>
          <w:p>
            <w:pPr>
              <w:ind w:left="120"/>
              <w:spacing w:after="0"/>
              <w:rPr>
                <w:sz w:val="20"/>
                <w:szCs w:val="20"/>
                <w:color w:val="auto"/>
              </w:rPr>
            </w:pPr>
            <w:r>
              <w:rPr>
                <w:rFonts w:ascii="Arial" w:cs="Arial" w:eastAsia="Arial" w:hAnsi="Arial"/>
                <w:sz w:val="18"/>
                <w:szCs w:val="18"/>
                <w:color w:val="auto"/>
              </w:rPr>
              <w:t>unconsolidated entities</w:t>
            </w: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Gains from derivative activities</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460" w:type="dxa"/>
            <w:vAlign w:val="bottom"/>
            <w:gridSpan w:val="4"/>
          </w:tcPr>
          <w:p>
            <w:pPr>
              <w:ind w:left="120"/>
              <w:spacing w:after="0" w:line="176" w:lineRule="exact"/>
              <w:rPr>
                <w:sz w:val="20"/>
                <w:szCs w:val="20"/>
                <w:color w:val="auto"/>
              </w:rPr>
            </w:pPr>
            <w:r>
              <w:rPr>
                <w:rFonts w:ascii="Arial" w:cs="Arial" w:eastAsia="Arial" w:hAnsi="Arial"/>
                <w:sz w:val="18"/>
                <w:szCs w:val="18"/>
                <w:color w:val="auto"/>
              </w:rPr>
              <w:t>Deficiencies under minimum volume</w:t>
            </w:r>
          </w:p>
        </w:tc>
        <w:tc>
          <w:tcPr>
            <w:tcW w:w="100" w:type="dxa"/>
            <w:vAlign w:val="bottom"/>
          </w:tcPr>
          <w:p>
            <w:pPr>
              <w:spacing w:after="0"/>
              <w:rPr>
                <w:sz w:val="15"/>
                <w:szCs w:val="15"/>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020" w:type="dxa"/>
            <w:vAlign w:val="bottom"/>
            <w:gridSpan w:val="5"/>
            <w:vMerge w:val="restart"/>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4"/>
          </w:tcPr>
          <w:p>
            <w:pPr>
              <w:ind w:left="120"/>
              <w:spacing w:after="0"/>
              <w:rPr>
                <w:sz w:val="20"/>
                <w:szCs w:val="20"/>
                <w:color w:val="auto"/>
              </w:rPr>
            </w:pPr>
            <w:r>
              <w:rPr>
                <w:rFonts w:ascii="Arial" w:cs="Arial" w:eastAsia="Arial" w:hAnsi="Arial"/>
                <w:sz w:val="18"/>
                <w:szCs w:val="18"/>
                <w:color w:val="auto"/>
              </w:rPr>
              <w:t>commitments, net</w:t>
            </w:r>
          </w:p>
        </w:tc>
        <w:tc>
          <w:tcPr>
            <w:tcW w:w="10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5"/>
            <w:vMerge w:val="continue"/>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gridSpan w:val="4"/>
          </w:tcPr>
          <w:p>
            <w:pPr>
              <w:ind w:left="20"/>
              <w:spacing w:after="0"/>
              <w:rPr>
                <w:sz w:val="20"/>
                <w:szCs w:val="20"/>
                <w:color w:val="auto"/>
              </w:rPr>
            </w:pPr>
            <w:r>
              <w:rPr>
                <w:rFonts w:ascii="Arial" w:cs="Arial" w:eastAsia="Arial" w:hAnsi="Arial"/>
                <w:sz w:val="18"/>
                <w:szCs w:val="18"/>
                <w:color w:val="auto"/>
              </w:rPr>
              <w:t>Segment 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6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Segment Adjusted EBITDA per barrel</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gridSpan w:val="2"/>
          </w:tcPr>
          <w:p>
            <w:pPr>
              <w:jc w:val="right"/>
              <w:ind w:right="140"/>
              <w:spacing w:after="0" w:line="203" w:lineRule="exact"/>
              <w:rPr>
                <w:sz w:val="20"/>
                <w:szCs w:val="20"/>
                <w:color w:val="auto"/>
              </w:rPr>
            </w:pPr>
            <w:r>
              <w:rPr>
                <w:rFonts w:ascii="Arial" w:cs="Arial" w:eastAsia="Arial" w:hAnsi="Arial"/>
                <w:sz w:val="18"/>
                <w:szCs w:val="18"/>
                <w:color w:val="auto"/>
              </w:rPr>
              <w:t>2 %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507"/>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24"/>
                <w:szCs w:val="24"/>
                <w:color w:val="auto"/>
              </w:rPr>
            </w:pPr>
          </w:p>
        </w:tc>
        <w:tc>
          <w:tcPr>
            <w:tcW w:w="102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Variance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9"/>
          </w:tcPr>
          <w:p>
            <w:pPr>
              <w:ind w:left="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1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Variance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8"/>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020" w:type="dxa"/>
            <w:vAlign w:val="bottom"/>
            <w:gridSpan w:val="5"/>
            <w:vMerge w:val="continue"/>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9"/>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20" w:type="dxa"/>
            <w:vAlign w:val="bottom"/>
            <w:gridSpan w:val="2"/>
          </w:tcPr>
          <w:p>
            <w:pPr>
              <w:ind w:left="20"/>
              <w:spacing w:after="0" w:line="184" w:lineRule="exact"/>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8"/>
                <w:szCs w:val="18"/>
                <w:b w:val="1"/>
                <w:bCs w:val="1"/>
                <w:color w:val="auto"/>
                <w:vertAlign w:val="superscript"/>
              </w:rPr>
              <w:t>(4)</w:t>
            </w:r>
          </w:p>
        </w:tc>
        <w:tc>
          <w:tcPr>
            <w:tcW w:w="14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Volumes</w:t>
            </w:r>
          </w:p>
        </w:tc>
        <w:tc>
          <w:tcPr>
            <w:tcW w:w="60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Volumes</w:t>
            </w:r>
          </w:p>
        </w:tc>
        <w:tc>
          <w:tcPr>
            <w:tcW w:w="62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2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4"/>
              </w:rPr>
              <w:t>Liquids storage (average monthly capacity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color w:val="auto"/>
              </w:rPr>
              <w:t xml:space="preserve">in millions of barrels) </w:t>
            </w:r>
            <w:r>
              <w:rPr>
                <w:rFonts w:ascii="Arial" w:cs="Arial" w:eastAsia="Arial" w:hAnsi="Arial"/>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rPr>
              <w:t>Natural gas storage (average monthly</w:t>
            </w: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working capacity in billions of cubic</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346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feet)</w:t>
            </w: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NGL fractionation (average volumes in</w:t>
            </w:r>
          </w:p>
        </w:tc>
        <w:tc>
          <w:tcPr>
            <w:tcW w:w="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46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thousands of barrels per day)</w:t>
            </w:r>
          </w:p>
        </w:tc>
        <w:tc>
          <w:tcPr>
            <w:tcW w:w="1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color w:val="auto"/>
                <w:w w:val="99"/>
              </w:rPr>
              <w:t>Facilities segment total volumes (average</w:t>
            </w: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gridSpan w:val="2"/>
            <w:vMerge w:val="continue"/>
          </w:tcPr>
          <w:p>
            <w:pPr>
              <w:spacing w:after="0"/>
              <w:rPr>
                <w:sz w:val="10"/>
                <w:szCs w:val="10"/>
                <w:color w:val="auto"/>
              </w:rPr>
            </w:pPr>
          </w:p>
        </w:tc>
        <w:tc>
          <w:tcPr>
            <w:tcW w:w="1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460" w:type="dxa"/>
            <w:vAlign w:val="bottom"/>
            <w:gridSpan w:val="4"/>
          </w:tcPr>
          <w:p>
            <w:pPr>
              <w:ind w:left="180"/>
              <w:spacing w:after="0" w:line="176" w:lineRule="exact"/>
              <w:rPr>
                <w:sz w:val="20"/>
                <w:szCs w:val="20"/>
                <w:color w:val="auto"/>
              </w:rPr>
            </w:pPr>
            <w:r>
              <w:rPr>
                <w:rFonts w:ascii="Arial" w:cs="Arial" w:eastAsia="Arial" w:hAnsi="Arial"/>
                <w:sz w:val="18"/>
                <w:szCs w:val="18"/>
                <w:color w:val="auto"/>
              </w:rPr>
              <w:t>monthly volumes in millions of barrels)</w:t>
            </w: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vMerge w:val="restart"/>
          </w:tcPr>
          <w:p>
            <w:pPr>
              <w:spacing w:after="0"/>
              <w:rPr>
                <w:sz w:val="15"/>
                <w:szCs w:val="15"/>
                <w:color w:val="auto"/>
              </w:rPr>
            </w:pPr>
          </w:p>
        </w:tc>
        <w:tc>
          <w:tcPr>
            <w:tcW w:w="380" w:type="dxa"/>
            <w:vAlign w:val="bottom"/>
            <w:gridSpan w:val="2"/>
            <w:vMerge w:val="restart"/>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line="135" w:lineRule="exact"/>
              <w:rPr>
                <w:sz w:val="20"/>
                <w:szCs w:val="20"/>
                <w:color w:val="auto"/>
              </w:rPr>
            </w:pPr>
            <w:r>
              <w:rPr>
                <w:rFonts w:ascii="Arial" w:cs="Arial" w:eastAsia="Arial" w:hAnsi="Arial"/>
                <w:sz w:val="12"/>
                <w:szCs w:val="12"/>
                <w:color w:val="auto"/>
              </w:rPr>
              <w:t>(6)</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period divided by the number of months in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ind w:left="20" w:right="180" w:hanging="11"/>
        <w:spacing w:after="0" w:line="291" w:lineRule="auto"/>
        <w:rPr>
          <w:sz w:val="20"/>
          <w:szCs w:val="20"/>
          <w:color w:val="auto"/>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w:t>
      </w:r>
    </w:p>
    <w:p>
      <w:pPr>
        <w:ind w:left="20" w:right="1120" w:hanging="4"/>
        <w:spacing w:after="0" w:line="508" w:lineRule="auto"/>
        <w:tabs>
          <w:tab w:leader="none" w:pos="3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NGL fractionation volumes multiplied by the number of days in the period and divided by the number of months in the period. The following is a discussion of items impacting Facilities segment operating results.</w:t>
      </w:r>
    </w:p>
    <w:p>
      <w:pPr>
        <w:spacing w:after="0" w:line="1" w:lineRule="exact"/>
        <w:rPr>
          <w:sz w:val="20"/>
          <w:szCs w:val="20"/>
          <w:color w:val="auto"/>
        </w:rPr>
      </w:pPr>
    </w:p>
    <w:p>
      <w:pPr>
        <w:sectPr>
          <w:pgSz w:w="11900" w:h="16838" w:orient="portrait"/>
          <w:cols w:equalWidth="0" w:num="2">
            <w:col w:w="140" w:space="500"/>
            <w:col w:w="10580"/>
          </w:cols>
          <w:pgMar w:left="320" w:top="125" w:right="359" w:bottom="1440" w:gutter="0" w:footer="0" w:header="0"/>
          <w:type w:val="continuous"/>
        </w:sect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and average monthly volumes were primarily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97" w:lineRule="exact"/>
        <w:rPr>
          <w:sz w:val="20"/>
          <w:szCs w:val="20"/>
          <w:color w:val="auto"/>
        </w:rPr>
      </w:pPr>
    </w:p>
    <w:p>
      <w:pPr>
        <w:ind w:left="980" w:hanging="324"/>
        <w:spacing w:after="0" w:line="259" w:lineRule="auto"/>
        <w:tabs>
          <w:tab w:leader="none" w:pos="975"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from our crude oil storage operations increased by $13 million and $28 million for the three and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compared to three and nine months ended September 30, 2019, respectively, primarily due to (i) the addition of an aggregate of 3.1 million barrels of storage capacity at our Cushing, St. James and Midland terminals, (ii) increased activity at our Cushing and Midland terminals and (iii) increased spot activity at certain of our West Coast terminals.</w:t>
      </w:r>
    </w:p>
    <w:p>
      <w:pPr>
        <w:spacing w:after="0" w:line="213" w:lineRule="exact"/>
        <w:rPr>
          <w:rFonts w:ascii="Arial" w:cs="Arial" w:eastAsia="Arial" w:hAnsi="Arial"/>
          <w:sz w:val="18"/>
          <w:szCs w:val="18"/>
          <w:i w:val="1"/>
          <w:iCs w:val="1"/>
          <w:color w:val="auto"/>
        </w:rPr>
      </w:pPr>
    </w:p>
    <w:p>
      <w:pPr>
        <w:ind w:left="980" w:right="3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increase in equity earnings over the comparative periods was from our 50% interest in Eagle Ford Terminals, which owns a crude oil storage facility in Corpus Christi that was placed in service in September of 2019.</w:t>
      </w:r>
    </w:p>
    <w:p>
      <w:pPr>
        <w:spacing w:after="0" w:line="197" w:lineRule="exact"/>
        <w:rPr>
          <w:rFonts w:ascii="Arial" w:cs="Arial" w:eastAsia="Arial" w:hAnsi="Arial"/>
          <w:sz w:val="18"/>
          <w:szCs w:val="18"/>
          <w:i w:val="1"/>
          <w:iCs w:val="1"/>
          <w:color w:val="auto"/>
        </w:rPr>
      </w:pPr>
    </w:p>
    <w:p>
      <w:pPr>
        <w:ind w:left="980" w:right="60" w:hanging="324"/>
        <w:spacing w:after="0" w:line="311" w:lineRule="auto"/>
        <w:tabs>
          <w:tab w:leader="none" w:pos="97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Rail Terminals. </w:t>
      </w:r>
      <w:r>
        <w:rPr>
          <w:rFonts w:ascii="Arial" w:cs="Arial" w:eastAsia="Arial" w:hAnsi="Arial"/>
          <w:sz w:val="16"/>
          <w:szCs w:val="16"/>
          <w:color w:val="auto"/>
        </w:rPr>
        <w:t>Revenues from our rail terminals decreased by $13 million and $29 million for the three and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compared to three and nine months ended September 30, 2019, respectively, primarily due to decreased activity at certain of our rail terminals as a result of lower volumes due to voluntary shut-ins and curtailments, as well as less favorable market conditions.</w:t>
      </w:r>
    </w:p>
    <w:p>
      <w:pPr>
        <w:spacing w:after="0" w:line="175" w:lineRule="exact"/>
        <w:rPr>
          <w:rFonts w:ascii="Arial" w:cs="Arial" w:eastAsia="Arial" w:hAnsi="Arial"/>
          <w:sz w:val="16"/>
          <w:szCs w:val="16"/>
          <w:color w:val="auto"/>
        </w:rPr>
      </w:pPr>
    </w:p>
    <w:p>
      <w:pPr>
        <w:ind w:left="980" w:right="120" w:hanging="324"/>
        <w:spacing w:after="0" w:line="254" w:lineRule="auto"/>
        <w:tabs>
          <w:tab w:leader="none" w:pos="975"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from our NGL operations decreased by $18 million and $12 million for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periods in 2019, respectively, primarily due to the sale of certain NGL terminals in the fourth quarter of 2019 and the second quarter of 2020 and net unfavorable foreign exchange impacts of approximately $1 million and $7 million, respectively. The three and nine month comparative periods were further unfavorably impacted by lower revenues from our NGL processing facilities. The decrease in revenues for the nine months ended September 30, 2020 compared to the nine months ended September 30, 2019 was partially offset by the favorable impact of the receipt of a deficiency payment of approximately $20 million upon the expiration of a multi-year contract.</w:t>
      </w:r>
    </w:p>
    <w:p>
      <w:pPr>
        <w:spacing w:after="0" w:line="221" w:lineRule="exact"/>
        <w:rPr>
          <w:rFonts w:ascii="Arial" w:cs="Arial" w:eastAsia="Arial" w:hAnsi="Arial"/>
          <w:sz w:val="18"/>
          <w:szCs w:val="18"/>
          <w:i w:val="1"/>
          <w:iCs w:val="1"/>
          <w:color w:val="auto"/>
        </w:rPr>
      </w:pPr>
    </w:p>
    <w:p>
      <w:pPr>
        <w:ind w:left="980" w:right="20" w:hanging="324"/>
        <w:spacing w:after="0" w:line="311" w:lineRule="auto"/>
        <w:tabs>
          <w:tab w:leader="none" w:pos="975"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Natural Gas and Condensate Processing. </w:t>
      </w:r>
      <w:r>
        <w:rPr>
          <w:rFonts w:ascii="Arial" w:cs="Arial" w:eastAsia="Arial" w:hAnsi="Arial"/>
          <w:sz w:val="16"/>
          <w:szCs w:val="16"/>
          <w:color w:val="auto"/>
        </w:rPr>
        <w:t>Revenues, net of purchases and related costs, from our natural gas and condensate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decreased by $9 million for nine months ended September 30, 2020 compared to the same period in 2019 primarily due to the unfavorable impact of a $5 million payment to resolve a contractual dispute as well as a decrease in condensate processing volumes and rates.</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decrease in field operating costs for the three and nine months ended September 30, 2020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in 2019 was primarily due to (i) lower integrity management and maintenance activities due to interval changes facilitated through risk-based data application, (ii) reduced activity at our rail terminals and (iii) reductions in compensation costs including the benefit of wage subsidies received by our Canadian subsidiary. In addition, the three-month comparative period was favorably impacted by mark-to-market gains in the current period on fuel hedges (which impacts field operating costs but are excluded from Segment Adjusted EBITDA and thus are reflected as an “Adjustment” in the table above), and the nine-month comparative period was favorably impacted by lower insurance claims costs.</w:t>
      </w:r>
    </w:p>
    <w:p>
      <w:pPr>
        <w:spacing w:after="0" w:line="205" w:lineRule="exact"/>
        <w:rPr>
          <w:sz w:val="20"/>
          <w:szCs w:val="20"/>
          <w:color w:val="auto"/>
        </w:rPr>
      </w:pPr>
    </w:p>
    <w:p>
      <w:pPr>
        <w:ind w:right="520" w:firstLine="648"/>
        <w:spacing w:after="0" w:line="248" w:lineRule="auto"/>
        <w:rPr>
          <w:sz w:val="20"/>
          <w:szCs w:val="20"/>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compared to the same period in 2019 was primarily driven by lower compensation costs including the benefit of wage subsidies received by our Canadian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decrease in maintenance capital spending for the three and nine months ended September 30, 2020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in 2019 was primarily due to interval changes facilitated through risk-based data application to integrity management activities.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8"/>
                <w:szCs w:val="18"/>
                <w:b w:val="1"/>
                <w:bCs w:val="1"/>
                <w:color w:val="auto"/>
                <w:vertAlign w:val="superscript"/>
              </w:rPr>
              <w:t>(1)</w:t>
            </w:r>
          </w:p>
        </w:tc>
        <w:tc>
          <w:tcPr>
            <w:tcW w:w="180" w:type="dxa"/>
            <w:vAlign w:val="bottom"/>
          </w:tcPr>
          <w:p>
            <w:pPr>
              <w:spacing w:after="0"/>
              <w:rPr>
                <w:sz w:val="14"/>
                <w:szCs w:val="1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2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(22,599)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76"/>
        </w:trPr>
        <w:tc>
          <w:tcPr>
            <w:tcW w:w="3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Segment general and administrative</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316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(Gains)/losses from derivative activities,</w:t>
            </w: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net of inventory valuation adjustments</w:t>
            </w: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Long-term inventory costing</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gridSpan w:val="2"/>
          </w:tcPr>
          <w:p>
            <w:pPr>
              <w:ind w:left="12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Equity-indexed compensation expense</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16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Net (gain)/loss on foreign currency</w:t>
            </w: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revaluation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18"/>
                <w:szCs w:val="18"/>
                <w:b w:val="1"/>
                <w:bCs w:val="1"/>
                <w:color w:val="auto"/>
                <w:vertAlign w:val="superscript"/>
              </w:rPr>
              <w:t>(4)</w:t>
            </w:r>
          </w:p>
        </w:tc>
        <w:tc>
          <w:tcPr>
            <w:tcW w:w="180" w:type="dxa"/>
            <w:vAlign w:val="bottom"/>
          </w:tcPr>
          <w:p>
            <w:pPr>
              <w:spacing w:after="0"/>
              <w:rPr>
                <w:sz w:val="24"/>
                <w:szCs w:val="24"/>
                <w:color w:val="auto"/>
              </w:rPr>
            </w:pPr>
          </w:p>
        </w:tc>
        <w:tc>
          <w:tcPr>
            <w:tcW w:w="17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2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7"/>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4"/>
                <w:szCs w:val="24"/>
                <w:color w:val="auto"/>
              </w:rPr>
            </w:pPr>
          </w:p>
        </w:tc>
        <w:tc>
          <w:tcPr>
            <w:tcW w:w="122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Variance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7"/>
          </w:tcPr>
          <w:p>
            <w:pPr>
              <w:ind w:left="3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20" w:type="dxa"/>
            <w:vAlign w:val="bottom"/>
            <w:gridSpan w:val="5"/>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Volumes</w:t>
            </w:r>
          </w:p>
        </w:tc>
        <w:tc>
          <w:tcPr>
            <w:tcW w:w="64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Volumes</w:t>
            </w:r>
          </w:p>
        </w:tc>
        <w:tc>
          <w:tcPr>
            <w:tcW w:w="6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97"/>
              </w:rPr>
              <w:t>—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NGL sales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56"/>
        </w:trPr>
        <w:tc>
          <w:tcPr>
            <w:tcW w:w="316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8"/>
                <w:szCs w:val="18"/>
                <w:color w:val="auto"/>
              </w:rPr>
              <w:t>Supply and Logistics segment total</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volumes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Indicates that variance as a percentage is not meaningful.</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right="460" w:hanging="652"/>
        <w:spacing w:after="0" w:line="227" w:lineRule="auto"/>
        <w:tabs>
          <w:tab w:leader="none" w:pos="648"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94" w:lineRule="exact"/>
        <w:rPr>
          <w:rFonts w:ascii="Arial" w:cs="Arial" w:eastAsia="Arial" w:hAnsi="Arial"/>
          <w:sz w:val="23"/>
          <w:szCs w:val="23"/>
          <w:color w:val="auto"/>
          <w:vertAlign w:val="superscript"/>
        </w:rPr>
      </w:pPr>
    </w:p>
    <w:p>
      <w:pPr>
        <w:ind w:left="660" w:right="2140" w:hanging="652"/>
        <w:spacing w:after="0" w:line="535" w:lineRule="auto"/>
        <w:tabs>
          <w:tab w:leader="none" w:pos="648"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Average daily volumes are calculated as the total volumes for the period divided by the number of days in the period. The following table presents the range of the NYMEX WTI benchmark price of crude oil (in dollars per barrel):</w:t>
      </w:r>
    </w:p>
    <w:p>
      <w:pPr>
        <w:ind w:left="9300"/>
        <w:spacing w:after="0" w:line="227" w:lineRule="auto"/>
        <w:rPr>
          <w:sz w:val="20"/>
          <w:szCs w:val="20"/>
          <w:color w:val="auto"/>
        </w:rPr>
      </w:pPr>
      <w:r>
        <w:rPr>
          <w:rFonts w:ascii="Arial" w:cs="Arial" w:eastAsia="Arial" w:hAnsi="Arial"/>
          <w:sz w:val="14"/>
          <w:szCs w:val="14"/>
          <w:b w:val="1"/>
          <w:bCs w:val="1"/>
          <w:color w:val="auto"/>
        </w:rPr>
        <w:t>NYMEX WTI</w:t>
      </w:r>
    </w:p>
    <w:p>
      <w:pPr>
        <w:ind w:left="9240"/>
        <w:spacing w:after="0"/>
        <w:rPr>
          <w:sz w:val="20"/>
          <w:szCs w:val="20"/>
          <w:color w:val="auto"/>
        </w:rPr>
      </w:pPr>
      <w:r>
        <w:rPr>
          <w:rFonts w:ascii="Arial" w:cs="Arial" w:eastAsia="Arial" w:hAnsi="Arial"/>
          <w:sz w:val="14"/>
          <w:szCs w:val="14"/>
          <w:b w:val="1"/>
          <w:bCs w:val="1"/>
          <w:color w:val="auto"/>
        </w:rPr>
        <w:t>Crude Oil Price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Low</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24"/>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2020</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89"/>
              </w:rPr>
              <w:t>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Three Months Ended September 30, 2019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74"/>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Nine Months Ended September 30,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34"/>
              <w:spacing w:after="0"/>
              <w:rPr>
                <w:sz w:val="20"/>
                <w:szCs w:val="20"/>
                <w:color w:val="auto"/>
              </w:rPr>
            </w:pPr>
            <w:r>
              <w:rPr>
                <w:rFonts w:ascii="Arial" w:cs="Arial" w:eastAsia="Arial" w:hAnsi="Arial"/>
                <w:sz w:val="18"/>
                <w:szCs w:val="18"/>
                <w:color w:val="auto"/>
                <w:w w:val="93"/>
              </w:rPr>
              <w:t>(38)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2019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7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bl>
    <w:p>
      <w:pPr>
        <w:spacing w:after="0" w:line="33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71"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w:t>
      </w:r>
    </w:p>
    <w:p>
      <w:pPr>
        <w:spacing w:after="0" w:line="197" w:lineRule="exact"/>
        <w:rPr>
          <w:sz w:val="20"/>
          <w:szCs w:val="20"/>
          <w:color w:val="auto"/>
        </w:rPr>
      </w:pPr>
    </w:p>
    <w:p>
      <w:pPr>
        <w:ind w:left="980" w:right="80" w:hanging="324"/>
        <w:spacing w:after="0" w:line="255"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operations decreased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2020 compared to the three and nine months ended September 30, 2019, primarily due to a combination of (i) less favorable market conditions, (ii) the impact of lower volumes in higher margin areas, partially offset by volume increases in lower margin areas, and (iii) the impact of weighted average inventory costing resulting in lower margins during the period (which will result in higher margins in subsequent periods), partially offset by the favorable impact of contango market conditions during the second and third quarters of 2020.</w:t>
      </w:r>
    </w:p>
    <w:p>
      <w:pPr>
        <w:spacing w:after="0" w:line="219" w:lineRule="exact"/>
        <w:rPr>
          <w:rFonts w:ascii="Arial" w:cs="Arial" w:eastAsia="Arial" w:hAnsi="Arial"/>
          <w:sz w:val="18"/>
          <w:szCs w:val="18"/>
          <w:color w:val="auto"/>
        </w:rPr>
      </w:pPr>
    </w:p>
    <w:p>
      <w:pPr>
        <w:ind w:left="980" w:right="40" w:hanging="324"/>
        <w:spacing w:after="0" w:line="279" w:lineRule="auto"/>
        <w:tabs>
          <w:tab w:leader="none" w:pos="975"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decreased for the three and nine months ended September 30, 2020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nine months ended September 30, 2019, primarily due to weaker fractionation spreads, lower border flows through our straddle plants and the decision to decrease shoulder month sales volumes and increase winter month sales volumes, as well as the absence of the favorable impact from certain non-recurring items recorded in the second quarter of 2019.</w:t>
      </w:r>
    </w:p>
    <w:p>
      <w:pPr>
        <w:spacing w:after="0" w:line="171" w:lineRule="exact"/>
        <w:rPr>
          <w:rFonts w:ascii="Arial" w:cs="Arial" w:eastAsia="Arial" w:hAnsi="Arial"/>
          <w:sz w:val="17"/>
          <w:szCs w:val="17"/>
          <w:color w:val="auto"/>
        </w:rPr>
      </w:pPr>
    </w:p>
    <w:p>
      <w:pPr>
        <w:ind w:left="980" w:right="60" w:hanging="324"/>
        <w:spacing w:after="0" w:line="254" w:lineRule="auto"/>
        <w:tabs>
          <w:tab w:leader="none" w:pos="975"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w:t>
      </w:r>
      <w:r>
        <w:rPr>
          <w:rFonts w:ascii="Arial" w:cs="Arial" w:eastAsia="Arial" w:hAnsi="Arial"/>
          <w:sz w:val="18"/>
          <w:szCs w:val="18"/>
          <w:b w:val="1"/>
          <w:bCs w:val="1"/>
          <w:color w:val="auto"/>
        </w:rPr>
        <w:t>.</w:t>
      </w:r>
      <w:r>
        <w:rPr>
          <w:rFonts w:ascii="Arial" w:cs="Arial" w:eastAsia="Arial" w:hAnsi="Arial"/>
          <w:sz w:val="18"/>
          <w:szCs w:val="18"/>
          <w:color w:val="auto"/>
        </w:rPr>
        <w:t xml:space="preserv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line="255"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19" w:lineRule="exact"/>
        <w:rPr>
          <w:rFonts w:ascii="Arial" w:cs="Arial" w:eastAsia="Arial" w:hAnsi="Arial"/>
          <w:sz w:val="18"/>
          <w:szCs w:val="18"/>
          <w:color w:val="auto"/>
        </w:rPr>
      </w:pPr>
    </w:p>
    <w:p>
      <w:pPr>
        <w:ind w:left="980" w:right="360" w:hanging="324"/>
        <w:spacing w:after="0" w:line="279" w:lineRule="auto"/>
        <w:tabs>
          <w:tab w:leader="none" w:pos="97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which result in the realization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foreign exchange gains and losses on the settlement of foreign currency transactions as well as the revaluation of monetary assets and liabilities denominated in a foreign currency. These non-cash gains and losses impact our net revenues but are excluded from Segment Adjusted EBITDA and thus are reflected as an “Adjustment” in the table above.</w:t>
      </w:r>
    </w:p>
    <w:p>
      <w:pPr>
        <w:spacing w:after="0" w:line="198" w:lineRule="exact"/>
        <w:rPr>
          <w:rFonts w:ascii="Arial" w:cs="Arial" w:eastAsia="Arial" w:hAnsi="Arial"/>
          <w:sz w:val="17"/>
          <w:szCs w:val="17"/>
          <w:color w:val="auto"/>
        </w:rPr>
      </w:pPr>
    </w:p>
    <w:p>
      <w:pPr>
        <w:ind w:left="980" w:right="160" w:hanging="324"/>
        <w:spacing w:after="0" w:line="263" w:lineRule="auto"/>
        <w:tabs>
          <w:tab w:leader="none" w:pos="975"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three and nine months ended September 30,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2019 was primarily driven by a decrease in long-haul third-party trucking costs and a decrease in company personnel and truck costs as additional pipeline capacity came into service after the first half of 2019.</w:t>
      </w:r>
    </w:p>
    <w:p>
      <w:pPr>
        <w:spacing w:after="0" w:line="210" w:lineRule="exact"/>
        <w:rPr>
          <w:rFonts w:ascii="Arial" w:cs="Arial" w:eastAsia="Arial" w:hAnsi="Arial"/>
          <w:sz w:val="18"/>
          <w:szCs w:val="18"/>
          <w:i w:val="1"/>
          <w:iCs w:val="1"/>
          <w:color w:val="auto"/>
        </w:rPr>
      </w:pPr>
    </w:p>
    <w:p>
      <w:pPr>
        <w:ind w:left="980" w:right="120" w:hanging="324"/>
        <w:spacing w:after="0" w:line="275" w:lineRule="auto"/>
        <w:tabs>
          <w:tab w:leader="none" w:pos="975"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Segment General and Administrative Expenses</w:t>
      </w:r>
      <w:r>
        <w:rPr>
          <w:rFonts w:ascii="Arial" w:cs="Arial" w:eastAsia="Arial" w:hAnsi="Arial"/>
          <w:sz w:val="17"/>
          <w:szCs w:val="17"/>
          <w:color w:val="auto"/>
        </w:rPr>
        <w:t>. The decrease in segment general and administrative expenses for the three and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2020 compared to the same periods in 2019 was primarily driven by lower compensation costs including the benefit of wage subsidies received by our Canadian subsidiary and decreased travel and entertainment costs. The nine-month comparative period was further favorably impacted by a decrease in equity-based compensation costs on liability-classified awards (which are not included as an “Adjustment” in the table above) due to a decrease in our common unit price.</w:t>
      </w:r>
    </w:p>
    <w:p>
      <w:pPr>
        <w:spacing w:after="0" w:line="20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The decrease in maintenance capital spending for the three months ended September 30, 2020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was due to lower tractor trailer lease buyouts.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Depreciation and amortization expense increased for the three and nine months ended September 30, 2020 compared to the three and nine months ended September 30, 2019 largely driven by additional depreciation expense associated with acquired assets and the completion of various investment capital projects. In addition, the increase for the nine-month comparative period was also impacted by a reduction in the useful lives of certain assets.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net loss on asset sales and asset impairments for the nine months ended September 30, 2020 was largely driven by (i) non-cash impairment losses of approximately $446 million related to the write-down of certain pipeline and other long-lived assets due to the current macroeconomic and geopolitical conditions including the collapse of oil prices driven by both the decrease in demand caused by the COVID-19 pandemic and excess supply, as well as changing market conditions and expected lower crude oil production in certain regions, and (ii) approximately $167 million of impairment losses recognized on assets upon classification as held for sale. See Note 14 for additional information regarding these asset impairments.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 Impairment Losses</w:t>
      </w:r>
    </w:p>
    <w:p>
      <w:pPr>
        <w:spacing w:after="0" w:line="25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During the first quarter of 2020, we recognized a goodwill impairment charge of $2.5 billion, representing the entire balance of goodwill. See Note 6 to our Condensed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on/(Impairment of) Investments in Unconsolidated Entities, Net</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three and nine months ended September 30, 2020, we recognized losses of $91 million and $202 million, respectively, related to the write-down of certain of our investments in unconsolidated entities. Additionally, during the nine months ended September 30, 2020, we recognized a gain of $21 million related to our sale of a 10% interest in Saddlehorn Pipeline Company, LLC. See Note 7 to our Condensed Consolidated Financial Statements for additional information. During the nine months ended September 30, 2019, we recognized a non-cash gain of $269 million related to a fair value adjustment resulting from the accounting for the contribution of our undivided joint interest in the Capline pipeline system for an equity interest in Capline Pipeline Company LLC.</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interest expense for the three and nine months ended September 30, 2020 compared to the three and nine months ended September 30, 2019 was primarily due to a higher weighted average debt balance during the 2020 period, partially offset by lower weighted average rates. In addition, the nine-month comparative period was further unfavorably impacted by lower capitalized interest for the nine months ended September 30, 2020 driven by fewer capital projects under construction.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8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188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7"/>
        </w:trPr>
        <w:tc>
          <w:tcPr>
            <w:tcW w:w="674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4"/>
              </w:rPr>
              <w:t>Gain/(loss) related to mark-to-market adjustment of our Preferred Distribution Rate Reset</w:t>
            </w:r>
          </w:p>
        </w:tc>
        <w:tc>
          <w:tcPr>
            <w:tcW w:w="680" w:type="dxa"/>
            <w:vAlign w:val="bottom"/>
            <w:vMerge w:val="restart"/>
            <w:shd w:val="clear" w:color="auto" w:fill="CCEEFF"/>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Option </w:t>
            </w:r>
            <w:r>
              <w:rPr>
                <w:rFonts w:ascii="Arial" w:cs="Arial" w:eastAsia="Arial" w:hAnsi="Arial"/>
                <w:sz w:val="23"/>
                <w:szCs w:val="23"/>
                <w:color w:val="auto"/>
                <w:vertAlign w:val="superscript"/>
              </w:rPr>
              <w:t>(1)</w:t>
            </w:r>
          </w:p>
        </w:tc>
        <w:tc>
          <w:tcPr>
            <w:tcW w:w="68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(2)</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680" w:type="dxa"/>
            <w:vAlign w:val="bottom"/>
            <w:tcBorders>
              <w:bottom w:val="single" w:sz="8" w:color="auto"/>
            </w:tcBorders>
          </w:tcPr>
          <w:p>
            <w:pPr>
              <w:jc w:val="right"/>
              <w:ind w:right="5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Note 10 to our Condensed Consolidated Financial Statements for additional information.</w:t>
      </w:r>
    </w:p>
    <w:p>
      <w:pPr>
        <w:spacing w:after="0" w:line="63"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The activity during 2020 was primarily related to the impact from the change in the United States dollar to Canadian dollar exchange rate on the portion of our intercompany net investment that is not long-term in nature.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(Expense)/Benefit</w:t>
      </w:r>
    </w:p>
    <w:p>
      <w:pPr>
        <w:spacing w:after="0" w:line="200" w:lineRule="exact"/>
        <w:rPr>
          <w:sz w:val="20"/>
          <w:szCs w:val="20"/>
          <w:color w:val="auto"/>
        </w:rPr>
      </w:pPr>
    </w:p>
    <w:p>
      <w:pPr>
        <w:sectPr>
          <w:pgSz w:w="11900" w:h="16838" w:orient="portrait"/>
          <w:cols w:equalWidth="0" w:num="2">
            <w:col w:w="140" w:space="500"/>
            <w:col w:w="10600"/>
          </w:cols>
          <w:pgMar w:left="320" w:top="125" w:right="339" w:bottom="1440" w:gutter="0" w:footer="0" w:header="0"/>
          <w:type w:val="continuous"/>
        </w:sectPr>
      </w:pPr>
    </w:p>
    <w:p>
      <w:pPr>
        <w:spacing w:after="0" w:line="5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decrease in income tax expense for the three and nine months ended September 30, 2020 compared to the three and nine months ended September 30, 2019 was primarily due to lower earnings in our Canadian operations. The decrease in income tax expense for the nine-month comparative period was partially offset by the recognition of a deferred tax benefit of approximately $60 million during the second quarter of 2019 as a result of the reduction of the provincial tax rate in Alberta,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“—Acquisitions and Capital Expenditures.” Our primary cash requirements include, but are not limited to, (i) ordinary course of business uses, such as the payment of amounts related to the purchase of crude oil, NGL and other products, other expenses and interest payments on outstanding debt, (ii) investment and maintenance capital activities, (iii) acquisitions of assets or businesses,</w:t>
      </w:r>
    </w:p>
    <w:p>
      <w:pPr>
        <w:spacing w:after="0" w:line="2" w:lineRule="exact"/>
        <w:rPr>
          <w:sz w:val="20"/>
          <w:szCs w:val="20"/>
          <w:color w:val="auto"/>
        </w:rPr>
      </w:pPr>
    </w:p>
    <w:p>
      <w:pPr>
        <w:ind w:right="80" w:firstLine="8"/>
        <w:spacing w:after="0" w:line="253" w:lineRule="auto"/>
        <w:tabs>
          <w:tab w:leader="none" w:pos="3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investment capital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w:t>
      </w:r>
    </w:p>
    <w:p>
      <w:pPr>
        <w:spacing w:after="0" w:line="218" w:lineRule="exact"/>
        <w:rPr>
          <w:sz w:val="20"/>
          <w:szCs w:val="20"/>
          <w:color w:val="auto"/>
        </w:rPr>
      </w:pPr>
    </w:p>
    <w:p>
      <w:pPr>
        <w:ind w:right="160" w:firstLine="648"/>
        <w:spacing w:after="0" w:line="284" w:lineRule="auto"/>
        <w:rPr>
          <w:sz w:val="20"/>
          <w:szCs w:val="20"/>
          <w:color w:val="auto"/>
        </w:rPr>
      </w:pPr>
      <w:r>
        <w:rPr>
          <w:rFonts w:ascii="Arial" w:cs="Arial" w:eastAsia="Arial" w:hAnsi="Arial"/>
          <w:sz w:val="17"/>
          <w:szCs w:val="17"/>
          <w:color w:val="auto"/>
        </w:rPr>
        <w:t>As of September 30, 2020, although we had a working capital deficit of $399 million, we had approximately $2.8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5" w:right="339" w:bottom="1440" w:gutter="0" w:footer="0" w:header="0"/>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Availability under senior unsecured revolving credit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0628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 xml:space="preserve">Availability under senior secured hedged inventory facility </w:t>
      </w:r>
      <w:r>
        <w:rPr>
          <w:rFonts w:ascii="Arial" w:cs="Arial" w:eastAsia="Arial" w:hAnsi="Arial"/>
          <w:sz w:val="20"/>
          <w:szCs w:val="20"/>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jc w:val="center"/>
        <w:ind w:right="97"/>
        <w:spacing w:after="0" w:line="227" w:lineRule="auto"/>
        <w:rPr>
          <w:sz w:val="20"/>
          <w:szCs w:val="20"/>
          <w:color w:val="auto"/>
        </w:rPr>
      </w:pPr>
      <w:r>
        <w:rPr>
          <w:rFonts w:ascii="Arial" w:cs="Arial" w:eastAsia="Arial" w:hAnsi="Arial"/>
          <w:sz w:val="14"/>
          <w:szCs w:val="14"/>
          <w:b w:val="1"/>
          <w:bCs w:val="1"/>
          <w:color w:val="auto"/>
        </w:rPr>
        <w:t>As of</w:t>
      </w:r>
    </w:p>
    <w:p>
      <w:pPr>
        <w:jc w:val="center"/>
        <w:ind w:right="57"/>
        <w:spacing w:after="0"/>
        <w:rPr>
          <w:sz w:val="20"/>
          <w:szCs w:val="20"/>
          <w:color w:val="auto"/>
        </w:rPr>
      </w:pPr>
      <w:r>
        <w:rPr>
          <w:rFonts w:ascii="Arial" w:cs="Arial" w:eastAsia="Arial" w:hAnsi="Arial"/>
          <w:sz w:val="14"/>
          <w:szCs w:val="14"/>
          <w:b w:val="1"/>
          <w:bCs w:val="1"/>
          <w:color w:val="auto"/>
        </w:rPr>
        <w:t>September 30, 2020</w:t>
      </w:r>
    </w:p>
    <w:p>
      <w:pPr>
        <w:spacing w:after="0" w:line="34" w:lineRule="exact"/>
        <w:rPr>
          <w:sz w:val="20"/>
          <w:szCs w:val="20"/>
          <w:color w:val="auto"/>
        </w:rPr>
      </w:pPr>
    </w:p>
    <w:p>
      <w:pPr>
        <w:ind w:left="1163" w:hanging="1163"/>
        <w:spacing w:after="0"/>
        <w:tabs>
          <w:tab w:leader="none" w:pos="1163"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1,504</w:t>
      </w:r>
    </w:p>
    <w:p>
      <w:pPr>
        <w:spacing w:after="0" w:line="23" w:lineRule="exact"/>
        <w:rPr>
          <w:rFonts w:ascii="Arial" w:cs="Arial" w:eastAsia="Arial" w:hAnsi="Arial"/>
          <w:sz w:val="18"/>
          <w:szCs w:val="18"/>
          <w:color w:val="auto"/>
        </w:rPr>
      </w:pPr>
    </w:p>
    <w:p>
      <w:pPr>
        <w:ind w:left="1163"/>
        <w:spacing w:after="0"/>
        <w:rPr>
          <w:rFonts w:ascii="Arial" w:cs="Arial" w:eastAsia="Arial" w:hAnsi="Arial"/>
          <w:sz w:val="18"/>
          <w:szCs w:val="18"/>
          <w:color w:val="auto"/>
        </w:rPr>
      </w:pPr>
      <w:r>
        <w:rPr>
          <w:rFonts w:ascii="Arial" w:cs="Arial" w:eastAsia="Arial" w:hAnsi="Arial"/>
          <w:sz w:val="18"/>
          <w:szCs w:val="18"/>
          <w:color w:val="auto"/>
        </w:rPr>
        <w:t>1,356</w:t>
      </w:r>
    </w:p>
    <w:p>
      <w:pPr>
        <w:spacing w:after="0" w:line="22" w:lineRule="exact"/>
        <w:rPr>
          <w:rFonts w:ascii="Arial" w:cs="Arial" w:eastAsia="Arial" w:hAnsi="Arial"/>
          <w:sz w:val="18"/>
          <w:szCs w:val="18"/>
          <w:color w:val="auto"/>
        </w:rPr>
      </w:pPr>
    </w:p>
    <w:p>
      <w:pPr>
        <w:ind w:left="1223"/>
        <w:spacing w:after="0"/>
        <w:rPr>
          <w:rFonts w:ascii="Arial" w:cs="Arial" w:eastAsia="Arial" w:hAnsi="Arial"/>
          <w:sz w:val="18"/>
          <w:szCs w:val="18"/>
          <w:color w:val="auto"/>
        </w:rPr>
      </w:pPr>
      <w:r>
        <w:rPr>
          <w:rFonts w:ascii="Arial" w:cs="Arial" w:eastAsia="Arial" w:hAnsi="Arial"/>
          <w:sz w:val="17"/>
          <w:szCs w:val="17"/>
          <w:color w:val="auto"/>
        </w:rPr>
        <w:t>(112)</w:t>
      </w:r>
    </w:p>
    <w:p>
      <w:pPr>
        <w:spacing w:after="0" w:line="33" w:lineRule="exact"/>
        <w:rPr>
          <w:sz w:val="20"/>
          <w:szCs w:val="20"/>
          <w:color w:val="auto"/>
        </w:rPr>
      </w:pPr>
    </w:p>
    <w:p>
      <w:pPr>
        <w:sectPr>
          <w:pgSz w:w="11900" w:h="16838" w:orient="portrait"/>
          <w:cols w:equalWidth="0" w:num="2">
            <w:col w:w="8837" w:space="720"/>
            <w:col w:w="1683"/>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540" w:type="dxa"/>
            <w:vAlign w:val="bottom"/>
          </w:tcPr>
          <w:p>
            <w:pPr>
              <w:ind w:left="120"/>
              <w:spacing w:after="0"/>
              <w:rPr>
                <w:sz w:val="20"/>
                <w:szCs w:val="20"/>
                <w:color w:val="auto"/>
              </w:rPr>
            </w:pPr>
            <w:r>
              <w:rPr>
                <w:rFonts w:ascii="Arial" w:cs="Arial" w:eastAsia="Arial" w:hAnsi="Arial"/>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2,748</w:t>
            </w:r>
          </w:p>
        </w:tc>
      </w:tr>
      <w:tr>
        <w:trPr>
          <w:trHeight w:val="229"/>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9540" w:type="dxa"/>
            <w:vAlign w:val="bottom"/>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right="36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our commercial paper program, which reduce available capacity under the facilities.</w:t>
      </w:r>
    </w:p>
    <w:p>
      <w:pPr>
        <w:spacing w:after="0" w:line="62" w:lineRule="exact"/>
        <w:rPr>
          <w:sz w:val="20"/>
          <w:szCs w:val="20"/>
          <w:color w:val="auto"/>
        </w:rPr>
      </w:pPr>
    </w:p>
    <w:p>
      <w:pPr>
        <w:ind w:right="240" w:hanging="11"/>
        <w:spacing w:after="0" w:line="277" w:lineRule="auto"/>
        <w:rPr>
          <w:sz w:val="20"/>
          <w:szCs w:val="20"/>
          <w:color w:val="auto"/>
        </w:rPr>
      </w:pPr>
      <w:r>
        <w:rPr>
          <w:rFonts w:ascii="Arial" w:cs="Arial" w:eastAsia="Arial" w:hAnsi="Arial"/>
          <w:sz w:val="18"/>
          <w:szCs w:val="18"/>
          <w:color w:val="auto"/>
        </w:rPr>
        <w:t>Available capacity under our senior unsecured revolving credit facility and senior secured hedged inventory facility was reduced by outstanding letters of credit of $96 million and $44 million, respectively.</w:t>
      </w:r>
    </w:p>
    <w:p>
      <w:pPr>
        <w:spacing w:after="0" w:line="197" w:lineRule="exact"/>
        <w:rPr>
          <w:sz w:val="20"/>
          <w:szCs w:val="20"/>
          <w:color w:val="auto"/>
        </w:rPr>
      </w:pPr>
    </w:p>
    <w:p>
      <w:pPr>
        <w:sectPr>
          <w:pgSz w:w="11900" w:h="16838" w:orient="portrait"/>
          <w:cols w:equalWidth="0" w:num="2">
            <w:col w:w="140" w:space="520"/>
            <w:col w:w="10580"/>
          </w:cols>
          <w:pgMar w:left="320" w:top="125" w:right="339" w:bottom="1440" w:gutter="0" w:footer="0" w:header="0"/>
          <w:type w:val="continuous"/>
        </w:sectPr>
      </w:pPr>
    </w:p>
    <w:p>
      <w:pPr>
        <w:ind w:right="440" w:firstLine="648"/>
        <w:spacing w:after="0" w:line="308" w:lineRule="auto"/>
        <w:rPr>
          <w:sz w:val="20"/>
          <w:szCs w:val="20"/>
          <w:color w:val="auto"/>
        </w:rPr>
      </w:pPr>
      <w:r>
        <w:rPr>
          <w:rFonts w:ascii="Arial" w:cs="Arial" w:eastAsia="Arial" w:hAnsi="Arial"/>
          <w:sz w:val="17"/>
          <w:szCs w:val="17"/>
          <w:color w:val="auto"/>
        </w:rPr>
        <w:t>On November 3, 2020, we repaid our $600 million, 5.00% senior notes due February 2021 at par and used borrowings under our commercial paper program and cash on hand for the repayment. See further discussion in “</w:t>
      </w:r>
      <w:r>
        <w:rPr>
          <w:rFonts w:ascii="Arial" w:cs="Arial" w:eastAsia="Arial" w:hAnsi="Arial"/>
          <w:sz w:val="17"/>
          <w:szCs w:val="17"/>
          <w:i w:val="1"/>
          <w:iCs w:val="1"/>
          <w:color w:val="auto"/>
        </w:rPr>
        <w:t>Equity and Debt Financing Activities</w:t>
      </w:r>
      <w:r>
        <w:rPr>
          <w:rFonts w:ascii="Arial" w:cs="Arial" w:eastAsia="Arial" w:hAnsi="Arial"/>
          <w:sz w:val="17"/>
          <w:szCs w:val="17"/>
          <w:color w:val="auto"/>
        </w:rPr>
        <w:t>” below.</w:t>
      </w:r>
    </w:p>
    <w:p>
      <w:pPr>
        <w:spacing w:after="0" w:line="17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Current macroeconomic and geopolitical conditions including the collapse of oil prices driven by both the decrease in demand caused by the COVID-19 pandemic and excess supply has caused liquidity issues impacting many energy companies; however, we believe that we have, and will continue to have, the ability to access our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September 30, 2020, we were in compliance with all such covenants. Also, see Item 1A. “Risk Factors” included in our 2019 Annual Report on Form 10-K and Item 1A. “Risk Factors” in Part II of our Quarterly Report on Form 10-Q for the quarter ended March 31, 2020 for further discussion regarding such risks that may impact our 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2019 Annual Report on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Net cash provided by operating activities for the first nine months of 2020 and 2019 was $1.256 billion and $1.778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nine months ended September 30, 2020, we increased the volume of both our crude oil inventory to be stored during the contango market and our NGL inventory in anticipation of the 2020-2021 heating season as well as the margin balances required as part of our hedging activities, all of which was funded by short-term debt. The cash outflows associated with these activities were partially offset by lower prices for inventory purchased and stored at the end of the current period compared to the end of 2019.</w:t>
      </w:r>
    </w:p>
    <w:p>
      <w:pPr>
        <w:spacing w:after="0" w:line="21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nine months ended September 30, 2019, our cash provided by operating activities was positively impacted by the proceeds from the sale of inventory that we held, primarily due to the sale of NGL inventory. The favorable effects from the liquidation of such inventory were partially offset by the timing of revenue recognized during the period for which cash was received in prior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to our operating needs discussed above, we also use cash for our acquisition activities and investment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We have made and will continue to make capital expenditures for acquisitions, investment capital projects and maintenance activities. However, in the near term we do not plan to issue common equity to fund such activities.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In February 2020, we acquired a crude oil gathering system and related assets in the Delaware Basin for approximately $300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for additional information.</w:t>
      </w:r>
    </w:p>
    <w:p>
      <w:pPr>
        <w:spacing w:after="0" w:line="23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$785 million in midstream infrastructure during the nine months ended September 30, 2020, and we expect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$950 million during the full year ending December 31, 2020. Our expected capital investment for 2020 reflects a reduction from our expected capital investment at year-end 2019 due to the current dynamic and uncertain market conditions. See “—Acquisitions and Capital Projects” for additional information. We expect to fund our 2020 capital program with retained cash flow, proceeds from assets sold as part of our divestiture program or debt.</w:t>
      </w:r>
    </w:p>
    <w:p>
      <w:pPr>
        <w:spacing w:after="0" w:line="21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January 2020, we signed a definitive agreement to sell certain of our LA Basin crude oil terminals. This transaction closed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2020 for proceeds of approximately $200 million, subject to certain adjustments. In April 2020, we sold certain NGL terminals for $163 million, subject to certain adjustments. See Note 14 to our Condensed Consolidated Financial Statements for additional information. Additionally, we sold a 10% ownership interest in Saddlehorn Pipeline Company, LLC for proceeds of approximately $78 million. See Note 7 to our Condensed Consolidated Financial Statements for additional information.</w:t>
      </w:r>
    </w:p>
    <w:p>
      <w:pPr>
        <w:spacing w:after="0" w:line="21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Ongoing Acquisition, Divestiture and Investment Activities. </w:t>
      </w:r>
      <w:r>
        <w:rPr>
          <w:rFonts w:ascii="Arial" w:cs="Arial" w:eastAsia="Arial" w:hAnsi="Arial"/>
          <w:sz w:val="17"/>
          <w:szCs w:val="17"/>
          <w:color w:val="auto"/>
        </w:rPr>
        <w:t>We intend to continue to focus on activities to enhance investment returns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2019 Annual Report on Form 10-K for further discussion regarding risks related to our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spacing w:after="0" w:line="15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Registration Statements</w:t>
      </w:r>
      <w:r>
        <w:rPr>
          <w:rFonts w:ascii="Arial" w:cs="Arial" w:eastAsia="Arial" w:hAnsi="Arial"/>
          <w:sz w:val="16"/>
          <w:szCs w:val="16"/>
          <w:color w:val="auto"/>
        </w:rPr>
        <w:t>. We periodically access the capital markets for both equity and debt financing. We have filed with the SEC a universal</w:t>
      </w:r>
      <w:r>
        <w:rPr>
          <w:rFonts w:ascii="Arial" w:cs="Arial" w:eastAsia="Arial" w:hAnsi="Arial"/>
          <w:sz w:val="16"/>
          <w:szCs w:val="16"/>
          <w:i w:val="1"/>
          <w:iCs w:val="1"/>
          <w:color w:val="auto"/>
        </w:rPr>
        <w:t xml:space="preserve"> </w:t>
      </w:r>
      <w:r>
        <w:rPr>
          <w:rFonts w:ascii="Arial" w:cs="Arial" w:eastAsia="Arial" w:hAnsi="Arial"/>
          <w:sz w:val="16"/>
          <w:szCs w:val="16"/>
          <w:color w:val="auto"/>
        </w:rPr>
        <w:t>shelf registration statement that, subject to effectiveness at the time of use, allows us to issue up to an aggregate of $1.1 billion of debt or equity securities (“Traditional Shelf”). At September 30, 2020, we had approximately $1.1 billion of unsold securities available under the Traditional Shelf. We did not conduct any offerings under our Traditional Shelf during the nine months ended September 30, 2020. We also have access to a universal shelf registration statement (“WKSI Shelf”), which provides us with the ability to offer and sell an unlimited amount of debt and equity securities, subject to market conditions and our capital needs. The offering of $750 million, 3.80% senior notes in June 2020 was conducted under our WKSI Shelf.</w:t>
      </w:r>
    </w:p>
    <w:p>
      <w:pPr>
        <w:spacing w:after="0" w:line="164" w:lineRule="exact"/>
        <w:rPr>
          <w:sz w:val="20"/>
          <w:szCs w:val="20"/>
          <w:color w:val="auto"/>
        </w:rPr>
      </w:pPr>
    </w:p>
    <w:p>
      <w:pPr>
        <w:ind w:firstLine="688"/>
        <w:spacing w:after="0" w:line="255" w:lineRule="auto"/>
        <w:rPr>
          <w:sz w:val="20"/>
          <w:szCs w:val="20"/>
          <w:color w:val="auto"/>
        </w:rPr>
      </w:pPr>
      <w:r>
        <w:rPr>
          <w:rFonts w:ascii="Arial" w:cs="Arial" w:eastAsia="Arial" w:hAnsi="Arial"/>
          <w:sz w:val="18"/>
          <w:szCs w:val="18"/>
          <w:i w:val="1"/>
          <w:iCs w:val="1"/>
          <w:color w:val="auto"/>
        </w:rPr>
        <w:t xml:space="preserve">Credit Agreements, Commercial Paper Program and Indentures. </w:t>
      </w:r>
      <w:r>
        <w:rPr>
          <w:rFonts w:ascii="Arial" w:cs="Arial" w:eastAsia="Arial" w:hAnsi="Arial"/>
          <w:sz w:val="18"/>
          <w:szCs w:val="18"/>
          <w:color w:val="auto"/>
        </w:rPr>
        <w:t>The credit agreements for our revolving credit facilities (which impact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September 30, 2020, we were in compliance with the covenants contained in our credit agreements and indentures.</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nine months ended September 30, 2020, we had net repayments on our credit facilities and commercial paper program of $306 million. The net repayments resulted primarily from cash flow from operating activities, proceeds from asset sales and the issuance of $750 million, 3.80% senior notes in June 2020, which offset borrowings during the period related to funding needs for capital investments, inventory purchases and other general partnership purposes.</w:t>
      </w:r>
    </w:p>
    <w:p>
      <w:pPr>
        <w:spacing w:after="0" w:line="21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of September 30, 2019 and December 31, 2018, we had no outstanding borrowings under our credit agreements or commercial paper program. However, during the nine months ended September 30, 2019, we borrowed and repaid $10.5 billion under our credit facilities and commercial paper program. These repayments resulted primarily from cash flow from operating activities and proceeds from senior notes issuances.</w:t>
      </w:r>
    </w:p>
    <w:p>
      <w:pPr>
        <w:spacing w:after="0" w:line="192"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In June 2020, we completed the offering of $750 million, 3.80% senior notes due September 2030 at a public offering price of 99.794%. Interest payments are due on March 15 and September 15 of each year, commencing on September 15, 2020. We used the net proceeds from this offering of $742 million, after deducting the underwriting discount and offering expenses, primarily to repay the principal amounts of our 5.00% senior notes due February 2021 (which were redeemed on November 3, 2020). Prior to such repayment, we used a portion of the proceeds to repay outstanding borrowings under our commercial paper program and credit facilities and for general partnership purposes.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November 3, 2020, we redeemed our $600 million, 5.00% senior notes due February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to Our Unitholders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Distributions to our Series A preferred unitholders. </w:t>
      </w:r>
      <w:r>
        <w:rPr>
          <w:rFonts w:ascii="Arial" w:cs="Arial" w:eastAsia="Arial" w:hAnsi="Arial"/>
          <w:sz w:val="18"/>
          <w:szCs w:val="18"/>
          <w:color w:val="auto"/>
        </w:rPr>
        <w:t>On November 13, 2020, we will pay a cash distribution of $37 million ($0.525 per unit)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Series A preferred units outstanding as of October 30, 2020, the record date for such distribution for the period from July 1, 2020 through September 30, 2020. See Note 9 to our Condensed Consolidated Financial Statements for details of distributions made during or pertaining to the first nine months of 2020.</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Distributions to Series B preferred unitholders. </w:t>
      </w:r>
      <w:r>
        <w:rPr>
          <w:rFonts w:ascii="Arial" w:cs="Arial" w:eastAsia="Arial" w:hAnsi="Arial"/>
          <w:sz w:val="18"/>
          <w:szCs w:val="18"/>
          <w:color w:val="auto"/>
        </w:rPr>
        <w:t>Distributions on our Series B preferred units are payable in cash semi-annually in arrears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15th day of May and November. On November 16, 2020, we will pay the semi-annual cash distribution of $24.5 million on our Series B preferred units to holders of record at the close of business on November 2, 2020 for the period from May 15, 2020 to November 14, 2020. See Note 9 to our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Distributions to our common unitholders. </w:t>
      </w:r>
      <w:r>
        <w:rPr>
          <w:rFonts w:ascii="Arial" w:cs="Arial" w:eastAsia="Arial" w:hAnsi="Arial"/>
          <w:sz w:val="16"/>
          <w:szCs w:val="16"/>
          <w:color w:val="auto"/>
        </w:rPr>
        <w:t>In accordance with our partnership agreement, after making distributions to holders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November 13, 2020, we will pay a quarterly distribution of $0.18 per common unit ($0.72 per common unit on an annualized basis), which is unchanged from our prior quarterly distribution, but equates to a reduction of 50% compared to the quarterly distribution of $0.36 per common unit ($1.44 per common unit on an annualized basis) paid in February 2020. This reduction was made in response to the current dynamic and uncertain market conditions to further reinforce our commitment to maintaining a solid capital structure and strong liquidity. See “—Executive Summary— </w:t>
      </w:r>
      <w:r>
        <w:rPr>
          <w:rFonts w:ascii="Arial" w:cs="Arial" w:eastAsia="Arial" w:hAnsi="Arial"/>
          <w:sz w:val="16"/>
          <w:szCs w:val="16"/>
          <w:i w:val="1"/>
          <w:iCs w:val="1"/>
          <w:color w:val="auto"/>
        </w:rPr>
        <w:t>Recent Events &amp; Outlook</w:t>
      </w:r>
      <w:r>
        <w:rPr>
          <w:rFonts w:ascii="Arial" w:cs="Arial" w:eastAsia="Arial" w:hAnsi="Arial"/>
          <w:sz w:val="16"/>
          <w:szCs w:val="16"/>
          <w:color w:val="auto"/>
        </w:rPr>
        <w:t>” for further discussion. See Note 9 to our Condensed Consolidated Financial Statements for details of distributions paid during or</w:t>
      </w:r>
      <w:r>
        <w:rPr>
          <w:rFonts w:ascii="Arial" w:cs="Arial" w:eastAsia="Arial" w:hAnsi="Arial"/>
          <w:sz w:val="16"/>
          <w:szCs w:val="16"/>
          <w:i w:val="1"/>
          <w:iCs w:val="1"/>
          <w:color w:val="auto"/>
        </w:rPr>
        <w:t xml:space="preserve"> </w:t>
      </w:r>
      <w:r>
        <w:rPr>
          <w:rFonts w:ascii="Arial" w:cs="Arial" w:eastAsia="Arial" w:hAnsi="Arial"/>
          <w:sz w:val="16"/>
          <w:szCs w:val="16"/>
          <w:color w:val="auto"/>
        </w:rPr>
        <w:t>pertaining to the first nine months of 2020. Also, see Item 5. “Market for Registrant’s Common Units, Related Unitholder Matters and Issuer Purchases of Equity Securities—Cash Distribution Policy” included in our 2019 Annual Report on Form 10-K for additional discussion regarding distributions.</w:t>
      </w:r>
    </w:p>
    <w:p>
      <w:pPr>
        <w:spacing w:after="0" w:line="20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 and cost of borrowing.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13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September 30, 2020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Remainder of</w:t>
            </w: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2025 and</w:t>
            </w: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23"/>
        </w:trPr>
        <w:tc>
          <w:tcPr>
            <w:tcW w:w="42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18,270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56,381</w:t>
            </w:r>
          </w:p>
        </w:tc>
        <w:tc>
          <w:tcPr>
            <w:tcW w:w="0" w:type="dxa"/>
            <w:vAlign w:val="bottom"/>
          </w:tcPr>
          <w:p>
            <w:pPr>
              <w:spacing w:after="0"/>
              <w:rPr>
                <w:sz w:val="1"/>
                <w:szCs w:val="1"/>
                <w:color w:val="auto"/>
              </w:rPr>
            </w:pPr>
          </w:p>
        </w:tc>
      </w:tr>
      <w:tr>
        <w:trPr>
          <w:trHeight w:val="223"/>
        </w:trPr>
        <w:tc>
          <w:tcPr>
            <w:tcW w:w="420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74,651</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59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4" w:right="160" w:hanging="11"/>
        <w:spacing w:after="0" w:line="255" w:lineRule="auto"/>
        <w:rPr>
          <w:sz w:val="20"/>
          <w:szCs w:val="20"/>
          <w:color w:val="auto"/>
        </w:rPr>
      </w:pPr>
      <w:r>
        <w:rPr>
          <w:rFonts w:ascii="Arial" w:cs="Arial" w:eastAsia="Arial" w:hAnsi="Arial"/>
          <w:sz w:val="18"/>
          <w:szCs w:val="18"/>
          <w:color w:val="auto"/>
        </w:rPr>
        <w:t>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Note 8 to our Condensed Consolidated Financial Statements.</w:t>
      </w:r>
    </w:p>
    <w:p>
      <w:pPr>
        <w:spacing w:after="0" w:line="84" w:lineRule="exact"/>
        <w:rPr>
          <w:sz w:val="20"/>
          <w:szCs w:val="20"/>
          <w:color w:val="auto"/>
        </w:rPr>
      </w:pPr>
    </w:p>
    <w:p>
      <w:pPr>
        <w:ind w:left="4" w:right="180" w:hanging="11"/>
        <w:spacing w:after="0" w:line="263"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to our Consolidated Financial Statements included in Part IV of our 2019 Annual Report on Form 10-K for additional information.</w:t>
      </w:r>
    </w:p>
    <w:p>
      <w:pPr>
        <w:spacing w:after="0" w:line="76" w:lineRule="exact"/>
        <w:rPr>
          <w:sz w:val="20"/>
          <w:szCs w:val="20"/>
          <w:color w:val="auto"/>
        </w:rPr>
      </w:pPr>
    </w:p>
    <w:p>
      <w:pPr>
        <w:ind w:left="4" w:right="160" w:hanging="11"/>
        <w:spacing w:after="0" w:line="291"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w:t>
      </w:r>
    </w:p>
    <w:p>
      <w:pPr>
        <w:ind w:left="4" w:right="120" w:hanging="4"/>
        <w:spacing w:after="0" w:line="295" w:lineRule="auto"/>
        <w:tabs>
          <w:tab w:leader="none" w:pos="3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noncancelable commitments related to our investment capital projects, including projected contributions for our share of the capital spending of our equity method investments. The storage, processing and transportation agreements include approximately $2.0 billion associated with agreements to store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53" w:lineRule="exact"/>
        <w:rPr>
          <w:sz w:val="20"/>
          <w:szCs w:val="20"/>
          <w:color w:val="auto"/>
        </w:rPr>
      </w:pPr>
    </w:p>
    <w:p>
      <w:pPr>
        <w:ind w:left="4" w:right="120" w:hanging="11"/>
        <w:spacing w:after="0" w:line="311" w:lineRule="auto"/>
        <w:rPr>
          <w:sz w:val="20"/>
          <w:szCs w:val="20"/>
          <w:color w:val="auto"/>
        </w:rPr>
      </w:pPr>
      <w:r>
        <w:rPr>
          <w:rFonts w:ascii="Arial" w:cs="Arial" w:eastAsia="Arial" w:hAnsi="Arial"/>
          <w:sz w:val="16"/>
          <w:szCs w:val="16"/>
          <w:color w:val="auto"/>
        </w:rPr>
        <w:t>Amounts are primarily based on estimated volumes and market prices based on average activity during September 2020.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176" w:lineRule="exact"/>
        <w:rPr>
          <w:sz w:val="20"/>
          <w:szCs w:val="20"/>
          <w:color w:val="auto"/>
        </w:rPr>
      </w:pPr>
    </w:p>
    <w:p>
      <w:pPr>
        <w:sectPr>
          <w:pgSz w:w="11900" w:h="16838" w:orient="portrait"/>
          <w:cols w:equalWidth="0" w:num="2">
            <w:col w:w="140" w:space="516"/>
            <w:col w:w="10584"/>
          </w:cols>
          <w:pgMar w:left="320" w:top="125" w:right="339" w:bottom="1440" w:gutter="0" w:footer="0" w:header="0"/>
          <w:type w:val="continuous"/>
        </w:sect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including hedging-related margin obligations, and construction activities. At September 30, 2020 and December 31, 2019, we had outstanding letters of credit of approximately $140 million and $157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2019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Related Primarily to the COVID-19 Pandemic and Excess Supply Situation:</w:t>
      </w:r>
    </w:p>
    <w:p>
      <w:pPr>
        <w:spacing w:after="0" w:line="252" w:lineRule="exact"/>
        <w:rPr>
          <w:sz w:val="20"/>
          <w:szCs w:val="20"/>
          <w:color w:val="auto"/>
        </w:rPr>
      </w:pPr>
    </w:p>
    <w:p>
      <w:pPr>
        <w:ind w:left="980" w:right="120" w:hanging="324"/>
        <w:spacing w:after="0" w:line="255"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further declines in global crude oil demand and crude oil prices that correspondingly lead to a significant reduction of domestic crude oil, NGL and natural gas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219"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regarding the length of time it will take for the United States, Canada, and the rest of the world to contain the spread of the COVID-19 virus to the point where restrictions on various commercial and economic activities are (or remain) lifted and the extent to which consumer demand and demand for crude oil rebound in the future;</w:t>
      </w:r>
    </w:p>
    <w:p>
      <w:pPr>
        <w:spacing w:after="0" w:line="210"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regarding the future actions of foreign oil producers such as Saudi Arabia and Russia and the risk that they take actions that will prolong or exacerbate the current over-supply of crude oil;</w:t>
      </w:r>
    </w:p>
    <w:p>
      <w:pPr>
        <w:spacing w:after="0" w:line="197"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uncertainty regarding the timing, pace and extent of an economic recovery in the United States and elsewhere, which in turn will likely affect demand for crude oil and therefore the demand for the midstream services we provide and the commercial opportunities available to us;</w:t>
      </w:r>
    </w:p>
    <w:p>
      <w:pPr>
        <w:spacing w:after="0" w:line="150" w:lineRule="exact"/>
        <w:rPr>
          <w:rFonts w:ascii="Arial" w:cs="Arial" w:eastAsia="Arial" w:hAnsi="Arial"/>
          <w:sz w:val="16"/>
          <w:szCs w:val="16"/>
          <w:color w:val="auto"/>
        </w:rPr>
      </w:pPr>
    </w:p>
    <w:p>
      <w:pPr>
        <w:ind w:left="980" w:right="400" w:hanging="324"/>
        <w:spacing w:after="0" w:line="286" w:lineRule="auto"/>
        <w:tabs>
          <w:tab w:leader="none" w:pos="9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effect of an overhang of significant amounts of crude oil inventory stored in the United States and elsewhere and the impact that such inventory overhang ultimately has on the timing of a return to market conditions that are more conducive to an increase in drilling and production activities in the United States and a resulting increase in demand for the midstream services we provide;</w:t>
      </w:r>
    </w:p>
    <w:p>
      <w:pPr>
        <w:spacing w:after="0" w:line="192" w:lineRule="exact"/>
        <w:rPr>
          <w:rFonts w:ascii="Arial" w:cs="Arial" w:eastAsia="Arial" w:hAnsi="Arial"/>
          <w:sz w:val="17"/>
          <w:szCs w:val="17"/>
          <w:color w:val="auto"/>
        </w:rPr>
      </w:pPr>
    </w:p>
    <w:p>
      <w:pPr>
        <w:ind w:left="980" w:right="360" w:hanging="324"/>
        <w:spacing w:after="0" w:line="25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214" w:lineRule="exact"/>
        <w:rPr>
          <w:rFonts w:ascii="Arial" w:cs="Arial" w:eastAsia="Arial" w:hAnsi="Arial"/>
          <w:sz w:val="18"/>
          <w:szCs w:val="18"/>
          <w:color w:val="auto"/>
        </w:rPr>
      </w:pPr>
    </w:p>
    <w:p>
      <w:pPr>
        <w:jc w:val="both"/>
        <w:ind w:left="980" w:right="38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w:t>
      </w:r>
    </w:p>
    <w:p>
      <w:pPr>
        <w:spacing w:after="0" w:line="150"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operational difficulties due to physical distancing restrictions and the additional demands such restrictions may place on our employees;</w:t>
      </w:r>
    </w:p>
    <w:p>
      <w:pPr>
        <w:spacing w:after="0" w:line="263" w:lineRule="exact"/>
        <w:rPr>
          <w:rFonts w:ascii="Arial" w:cs="Arial" w:eastAsia="Arial" w:hAnsi="Arial"/>
          <w:sz w:val="17"/>
          <w:szCs w:val="17"/>
          <w:color w:val="auto"/>
        </w:rPr>
      </w:pPr>
    </w:p>
    <w:p>
      <w:pPr>
        <w:ind w:left="980" w:right="12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and hedging strategies;</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inability to reduce capital expenditures to the extent forecasted, whether due to the incurrence of unexpected or unplanned expenditures, third-party claims or other factors;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right="40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complete forecasted asset sale transactions due to governmental action, litigation, counterparty non-performance or other factors;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Factors:</w:t>
      </w:r>
    </w:p>
    <w:p>
      <w:pPr>
        <w:spacing w:after="0" w:line="252"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52" w:lineRule="exact"/>
        <w:rPr>
          <w:rFonts w:ascii="Arial" w:cs="Arial" w:eastAsia="Arial" w:hAnsi="Arial"/>
          <w:sz w:val="18"/>
          <w:szCs w:val="18"/>
          <w:color w:val="auto"/>
        </w:rPr>
      </w:pPr>
    </w:p>
    <w:p>
      <w:pPr>
        <w:ind w:left="980" w:right="300" w:hanging="324"/>
        <w:spacing w:after="0" w:line="342" w:lineRule="auto"/>
        <w:tabs>
          <w:tab w:leader="none" w:pos="975"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negative societal sentiment regarding the hydrocarbon energy industry and the continued development and consumption of hydrocarbons, which could influence consumer preferences and governmental or regulatory actions in ways that adversely impact our business;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7" w:lineRule="exact"/>
        <w:rPr>
          <w:rFonts w:ascii="Arial" w:cs="Arial" w:eastAsia="Arial" w:hAnsi="Arial"/>
          <w:sz w:val="18"/>
          <w:szCs w:val="18"/>
          <w:color w:val="auto"/>
        </w:rPr>
      </w:pPr>
    </w:p>
    <w:p>
      <w:pPr>
        <w:ind w:left="980" w:right="340" w:hanging="324"/>
        <w:spacing w:after="0" w:line="308" w:lineRule="auto"/>
        <w:tabs>
          <w:tab w:leader="none" w:pos="975"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146"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197"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210"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248" w:lineRule="exact"/>
        <w:rPr>
          <w:rFonts w:ascii="Arial" w:cs="Arial" w:eastAsia="Arial" w:hAnsi="Arial"/>
          <w:sz w:val="16"/>
          <w:szCs w:val="16"/>
          <w:color w:val="auto"/>
        </w:rPr>
      </w:pPr>
    </w:p>
    <w:p>
      <w:pPr>
        <w:ind w:left="980" w:right="28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2019 Annual Report on Form 10-K and in Part II of our Quarterly Report on Form 10-Q for the quarter ended March 31, 2020.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25"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25" w:lineRule="exact"/>
        <w:rPr>
          <w:rFonts w:ascii="Arial" w:cs="Arial" w:eastAsia="Arial" w:hAnsi="Arial"/>
          <w:sz w:val="18"/>
          <w:szCs w:val="18"/>
          <w:i w:val="1"/>
          <w:iCs w:val="1"/>
          <w:color w:val="auto"/>
        </w:rPr>
      </w:pPr>
    </w:p>
    <w:p>
      <w:pPr>
        <w:ind w:left="1300" w:right="30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and basis differentials. We manage these exposures with various instruments including futures, forwards, swaps and options.</w:t>
      </w:r>
    </w:p>
    <w:p>
      <w:pPr>
        <w:spacing w:after="0" w:line="21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25" w:lineRule="exact"/>
        <w:rPr>
          <w:rFonts w:ascii="Arial" w:cs="Arial" w:eastAsia="Arial" w:hAnsi="Arial"/>
          <w:sz w:val="18"/>
          <w:szCs w:val="18"/>
          <w:i w:val="1"/>
          <w:iCs w:val="1"/>
          <w:color w:val="auto"/>
        </w:rPr>
      </w:pPr>
    </w:p>
    <w:p>
      <w:pPr>
        <w:ind w:left="1300" w:right="5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183"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25" w:lineRule="exact"/>
        <w:rPr>
          <w:sz w:val="20"/>
          <w:szCs w:val="20"/>
          <w:color w:val="auto"/>
        </w:rPr>
      </w:pPr>
    </w:p>
    <w:p>
      <w:pPr>
        <w:ind w:left="1300" w:right="60"/>
        <w:spacing w:after="0" w:line="263" w:lineRule="auto"/>
        <w:rPr>
          <w:sz w:val="20"/>
          <w:szCs w:val="20"/>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6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September 30, 2020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180" w:type="dxa"/>
            <w:vAlign w:val="bottom"/>
          </w:tcPr>
          <w:p>
            <w:pPr>
              <w:spacing w:after="0"/>
              <w:rPr>
                <w:sz w:val="14"/>
                <w:szCs w:val="14"/>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Effect of 10%</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 Increase</w:t>
            </w: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8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2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6700" w:type="dxa"/>
            <w:vAlign w:val="bottom"/>
          </w:tcPr>
          <w:p>
            <w:pPr>
              <w:ind w:left="120"/>
              <w:spacing w:after="0"/>
              <w:rPr>
                <w:sz w:val="20"/>
                <w:szCs w:val="20"/>
                <w:color w:val="auto"/>
              </w:rPr>
            </w:pPr>
            <w:r>
              <w:rPr>
                <w:rFonts w:ascii="Arial" w:cs="Arial" w:eastAsia="Arial" w:hAnsi="Arial"/>
                <w:sz w:val="18"/>
                <w:szCs w:val="18"/>
                <w:color w:val="auto"/>
              </w:rPr>
              <w:t>Total fair value</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September 30, 2020, approximately $312 million, was subject to interest rate re-sets that generally range from one day to approximately one month. The average interest rate on variable rate debt that was outstanding during the nine months ended September 30, 2020 was 1.6%, based upon rates in effect during such period. The fair value of our interest rate derivatives was a net asset of $17 million as of September 30, 2020. A 10% increase in the forward LIBOR curve as of September 30, 2020 would have resulted in an increase of $12 million to the fair value of our interest rate derivatives. A 10% decrease in the forward LIBOR curve as of September 30, 2020 would have resulted in a decrease of $12 million to the fair value of our interest rate derivatives. See Note 10 to our Condensed Consolidated Financial Statements for a discussion of our interest rate risk hedging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less than $1 million as of September 30, 2020. A 10% increase in the exchange rate (USD-to-CAD) would have resulted in an increase of $4 million to the fair value of our foreign currency derivatives. A 10% decrease in the exchange rate (USD-to-CAD) would have resulted in a decrease of $4 million to the fair value of our foreign currency derivatives. See Note 10 to our Condensed Consolidated Financial Statements for a discussion of our currency exchange rate risk hedging.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5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United States treasury rates, default probabilities and timing estimates to ultimately calculate the fair value of our Series A preferred units with and without the Preferred Distribution Rate Reset Option. The fair value of this embedded derivative was a liability of $27 million as of September 30, 2020. A 10% increase or decrease in the fair value would have an impact of $3 million. See Note 10 to our Condensed Consolidated Financial Statements for a discussion of embedded derivatives.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7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September 30, 2020, the end of the period covered by this report, and, based on such evaluation, our Chief Executive Officer and Chief Financial Officer have concluded that our DCP is effective.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third quarter of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than the risk factors contained in Part II, Item 1A of our Quarterly Report on Form 10-Q for the quarter ended March 31, 2020, there are no material changes from the risk factors as previously disclosed in Part I, Item 1A of our 2019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in connection with PAGP’s issuance of Class A shares upon PAGP LTIP award vestings. During the three months ended September 30, 2020, we issued 26,215 common units to AAP in connection with PAGP LTIP award vestings. This issuance was exempt from the registration requirements of the Securities Act of 1933, as amended, pursuant to Section 4(a)(2) thereof.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3" w:lineRule="exact"/>
        <w:rPr>
          <w:sz w:val="20"/>
          <w:szCs w:val="20"/>
          <w:color w:val="auto"/>
        </w:rPr>
      </w:pPr>
    </w:p>
    <w:p>
      <w:pPr>
        <w:ind w:left="200"/>
        <w:spacing w:after="0"/>
        <w:tabs>
          <w:tab w:leader="none" w:pos="604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50" w:lineRule="exact"/>
        <w:rPr>
          <w:sz w:val="20"/>
          <w:szCs w:val="20"/>
          <w:color w:val="auto"/>
        </w:rPr>
      </w:pPr>
    </w:p>
    <w:p>
      <w:pPr>
        <w:ind w:left="48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120">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ind w:left="1760"/>
        <w:spacing w:after="0"/>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115" w:lineRule="exact"/>
        <w:rPr>
          <w:sz w:val="20"/>
          <w:szCs w:val="20"/>
          <w:color w:val="auto"/>
        </w:rPr>
      </w:pPr>
    </w:p>
    <w:p>
      <w:pPr>
        <w:ind w:left="1380" w:right="14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2010).</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2010).</w:t>
        </w:r>
      </w:hyperlink>
    </w:p>
    <w:p>
      <w:pPr>
        <w:spacing w:after="0" w:line="109" w:lineRule="exact"/>
        <w:rPr>
          <w:rFonts w:ascii="Arial" w:cs="Arial" w:eastAsia="Arial" w:hAnsi="Arial"/>
          <w:sz w:val="18"/>
          <w:szCs w:val="18"/>
          <w:color w:val="auto"/>
        </w:rPr>
      </w:pPr>
    </w:p>
    <w:p>
      <w:pPr>
        <w:ind w:left="1380" w:right="2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26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2013).</w:t>
        </w:r>
      </w:hyperlink>
    </w:p>
    <w:p>
      <w:pPr>
        <w:spacing w:after="0" w:line="109" w:lineRule="exact"/>
        <w:rPr>
          <w:rFonts w:ascii="Arial" w:cs="Arial" w:eastAsia="Arial" w:hAnsi="Arial"/>
          <w:sz w:val="18"/>
          <w:szCs w:val="18"/>
          <w:color w:val="auto"/>
        </w:rPr>
      </w:pPr>
    </w:p>
    <w:p>
      <w:pPr>
        <w:ind w:left="1380" w:right="1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Amendment No. 5 dated December 1, 2019 to the Third Amended and Restated Agreement of Limited Partnership of Plains</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2019).</w:t>
        </w:r>
      </w:hyperlink>
    </w:p>
    <w:p>
      <w:pPr>
        <w:spacing w:after="0" w:line="109" w:lineRule="exact"/>
        <w:rPr>
          <w:rFonts w:ascii="Arial" w:cs="Arial" w:eastAsia="Arial" w:hAnsi="Arial"/>
          <w:sz w:val="18"/>
          <w:szCs w:val="18"/>
          <w:color w:val="auto"/>
        </w:rPr>
      </w:pPr>
    </w:p>
    <w:p>
      <w:pPr>
        <w:ind w:left="1380" w:hanging="126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108" w:lineRule="exact"/>
        <w:rPr>
          <w:sz w:val="20"/>
          <w:szCs w:val="20"/>
          <w:color w:val="auto"/>
        </w:rPr>
      </w:pPr>
    </w:p>
    <w:p>
      <w:pPr>
        <w:ind w:left="1380" w:right="3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Amendment No. 1 dated January 1, 2013 to the Third Amended and Restated Agreement of Limited Partnership of Plains</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Pipeline,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2013).</w:t>
        </w:r>
      </w:hyperlink>
    </w:p>
    <w:p>
      <w:pPr>
        <w:spacing w:after="0" w:line="93" w:lineRule="exact"/>
        <w:rPr>
          <w:rFonts w:ascii="Arial" w:cs="Arial" w:eastAsia="Arial" w:hAnsi="Arial"/>
          <w:sz w:val="18"/>
          <w:szCs w:val="18"/>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w:t>
      </w:r>
      <w:r>
        <w:rPr>
          <w:sz w:val="20"/>
          <w:szCs w:val="20"/>
          <w:color w:val="auto"/>
        </w:rPr>
        <w:tab/>
      </w:r>
      <w:hyperlink r:id="rId130">
        <w:r>
          <w:rPr>
            <w:rFonts w:ascii="Arial" w:cs="Arial" w:eastAsia="Arial" w:hAnsi="Arial"/>
            <w:sz w:val="16"/>
            <w:szCs w:val="16"/>
            <w:u w:val="single" w:color="auto"/>
            <w:color w:val="0000FF"/>
          </w:rPr>
          <w:t>Seventh Amended and Restated Limited Liability Company Agreement of Plains All American GP LLC dated November 15,</w:t>
        </w:r>
      </w:hyperlink>
    </w:p>
    <w:p>
      <w:pPr>
        <w:ind w:left="1760"/>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2016 (incorporated by reference to Exhibit 3.3 to our Current Report on Form 8-K filed November 21, 2016).</w:t>
        </w:r>
      </w:hyperlink>
    </w:p>
    <w:p>
      <w:pPr>
        <w:spacing w:after="0" w:line="115" w:lineRule="exact"/>
        <w:rPr>
          <w:rFonts w:ascii="Arial" w:cs="Arial" w:eastAsia="Arial" w:hAnsi="Arial"/>
          <w:sz w:val="18"/>
          <w:szCs w:val="18"/>
          <w:color w:val="auto"/>
        </w:rPr>
      </w:pPr>
    </w:p>
    <w:p>
      <w:pPr>
        <w:ind w:left="1380" w:right="280" w:hanging="1305"/>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131">
        <w:r>
          <w:rPr>
            <w:rFonts w:ascii="Arial" w:cs="Arial" w:eastAsia="Arial" w:hAnsi="Arial"/>
            <w:sz w:val="18"/>
            <w:szCs w:val="18"/>
            <w:u w:val="single" w:color="auto"/>
            <w:color w:val="0000FF"/>
          </w:rPr>
          <w:t>reference to Exhibit 3.4 to our Current Report on Form 8-K filed November 21, 2016).</w:t>
        </w:r>
      </w:hyperlink>
    </w:p>
    <w:p>
      <w:pPr>
        <w:spacing w:after="0" w:line="108"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Amendment No. 1 dated September 26, 2018 to the Eighth Amended and Restated Limited Partnership Agreement of Plains AAP,</w:t>
        </w:r>
      </w:hyperlink>
      <w:r>
        <w:rPr>
          <w:rFonts w:ascii="Arial" w:cs="Arial" w:eastAsia="Arial" w:hAnsi="Arial"/>
          <w:sz w:val="18"/>
          <w:szCs w:val="18"/>
          <w:color w:val="auto"/>
        </w:rPr>
        <w:t xml:space="preserve"> </w:t>
      </w:r>
      <w:hyperlink r:id="rId132">
        <w:r>
          <w:rPr>
            <w:rFonts w:ascii="Arial" w:cs="Arial" w:eastAsia="Arial" w:hAnsi="Arial"/>
            <w:sz w:val="18"/>
            <w:szCs w:val="18"/>
            <w:u w:val="single" w:color="auto"/>
            <w:color w:val="0000FF"/>
          </w:rPr>
          <w:t>L.P. (incorporated by reference to Exhibit 3.1 to our Current Report on Form 8-K filed October 2, 2018).</w:t>
        </w:r>
      </w:hyperlink>
    </w:p>
    <w:p>
      <w:pPr>
        <w:spacing w:after="0" w:line="92" w:lineRule="exact"/>
        <w:rPr>
          <w:sz w:val="20"/>
          <w:szCs w:val="20"/>
          <w:color w:val="auto"/>
        </w:rPr>
      </w:pPr>
    </w:p>
    <w:p>
      <w:pPr>
        <w:ind w:left="440"/>
        <w:spacing w:after="0"/>
        <w:tabs>
          <w:tab w:leader="none" w:pos="1360" w:val="left"/>
          <w:tab w:leader="none" w:pos="1740" w:val="left"/>
        </w:tabs>
        <w:rPr>
          <w:rFonts w:ascii="Arial" w:cs="Arial" w:eastAsia="Arial" w:hAnsi="Arial"/>
          <w:sz w:val="16"/>
          <w:szCs w:val="16"/>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w:t>
      </w:r>
      <w:r>
        <w:rPr>
          <w:sz w:val="20"/>
          <w:szCs w:val="20"/>
          <w:color w:val="auto"/>
        </w:rPr>
        <w:tab/>
      </w:r>
      <w:hyperlink r:id="rId133">
        <w:r>
          <w:rPr>
            <w:rFonts w:ascii="Arial" w:cs="Arial" w:eastAsia="Arial" w:hAnsi="Arial"/>
            <w:sz w:val="16"/>
            <w:szCs w:val="16"/>
            <w:u w:val="single" w:color="auto"/>
            <w:color w:val="0000FF"/>
          </w:rPr>
          <w:t>Amendment No. 2 dated May 23, 2019 to the Eighth Amended and Restated Limited Partnership Agreement of Plains AAP, L.P.</w:t>
        </w:r>
      </w:hyperlink>
    </w:p>
    <w:p>
      <w:pPr>
        <w:ind w:left="1760"/>
        <w:spacing w:after="0"/>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(incorporated by reference to Exhibit 3.1 to our Current Report on Form 8-K filed May 30, 2019).</w:t>
        </w:r>
      </w:hyperlink>
    </w:p>
    <w:p>
      <w:pPr>
        <w:spacing w:after="0" w:line="115" w:lineRule="exact"/>
        <w:rPr>
          <w:sz w:val="20"/>
          <w:szCs w:val="20"/>
          <w:color w:val="auto"/>
        </w:rPr>
      </w:pPr>
    </w:p>
    <w:p>
      <w:pPr>
        <w:ind w:left="1380" w:right="180" w:hanging="1308"/>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Certificate of Incorporation of PAA Finance Corp. (f/k/a Pacific Energy Finance Corporation, successor-by-merger to PAA</w:t>
        </w:r>
      </w:hyperlink>
      <w:r>
        <w:rPr>
          <w:rFonts w:ascii="Arial" w:cs="Arial" w:eastAsia="Arial" w:hAnsi="Arial"/>
          <w:sz w:val="18"/>
          <w:szCs w:val="18"/>
          <w:color w:val="auto"/>
        </w:rPr>
        <w:t xml:space="preserve"> </w:t>
      </w:r>
      <w:hyperlink r:id="rId134">
        <w:r>
          <w:rPr>
            <w:rFonts w:ascii="Arial" w:cs="Arial" w:eastAsia="Arial" w:hAnsi="Arial"/>
            <w:sz w:val="18"/>
            <w:szCs w:val="18"/>
            <w:u w:val="single" w:color="auto"/>
            <w:color w:val="0000FF"/>
          </w:rPr>
          <w:t>Finance Corp.)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2006).</w:t>
        </w:r>
      </w:hyperlink>
    </w:p>
    <w:p>
      <w:pPr>
        <w:spacing w:after="0" w:line="109" w:lineRule="exact"/>
        <w:rPr>
          <w:rFonts w:ascii="Arial" w:cs="Arial" w:eastAsia="Arial" w:hAnsi="Arial"/>
          <w:sz w:val="18"/>
          <w:szCs w:val="18"/>
          <w:color w:val="auto"/>
        </w:rPr>
      </w:pPr>
    </w:p>
    <w:p>
      <w:pPr>
        <w:jc w:val="right"/>
        <w:ind w:left="440" w:right="800"/>
        <w:spacing w:after="0" w:line="258" w:lineRule="auto"/>
        <w:rPr>
          <w:rFonts w:ascii="Arial" w:cs="Arial" w:eastAsia="Arial" w:hAnsi="Arial"/>
          <w:sz w:val="17"/>
          <w:szCs w:val="17"/>
          <w:color w:val="0000FF"/>
        </w:rPr>
      </w:pPr>
      <w:r>
        <w:rPr>
          <w:rFonts w:ascii="Arial" w:cs="Arial" w:eastAsia="Arial" w:hAnsi="Arial"/>
          <w:sz w:val="17"/>
          <w:szCs w:val="17"/>
          <w:color w:val="auto"/>
        </w:rPr>
        <w:t xml:space="preserve">3.15       —  </w:t>
      </w:r>
      <w:hyperlink r:id="rId135">
        <w:r>
          <w:rPr>
            <w:rFonts w:ascii="Arial" w:cs="Arial" w:eastAsia="Arial" w:hAnsi="Arial"/>
            <w:sz w:val="17"/>
            <w:szCs w:val="17"/>
            <w:u w:val="single" w:color="auto"/>
            <w:color w:val="0000FF"/>
          </w:rPr>
          <w:t>Bylaws of PAA Finance Corp. (f/k/a Pacific Energy Finance Corporation, successor-by-merger to PAA Finance Corp.)</w:t>
        </w:r>
      </w:hyperlink>
      <w:r>
        <w:rPr>
          <w:rFonts w:ascii="Arial" w:cs="Arial" w:eastAsia="Arial" w:hAnsi="Arial"/>
          <w:sz w:val="17"/>
          <w:szCs w:val="17"/>
          <w:color w:val="auto"/>
        </w:rPr>
        <w:t xml:space="preserve"> </w:t>
      </w:r>
      <w:hyperlink r:id="rId135">
        <w:r>
          <w:rPr>
            <w:rFonts w:ascii="Arial" w:cs="Arial" w:eastAsia="Arial" w:hAnsi="Arial"/>
            <w:sz w:val="17"/>
            <w:szCs w:val="17"/>
            <w:u w:val="single" w:color="auto"/>
            <w:color w:val="0000FF"/>
          </w:rPr>
          <w:t>(incorporated by reference to Exhibit 3.11 to our Annual Report on Form 10-K for the year ended December 31, 2006)</w:t>
        </w:r>
        <w:r>
          <w:rPr>
            <w:rFonts w:ascii="Arial" w:cs="Arial" w:eastAsia="Arial" w:hAnsi="Arial"/>
            <w:sz w:val="17"/>
            <w:szCs w:val="17"/>
            <w:color w:val="0000FF"/>
          </w:rPr>
          <w:t>.</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Limited Liability Company Agreement of PAA GP LLC dated December 28, 2007 (incorporated by reference to Exhibit 3.3 to our</w:t>
        </w:r>
      </w:hyperlink>
      <w:r>
        <w:rPr>
          <w:rFonts w:ascii="Arial" w:cs="Arial" w:eastAsia="Arial" w:hAnsi="Arial"/>
          <w:sz w:val="18"/>
          <w:szCs w:val="18"/>
          <w:color w:val="auto"/>
        </w:rPr>
        <w:t xml:space="preserve"> </w:t>
      </w:r>
      <w:hyperlink r:id="rId136">
        <w:r>
          <w:rPr>
            <w:rFonts w:ascii="Arial" w:cs="Arial" w:eastAsia="Arial" w:hAnsi="Arial"/>
            <w:sz w:val="18"/>
            <w:szCs w:val="18"/>
            <w:u w:val="single" w:color="auto"/>
            <w:color w:val="0000FF"/>
          </w:rPr>
          <w:t>Current Report on Form 8-K filed January 4, 2008).</w:t>
        </w:r>
      </w:hyperlink>
    </w:p>
    <w:p>
      <w:pPr>
        <w:spacing w:after="0" w:line="108" w:lineRule="exact"/>
        <w:rPr>
          <w:sz w:val="20"/>
          <w:szCs w:val="20"/>
          <w:color w:val="auto"/>
        </w:rPr>
      </w:pPr>
    </w:p>
    <w:p>
      <w:pPr>
        <w:ind w:left="1380" w:right="22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137">
        <w:r>
          <w:rPr>
            <w:rFonts w:ascii="Arial" w:cs="Arial" w:eastAsia="Arial" w:hAnsi="Arial"/>
            <w:sz w:val="18"/>
            <w:szCs w:val="18"/>
            <w:u w:val="single" w:color="auto"/>
            <w:color w:val="0000FF"/>
          </w:rPr>
          <w:t>Statement on Form S-1 (333-190227) filed July 29, 2013).</w:t>
        </w:r>
      </w:hyperlink>
    </w:p>
    <w:p>
      <w:pPr>
        <w:spacing w:after="0" w:line="108" w:lineRule="exact"/>
        <w:rPr>
          <w:sz w:val="20"/>
          <w:szCs w:val="20"/>
          <w:color w:val="auto"/>
        </w:rPr>
      </w:pPr>
    </w:p>
    <w:p>
      <w:pPr>
        <w:ind w:left="1380" w:right="6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3.18</w:t>
      </w:r>
      <w:r>
        <w:rPr>
          <w:sz w:val="20"/>
          <w:szCs w:val="20"/>
          <w:color w:val="auto"/>
        </w:rPr>
        <w:tab/>
      </w:r>
      <w:r>
        <w:rPr>
          <w:rFonts w:ascii="Arial" w:cs="Arial" w:eastAsia="Arial" w:hAnsi="Arial"/>
          <w:sz w:val="17"/>
          <w:szCs w:val="17"/>
          <w:color w:val="auto"/>
        </w:rPr>
        <w:t xml:space="preserve">— </w:t>
      </w:r>
      <w:hyperlink r:id="rId138">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138">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93" w:lineRule="exact"/>
        <w:rPr>
          <w:sz w:val="20"/>
          <w:szCs w:val="20"/>
          <w:color w:val="auto"/>
        </w:rPr>
      </w:pPr>
    </w:p>
    <w:p>
      <w:pPr>
        <w:ind w:left="138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3.19</w:t>
      </w:r>
      <w:r>
        <w:rPr>
          <w:sz w:val="20"/>
          <w:szCs w:val="20"/>
          <w:color w:val="auto"/>
        </w:rPr>
        <w:tab/>
      </w:r>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139">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ind w:left="1380" w:right="260" w:hanging="130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140">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color w:val="auto"/>
        </w:rPr>
        <w:t xml:space="preserve">— </w:t>
      </w:r>
      <w:hyperlink r:id="rId142">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142">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380" w:right="10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FF"/>
          </w:rPr>
          <w:t>Amendment No. 2 dated December 10, 2018 to the Third Amended and Restated Limited Liability Company Agreement of PAA</w:t>
        </w:r>
      </w:hyperlink>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FF"/>
          </w:rPr>
          <w:t>GP Holdings LLC (incorporated by reference to Exhibit 3.1 to our Current Report on Form 8-K filed December 11, 2018).</w:t>
        </w:r>
      </w:hyperlink>
    </w:p>
    <w:p>
      <w:pPr>
        <w:spacing w:after="0" w:line="93" w:lineRule="exact"/>
        <w:rPr>
          <w:sz w:val="20"/>
          <w:szCs w:val="20"/>
          <w:color w:val="auto"/>
        </w:rPr>
      </w:pPr>
    </w:p>
    <w:p>
      <w:pPr>
        <w:ind w:left="1380" w:right="80" w:hanging="1308"/>
        <w:spacing w:after="0" w:line="258"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FF"/>
          </w:rPr>
          <w:t>Amendment No. 3 dated November 21, 2019 to the Third Amended and Restated Limited Liability Company Agreement of PAA</w:t>
        </w:r>
      </w:hyperlink>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FF"/>
          </w:rPr>
          <w:t>GP Holdings LLC (incorporated by reference to Exhibit 3.1 to our Current Report on Form 8-K filed November 27, 2019).</w:t>
        </w:r>
      </w:hyperlink>
    </w:p>
    <w:p>
      <w:pPr>
        <w:spacing w:after="0" w:line="93" w:lineRule="exact"/>
        <w:rPr>
          <w:sz w:val="20"/>
          <w:szCs w:val="20"/>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FF"/>
          </w:rPr>
          <w:t>Association, as trustee (incorporated by reference to Exhibit 4.1 to our Quarterly Report on Form 10-Q for the quarter ended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38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Sixth Supplemental Indenture (Series A and Series B 6.70% Senior Notes due 2036) dated May 12, 2006 among Plains All</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FF"/>
          </w:rPr>
          <w:t>American Pipeline, L.P., PAA Finance Corp., the Subsidiary Guarantors named therein and Wachovia Bank, National Association,</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as trustee (incorporated by reference to Exhibit 4.1 to our Current Report on Form 8-K filed May 12, 2006).</w:t>
        </w:r>
      </w:hyperlink>
    </w:p>
    <w:p>
      <w:pPr>
        <w:spacing w:after="0" w:line="109" w:lineRule="exact"/>
        <w:rPr>
          <w:rFonts w:ascii="Arial" w:cs="Arial" w:eastAsia="Arial" w:hAnsi="Arial"/>
          <w:sz w:val="18"/>
          <w:szCs w:val="18"/>
          <w:color w:val="auto"/>
        </w:rPr>
      </w:pPr>
    </w:p>
    <w:p>
      <w:pPr>
        <w:jc w:val="both"/>
        <w:ind w:left="1380" w:right="16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FF"/>
          </w:rPr>
          <w:t>Tenth Supplemental Indenture (Series A and Series B 6.650% Senior Notes due 2037) dated October 30, 2006 among Plains All</w:t>
        </w:r>
      </w:hyperlink>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FF"/>
          </w:rPr>
          <w:t>American Pipeline, L.P., PAA Finance Corp., the Subsidiary Guarantors named therein and U.S. Bank National Association, as</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trustee (incorporated by reference to Exhibit 4.2 to our Current Report on Form 8-K filed October 30, 2006).</w:t>
        </w:r>
      </w:hyperlink>
    </w:p>
    <w:p>
      <w:pPr>
        <w:spacing w:after="0" w:line="109" w:lineRule="exact"/>
        <w:rPr>
          <w:rFonts w:ascii="Arial" w:cs="Arial" w:eastAsia="Arial" w:hAnsi="Arial"/>
          <w:sz w:val="17"/>
          <w:szCs w:val="17"/>
          <w:color w:val="auto"/>
        </w:rPr>
      </w:pPr>
    </w:p>
    <w:p>
      <w:pPr>
        <w:jc w:val="both"/>
        <w:ind w:left="1380" w:right="80" w:hanging="1263"/>
        <w:spacing w:after="0" w:line="237" w:lineRule="auto"/>
        <w:tabs>
          <w:tab w:leader="none" w:pos="1360"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Nineteenth Supplemental Indenture (5.00% Senior Notes due 2021) dated January 14, 2011 among Plains All American Pipeline,</w:t>
        </w:r>
      </w:hyperlink>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L.P., PAA Finance Corp., the Subsidiary Guarantors named therein and U.S. Bank National Association, as trustee (incorporated</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by reference to Exhibit 4.1 to our Current Report on Form 8-K filed January 11, 2011).</w:t>
        </w:r>
      </w:hyperlink>
    </w:p>
    <w:p>
      <w:pPr>
        <w:spacing w:after="0" w:line="109" w:lineRule="exact"/>
        <w:rPr>
          <w:rFonts w:ascii="Arial" w:cs="Arial" w:eastAsia="Arial" w:hAnsi="Arial"/>
          <w:sz w:val="17"/>
          <w:szCs w:val="17"/>
          <w:color w:val="auto"/>
        </w:rPr>
      </w:pPr>
    </w:p>
    <w:p>
      <w:pPr>
        <w:jc w:val="both"/>
        <w:ind w:left="1380" w:right="1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Twentieth Supplemental Indenture (3.65% Senior Notes due 2022) dated March 22, 2012 among Plains All American Pipeline,</w:t>
        </w:r>
      </w:hyperlink>
      <w:r>
        <w:rPr>
          <w:rFonts w:ascii="Arial" w:cs="Arial" w:eastAsia="Arial" w:hAnsi="Arial"/>
          <w:sz w:val="18"/>
          <w:szCs w:val="18"/>
          <w:color w:val="auto"/>
        </w:rPr>
        <w:t xml:space="preserve"> </w:t>
      </w:r>
      <w:hyperlink r:id="rId149">
        <w:r>
          <w:rPr>
            <w:rFonts w:ascii="Arial" w:cs="Arial" w:eastAsia="Arial" w:hAnsi="Arial"/>
            <w:sz w:val="18"/>
            <w:szCs w:val="18"/>
            <w:u w:val="single" w:color="auto"/>
            <w:color w:val="0000FF"/>
          </w:rPr>
          <w:t>L.P., PAA Finance Corp. and U.S. Bank National Association, as trustee (incorporated by reference to Exhibit 4.1 to our Current</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150">
        <w:r>
          <w:rPr>
            <w:rFonts w:ascii="Arial" w:cs="Arial" w:eastAsia="Arial" w:hAnsi="Arial"/>
            <w:sz w:val="18"/>
            <w:szCs w:val="18"/>
            <w:u w:val="single" w:color="auto"/>
            <w:color w:val="0000FF"/>
          </w:rPr>
          <w:t>L.P., PAA Finance Corp. and U.S. Bank National Association, as trustee (incorporated by reference to Exhibit 4.3 to our Current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380" w:right="40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151">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Exhibit 4.1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54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Twenty-Third Supplemental Indenture (4.30% Senior Notes due 2043) dated December 10, 2012, by and among Plains All</w:t>
        </w:r>
      </w:hyperlink>
      <w:r>
        <w:rPr>
          <w:rFonts w:ascii="Arial" w:cs="Arial" w:eastAsia="Arial" w:hAnsi="Arial"/>
          <w:sz w:val="18"/>
          <w:szCs w:val="18"/>
          <w:color w:val="auto"/>
        </w:rPr>
        <w:t xml:space="preserve"> </w:t>
      </w:r>
      <w:hyperlink r:id="rId152">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Exhibit 4.3 to our Current Report on Form 8-K filed December 12, 2012).</w:t>
        </w:r>
      </w:hyperlink>
    </w:p>
    <w:p>
      <w:pPr>
        <w:spacing w:after="0" w:line="109" w:lineRule="exact"/>
        <w:rPr>
          <w:rFonts w:ascii="Arial" w:cs="Arial" w:eastAsia="Arial" w:hAnsi="Arial"/>
          <w:sz w:val="18"/>
          <w:szCs w:val="18"/>
          <w:color w:val="auto"/>
        </w:rPr>
      </w:pPr>
    </w:p>
    <w:p>
      <w:pPr>
        <w:jc w:val="both"/>
        <w:ind w:left="1380" w:right="620" w:hanging="126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Twenty-Fourth Supplemental Indenture (3.85% Senior Notes due 2023) dated August 15, 2013, by and among Plains All</w:t>
        </w:r>
      </w:hyperlink>
      <w:r>
        <w:rPr>
          <w:rFonts w:ascii="Arial" w:cs="Arial" w:eastAsia="Arial" w:hAnsi="Arial"/>
          <w:sz w:val="18"/>
          <w:szCs w:val="18"/>
          <w:color w:val="auto"/>
        </w:rPr>
        <w:t xml:space="preserve"> </w:t>
      </w:r>
      <w:hyperlink r:id="rId153">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Exhibit 4.1 to our Current Report on Form 8-K filed August 15, 2013).</w:t>
        </w:r>
      </w:hyperlink>
    </w:p>
    <w:p>
      <w:pPr>
        <w:spacing w:after="0" w:line="109" w:lineRule="exact"/>
        <w:rPr>
          <w:rFonts w:ascii="Arial" w:cs="Arial" w:eastAsia="Arial" w:hAnsi="Arial"/>
          <w:sz w:val="18"/>
          <w:szCs w:val="18"/>
          <w:color w:val="auto"/>
        </w:rPr>
      </w:pPr>
    </w:p>
    <w:p>
      <w:pPr>
        <w:ind w:left="1380" w:right="60" w:hanging="1308"/>
        <w:spacing w:after="0" w:line="224" w:lineRule="auto"/>
        <w:tabs>
          <w:tab w:leader="none" w:pos="1360" w:val="left"/>
        </w:tabs>
        <w:rPr>
          <w:rFonts w:ascii="Arial" w:cs="Arial" w:eastAsia="Arial" w:hAnsi="Arial"/>
          <w:sz w:val="18"/>
          <w:szCs w:val="18"/>
          <w:color w:val="0000FF"/>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Twenty-Fifth Supplemental Indenture (4.70% Senior Notes due 2044) dated April 23, 2014, by and among Plains All American</w:t>
        </w:r>
      </w:hyperlink>
      <w:r>
        <w:rPr>
          <w:rFonts w:ascii="Arial" w:cs="Arial" w:eastAsia="Arial" w:hAnsi="Arial"/>
          <w:sz w:val="18"/>
          <w:szCs w:val="18"/>
          <w:color w:val="auto"/>
        </w:rPr>
        <w:t xml:space="preserve"> </w:t>
      </w:r>
      <w:hyperlink r:id="rId154">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Current Report on Form 8-K filed April 29, 2014)</w:t>
        </w:r>
        <w:r>
          <w:rPr>
            <w:rFonts w:ascii="Arial" w:cs="Arial" w:eastAsia="Arial" w:hAnsi="Arial"/>
            <w:sz w:val="18"/>
            <w:szCs w:val="18"/>
            <w:color w:val="000000"/>
          </w:rPr>
          <w:t>.</w:t>
        </w:r>
      </w:hyperlink>
    </w:p>
    <w:p>
      <w:pPr>
        <w:spacing w:after="0" w:line="109" w:lineRule="exact"/>
        <w:rPr>
          <w:rFonts w:ascii="Arial" w:cs="Arial" w:eastAsia="Arial" w:hAnsi="Arial"/>
          <w:sz w:val="18"/>
          <w:szCs w:val="18"/>
          <w:color w:val="auto"/>
        </w:rPr>
      </w:pPr>
    </w:p>
    <w:p>
      <w:pPr>
        <w:jc w:val="both"/>
        <w:ind w:left="1380" w:right="620" w:hanging="1305"/>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Twenty-Sixth Supplemental Indenture (3.60% Senior Notes due 2024) dated September 9, 2014, by and among Plains All</w:t>
        </w:r>
      </w:hyperlink>
      <w:r>
        <w:rPr>
          <w:rFonts w:ascii="Arial" w:cs="Arial" w:eastAsia="Arial" w:hAnsi="Arial"/>
          <w:sz w:val="18"/>
          <w:szCs w:val="18"/>
          <w:color w:val="auto"/>
        </w:rPr>
        <w:t xml:space="preserve"> </w:t>
      </w:r>
      <w:hyperlink r:id="rId155">
        <w:r>
          <w:rPr>
            <w:rFonts w:ascii="Arial" w:cs="Arial" w:eastAsia="Arial" w:hAnsi="Arial"/>
            <w:sz w:val="18"/>
            <w:szCs w:val="18"/>
            <w:u w:val="single" w:color="auto"/>
            <w:color w:val="0000FF"/>
          </w:rPr>
          <w:t>American Pipeline, L.P., PAA Finance Corp. and U.S. Bank National Association, as trustee (incorporated by reference to</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Exhibit 4.1 to our Current Report on Form 8-K filed September 11, 2014).</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4.12</w:t>
            </w:r>
          </w:p>
        </w:tc>
        <w:tc>
          <w:tcPr>
            <w:tcW w:w="10020" w:type="dxa"/>
            <w:vAlign w:val="bottom"/>
            <w:gridSpan w:val="16"/>
          </w:tcPr>
          <w:p>
            <w:pPr>
              <w:ind w:left="2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157">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4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157">
              <w:r>
                <w:rPr>
                  <w:rFonts w:ascii="Arial" w:cs="Arial" w:eastAsia="Arial" w:hAnsi="Arial"/>
                  <w:sz w:val="18"/>
                  <w:szCs w:val="18"/>
                  <w:color w:val="0000FF"/>
                  <w:w w:val="91"/>
                </w:rPr>
                <w:t>American Pipeline, L.P., PAA Finance Corp. and U.S. Bank National Association, as trustee (incorporated by reference to</w:t>
              </w:r>
            </w:hyperlink>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7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Exhibit 4.3 to our Current Report on Form 8-K filed December 11, 2014).</w:t>
              </w:r>
            </w:hyperlink>
          </w:p>
        </w:tc>
        <w:tc>
          <w:tcPr>
            <w:tcW w:w="2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4.13</w:t>
            </w:r>
          </w:p>
        </w:tc>
        <w:tc>
          <w:tcPr>
            <w:tcW w:w="10020" w:type="dxa"/>
            <w:vAlign w:val="bottom"/>
            <w:gridSpan w:val="16"/>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58">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8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158">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Current Report on Form 8-K filed August 26, 2015).</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4.14</w:t>
            </w:r>
          </w:p>
        </w:tc>
        <w:tc>
          <w:tcPr>
            <w:tcW w:w="10020" w:type="dxa"/>
            <w:vAlign w:val="bottom"/>
            <w:gridSpan w:val="16"/>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59">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9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5"/>
          </w:tcPr>
          <w:p>
            <w:pPr>
              <w:spacing w:after="0" w:line="156" w:lineRule="exact"/>
              <w:rPr>
                <w:rFonts w:ascii="Arial" w:cs="Arial" w:eastAsia="Arial" w:hAnsi="Arial"/>
                <w:sz w:val="18"/>
                <w:szCs w:val="18"/>
                <w:color w:val="0000FF"/>
                <w:w w:val="91"/>
              </w:rPr>
            </w:pPr>
            <w:hyperlink r:id="rId159">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4.15</w:t>
            </w:r>
          </w:p>
        </w:tc>
        <w:tc>
          <w:tcPr>
            <w:tcW w:w="10020" w:type="dxa"/>
            <w:vAlign w:val="bottom"/>
            <w:gridSpan w:val="16"/>
          </w:tcPr>
          <w:p>
            <w:pPr>
              <w:ind w:left="2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160">
              <w:r>
                <w:rPr>
                  <w:rFonts w:ascii="Arial" w:cs="Arial" w:eastAsia="Arial" w:hAnsi="Arial"/>
                  <w:sz w:val="18"/>
                  <w:szCs w:val="18"/>
                  <w:color w:val="0000FF"/>
                  <w:w w:val="93"/>
                </w:rPr>
                <w:t>Thirty-First Supplemental Indenture (3.55% Senior Notes due 2029) dated September 16, 2019,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9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5"/>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Current Report on Form 8-K filed September 17, 2019).</w:t>
              </w:r>
            </w:hyperlink>
          </w:p>
        </w:tc>
        <w:tc>
          <w:tcPr>
            <w:tcW w:w="528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4.16</w:t>
            </w:r>
          </w:p>
        </w:tc>
        <w:tc>
          <w:tcPr>
            <w:tcW w:w="10020" w:type="dxa"/>
            <w:vAlign w:val="bottom"/>
            <w:gridSpan w:val="16"/>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1">
              <w:r>
                <w:rPr>
                  <w:rFonts w:ascii="Arial" w:cs="Arial" w:eastAsia="Arial" w:hAnsi="Arial"/>
                  <w:sz w:val="18"/>
                  <w:szCs w:val="18"/>
                  <w:color w:val="0000FF"/>
                  <w:w w:val="95"/>
                </w:rPr>
                <w:t>Thirty-Second Supplemental Indenture (3.80% Senior Notes due 2030) dated June 11, 2020, and among Plains All American</w:t>
              </w:r>
            </w:hyperlink>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2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40" w:type="dxa"/>
            <w:vAlign w:val="bottom"/>
            <w:gridSpan w:val="15"/>
          </w:tcPr>
          <w:p>
            <w:pPr>
              <w:spacing w:after="0" w:line="156" w:lineRule="exact"/>
              <w:rPr>
                <w:rFonts w:ascii="Arial" w:cs="Arial" w:eastAsia="Arial" w:hAnsi="Arial"/>
                <w:sz w:val="18"/>
                <w:szCs w:val="18"/>
                <w:color w:val="0000FF"/>
                <w:w w:val="91"/>
              </w:rPr>
            </w:pPr>
            <w:hyperlink r:id="rId161">
              <w:r>
                <w:rPr>
                  <w:rFonts w:ascii="Arial" w:cs="Arial" w:eastAsia="Arial" w:hAnsi="Arial"/>
                  <w:sz w:val="18"/>
                  <w:szCs w:val="18"/>
                  <w:color w:val="0000FF"/>
                  <w:w w:val="91"/>
                </w:rPr>
                <w:t>Pipeline, L.P., PAA Finance Corp. and U.S. Bank National Association, as trustee (incorporated by reference to Exhibit 4.1 to our</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3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Current Report on Form 8-K filed June 11, 2020).</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4.17</w:t>
            </w:r>
          </w:p>
        </w:tc>
        <w:tc>
          <w:tcPr>
            <w:tcW w:w="10020" w:type="dxa"/>
            <w:vAlign w:val="bottom"/>
            <w:gridSpan w:val="16"/>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162">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0" w:type="dxa"/>
            <w:vAlign w:val="bottom"/>
            <w:tcBorders>
              <w:top w:val="single" w:sz="8" w:color="0000FF"/>
            </w:tcBorders>
            <w:gridSpan w:val="9"/>
          </w:tcPr>
          <w:p>
            <w:pPr>
              <w:spacing w:after="0"/>
              <w:rPr>
                <w:rFonts w:ascii="Arial" w:cs="Arial" w:eastAsia="Arial" w:hAnsi="Arial"/>
                <w:sz w:val="18"/>
                <w:szCs w:val="18"/>
                <w:u w:val="single" w:color="auto"/>
                <w:color w:val="0000FF"/>
                <w:w w:val="93"/>
              </w:rPr>
            </w:pPr>
            <w:hyperlink r:id="rId162">
              <w:r>
                <w:rPr>
                  <w:rFonts w:ascii="Arial" w:cs="Arial" w:eastAsia="Arial" w:hAnsi="Arial"/>
                  <w:sz w:val="18"/>
                  <w:szCs w:val="18"/>
                  <w:u w:val="single" w:color="auto"/>
                  <w:color w:val="0000FF"/>
                  <w:w w:val="93"/>
                </w:rPr>
                <w:t>Storage LLC (incorporated by reference to Exhibit 4.1 to our Registration Statement on Form S-3, File No. 333-162477).</w:t>
              </w:r>
            </w:hyperlink>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4.18</w:t>
            </w:r>
          </w:p>
        </w:tc>
        <w:tc>
          <w:tcPr>
            <w:tcW w:w="10020" w:type="dxa"/>
            <w:vAlign w:val="bottom"/>
            <w:gridSpan w:val="16"/>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3">
              <w:r>
                <w:rPr>
                  <w:rFonts w:ascii="Arial" w:cs="Arial" w:eastAsia="Arial" w:hAnsi="Arial"/>
                  <w:sz w:val="18"/>
                  <w:szCs w:val="18"/>
                  <w:color w:val="0000FF"/>
                  <w:w w:val="92"/>
                </w:rPr>
                <w:t>Registration Rights Agreement dated as of January 28, 2016 among Plains All American Pipeline, L.P. and the Purchasers named</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300" w:type="dxa"/>
            <w:vAlign w:val="bottom"/>
            <w:tcBorders>
              <w:top w:val="single" w:sz="8" w:color="0000FF"/>
            </w:tcBorders>
            <w:gridSpan w:val="11"/>
          </w:tcPr>
          <w:p>
            <w:pPr>
              <w:spacing w:after="0"/>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therein (incorporated by reference to Exhibit 4.1 to our Current Report on Form 8-K filed February 2, 2016).</w:t>
              </w:r>
            </w:hyperlink>
          </w:p>
        </w:tc>
        <w:tc>
          <w:tcPr>
            <w:tcW w:w="12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4.19</w:t>
            </w:r>
          </w:p>
        </w:tc>
        <w:tc>
          <w:tcPr>
            <w:tcW w:w="10020" w:type="dxa"/>
            <w:vAlign w:val="bottom"/>
            <w:gridSpan w:val="16"/>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64">
              <w:r>
                <w:rPr>
                  <w:rFonts w:ascii="Arial" w:cs="Arial" w:eastAsia="Arial" w:hAnsi="Arial"/>
                  <w:sz w:val="18"/>
                  <w:szCs w:val="18"/>
                  <w:color w:val="0000FF"/>
                  <w:w w:val="92"/>
                </w:rPr>
                <w:t>Registration Rights Agreement by and among Plains All American Pipeline, L.P. and the Holders defined therein, dated November</w:t>
              </w:r>
            </w:hyperlink>
          </w:p>
        </w:tc>
      </w:tr>
      <w:tr>
        <w:trPr>
          <w:trHeight w:val="224"/>
        </w:trPr>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20" w:type="dxa"/>
            <w:vAlign w:val="bottom"/>
            <w:tcBorders>
              <w:top w:val="single" w:sz="8" w:color="0000FF"/>
            </w:tcBorders>
            <w:gridSpan w:val="14"/>
          </w:tcPr>
          <w:p>
            <w:pPr>
              <w:spacing w:after="0"/>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15, 2016 (incorporated by reference to Exhibit 10.4 to our Current Report on Form 8-K filed November 21, 2016).</w:t>
              </w:r>
            </w:hyperlink>
          </w:p>
        </w:tc>
        <w:tc>
          <w:tcPr>
            <w:tcW w:w="20" w:type="dxa"/>
            <w:vAlign w:val="bottom"/>
          </w:tcPr>
          <w:p>
            <w:pPr>
              <w:spacing w:after="0"/>
              <w:rPr>
                <w:sz w:val="19"/>
                <w:szCs w:val="19"/>
                <w:color w:val="auto"/>
              </w:rPr>
            </w:pPr>
          </w:p>
        </w:tc>
      </w:tr>
      <w:tr>
        <w:trPr>
          <w:trHeight w:val="269"/>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4.20</w:t>
            </w:r>
          </w:p>
        </w:tc>
        <w:tc>
          <w:tcPr>
            <w:tcW w:w="10020" w:type="dxa"/>
            <w:vAlign w:val="bottom"/>
            <w:gridSpan w:val="16"/>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165">
              <w:r>
                <w:rPr>
                  <w:rFonts w:ascii="Arial" w:cs="Arial" w:eastAsia="Arial" w:hAnsi="Arial"/>
                  <w:sz w:val="18"/>
                  <w:szCs w:val="18"/>
                  <w:color w:val="0000FF"/>
                  <w:w w:val="95"/>
                </w:rPr>
                <w:t>Description of Our Securities (incorporated by reference to Exhibit 4.19 to our Annual Report on Form 10-K for the year ended</w:t>
              </w:r>
            </w:hyperlink>
          </w:p>
        </w:tc>
      </w:tr>
      <w:tr>
        <w:trPr>
          <w:trHeight w:val="156"/>
        </w:trPr>
        <w:tc>
          <w:tcPr>
            <w:tcW w:w="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65">
              <w:r>
                <w:rPr>
                  <w:rFonts w:ascii="Arial" w:cs="Arial" w:eastAsia="Arial" w:hAnsi="Arial"/>
                  <w:sz w:val="18"/>
                  <w:szCs w:val="18"/>
                  <w:color w:val="0000FF"/>
                  <w:w w:val="88"/>
                </w:rPr>
                <w:t>December 31, 2019).</w:t>
              </w:r>
            </w:hyperlink>
          </w:p>
        </w:tc>
        <w:tc>
          <w:tcPr>
            <w:tcW w:w="7720" w:type="dxa"/>
            <w:vAlign w:val="bottom"/>
            <w:tcBorders>
              <w:top w:val="single" w:sz="8" w:color="0000FF"/>
            </w:tcBorders>
            <w:gridSpan w:val="9"/>
          </w:tcPr>
          <w:p>
            <w:pPr>
              <w:spacing w:after="0"/>
              <w:rPr>
                <w:sz w:val="13"/>
                <w:szCs w:val="13"/>
                <w:color w:val="auto"/>
              </w:rPr>
            </w:pPr>
          </w:p>
        </w:tc>
        <w:tc>
          <w:tcPr>
            <w:tcW w:w="200" w:type="dxa"/>
            <w:vAlign w:val="bottom"/>
            <w:gridSpan w:val="5"/>
          </w:tcPr>
          <w:p>
            <w:pPr>
              <w:spacing w:after="0"/>
              <w:rPr>
                <w:sz w:val="13"/>
                <w:szCs w:val="13"/>
                <w:color w:val="auto"/>
              </w:rPr>
            </w:pPr>
          </w:p>
        </w:tc>
      </w:tr>
      <w:tr>
        <w:trPr>
          <w:trHeight w:val="35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94"/>
              </w:rPr>
              <w:t>10.1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5">
              <w:r>
                <w:rPr>
                  <w:rFonts w:ascii="Arial" w:cs="Arial" w:eastAsia="Arial" w:hAnsi="Arial"/>
                  <w:sz w:val="18"/>
                  <w:szCs w:val="18"/>
                  <w:u w:val="single" w:color="auto"/>
                  <w:color w:val="0000FF"/>
                </w:rPr>
                <w:t>Form of LTIP Grant Letter dated August 13, 2020 (Officers)</w:t>
              </w:r>
            </w:hyperlink>
          </w:p>
        </w:tc>
      </w:tr>
      <w:tr>
        <w:trPr>
          <w:trHeight w:val="33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94"/>
              </w:rPr>
              <w:t>10.2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6">
              <w:r>
                <w:rPr>
                  <w:rFonts w:ascii="Arial" w:cs="Arial" w:eastAsia="Arial" w:hAnsi="Arial"/>
                  <w:sz w:val="18"/>
                  <w:szCs w:val="18"/>
                  <w:u w:val="single" w:color="auto"/>
                  <w:color w:val="0000FF"/>
                </w:rPr>
                <w:t>Form of LTIP Grant Letter dated August 13, 2020 (Directors)</w:t>
              </w:r>
            </w:hyperlink>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31.1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9">
              <w:r>
                <w:rPr>
                  <w:rFonts w:ascii="Arial" w:cs="Arial" w:eastAsia="Arial" w:hAnsi="Arial"/>
                  <w:sz w:val="18"/>
                  <w:szCs w:val="18"/>
                  <w:u w:val="single" w:color="auto"/>
                  <w:color w:val="0000FF"/>
                </w:rPr>
                <w:t>Certification of Principal Executive Officer pursuant to Exchange Act Rules 13a-14(a) and 15d-14(a).</w:t>
              </w:r>
            </w:hyperlink>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31.2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0">
              <w:r>
                <w:rPr>
                  <w:rFonts w:ascii="Arial" w:cs="Arial" w:eastAsia="Arial" w:hAnsi="Arial"/>
                  <w:sz w:val="18"/>
                  <w:szCs w:val="18"/>
                  <w:u w:val="single" w:color="auto"/>
                  <w:color w:val="0000FF"/>
                </w:rPr>
                <w:t>Certification of Principal Financial Officer pursuant to Exchange Act Rules 13a-14(a) and 15d-14(a).</w:t>
              </w:r>
            </w:hyperlink>
          </w:p>
        </w:tc>
      </w:tr>
      <w:tr>
        <w:trPr>
          <w:trHeight w:val="33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32.1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1">
              <w:r>
                <w:rPr>
                  <w:rFonts w:ascii="Arial" w:cs="Arial" w:eastAsia="Arial" w:hAnsi="Arial"/>
                  <w:sz w:val="18"/>
                  <w:szCs w:val="18"/>
                  <w:u w:val="single" w:color="auto"/>
                  <w:color w:val="0000FF"/>
                </w:rPr>
                <w:t>Certification of Principal Executive Officer pursuant to 18 U.S.C. 1350.</w:t>
              </w:r>
            </w:hyperlink>
          </w:p>
        </w:tc>
      </w:tr>
      <w:tr>
        <w:trPr>
          <w:trHeight w:val="338"/>
        </w:trPr>
        <w:tc>
          <w:tcPr>
            <w:tcW w:w="960" w:type="dxa"/>
            <w:vAlign w:val="bottom"/>
          </w:tcPr>
          <w:p>
            <w:pPr>
              <w:jc w:val="center"/>
              <w:ind w:right="90"/>
              <w:spacing w:after="0"/>
              <w:rPr>
                <w:sz w:val="20"/>
                <w:szCs w:val="20"/>
                <w:color w:val="auto"/>
              </w:rPr>
            </w:pPr>
            <w:r>
              <w:rPr>
                <w:rFonts w:ascii="Arial" w:cs="Arial" w:eastAsia="Arial" w:hAnsi="Arial"/>
                <w:sz w:val="18"/>
                <w:szCs w:val="18"/>
                <w:color w:val="auto"/>
                <w:w w:val="89"/>
              </w:rPr>
              <w:t>32.2 ††</w:t>
            </w:r>
          </w:p>
        </w:tc>
        <w:tc>
          <w:tcPr>
            <w:tcW w:w="10020" w:type="dxa"/>
            <w:vAlign w:val="bottom"/>
            <w:gridSpan w:val="16"/>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2">
              <w:r>
                <w:rPr>
                  <w:rFonts w:ascii="Arial" w:cs="Arial" w:eastAsia="Arial" w:hAnsi="Arial"/>
                  <w:sz w:val="18"/>
                  <w:szCs w:val="18"/>
                  <w:u w:val="single" w:color="auto"/>
                  <w:color w:val="0000FF"/>
                </w:rPr>
                <w:t>Certification of Principal Financial Officer pursuant to 18 U.S.C. 1350.</w:t>
              </w:r>
            </w:hyperlink>
          </w:p>
        </w:tc>
      </w:tr>
      <w:tr>
        <w:trPr>
          <w:trHeight w:val="283"/>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0"/>
              </w:rPr>
              <w:t>101.INS†</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w w:val="98"/>
              </w:rPr>
              <w:t>—  XBRL Instance Document - the instance document does not appear in the Interactive Data File because its XBRL tags are</w:t>
            </w:r>
          </w:p>
        </w:tc>
      </w:tr>
      <w:tr>
        <w:trPr>
          <w:trHeight w:val="230"/>
        </w:trPr>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40" w:type="dxa"/>
            <w:vAlign w:val="bottom"/>
            <w:gridSpan w:val="1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7"/>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1"/>
              </w:rPr>
              <w:t>101.SCH†</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4"/>
              </w:rPr>
              <w:t>101.CAL†</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3"/>
              </w:rPr>
              <w:t>101.DEF†</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96"/>
              </w:rPr>
              <w:t>101.LAB†</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Arial" w:cs="Arial" w:eastAsia="Arial" w:hAnsi="Arial"/>
                <w:sz w:val="18"/>
                <w:szCs w:val="18"/>
                <w:color w:val="auto"/>
                <w:w w:val="87"/>
              </w:rPr>
              <w:t>101.PRE†</w:t>
            </w:r>
          </w:p>
        </w:tc>
        <w:tc>
          <w:tcPr>
            <w:tcW w:w="10020" w:type="dxa"/>
            <w:vAlign w:val="bottom"/>
            <w:gridSpan w:val="16"/>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0"/>
        <w:spacing w:after="0"/>
        <w:tabs>
          <w:tab w:leader="none" w:pos="1360" w:val="left"/>
          <w:tab w:leader="none" w:pos="1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4599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PAA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AAP, L.P.,</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sole member</w:t>
            </w:r>
          </w:p>
        </w:tc>
      </w:tr>
      <w:tr>
        <w:trPr>
          <w:trHeight w:val="458"/>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Willie Chiang</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Willie Chiang,</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6, 2020</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 Swanson</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Al Swanson,</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89"/>
              </w:rPr>
              <w:t>Executive Vice President and Chief Financial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6, 2020</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 Herbold</w:t>
            </w:r>
          </w:p>
        </w:tc>
      </w:tr>
      <w:tr>
        <w:trPr>
          <w:trHeight w:val="222"/>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Chris Herbold,</w:t>
            </w:r>
          </w:p>
        </w:tc>
      </w:tr>
      <w:tr>
        <w:trPr>
          <w:trHeight w:val="176"/>
        </w:trPr>
        <w:tc>
          <w:tcPr>
            <w:tcW w:w="620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b w:val="1"/>
                <w:bCs w:val="1"/>
                <w:i w:val="1"/>
                <w:iCs w:val="1"/>
                <w:color w:val="auto"/>
                <w:w w:val="90"/>
              </w:rPr>
              <w:t>Senior Vice President and Chief Accounting Officer of Plains All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American GP LLC</w:t>
            </w:r>
          </w:p>
        </w:tc>
      </w:tr>
      <w:tr>
        <w:trPr>
          <w:trHeight w:val="230"/>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Arial" w:cs="Arial" w:eastAsia="Arial" w:hAnsi="Arial"/>
                <w:sz w:val="18"/>
                <w:szCs w:val="18"/>
                <w:color w:val="auto"/>
              </w:rPr>
              <w:t>November 6, 2020</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25"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10795</wp:posOffset>
            </wp:positionV>
            <wp:extent cx="2117090" cy="6089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21170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2020 Regular Annual LTIP Grant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US Officers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13,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Units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 am pleased to inform you that, subject to the terms hereof, you have been granted a target number of Phantom Units equal to «LTIP_Grant»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20" w:lineRule="exact"/>
        <w:rPr>
          <w:sz w:val="20"/>
          <w:szCs w:val="20"/>
          <w:color w:val="auto"/>
        </w:rPr>
      </w:pPr>
    </w:p>
    <w:p>
      <w:pPr>
        <w:jc w:val="both"/>
        <w:ind w:left="1060" w:hanging="404"/>
        <w:spacing w:after="0" w:line="247" w:lineRule="auto"/>
        <w:tabs>
          <w:tab w:leader="none" w:pos="10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further provisions hereof, your Phantom Units shall vest (become payable in the form of one Common Unit of PAA for each Phantom Unit that vests) as set forth below. With respect to Tranche 2 and Tranche 3 below, the actual number of Phantom Units that vest may be lower or higher than the percentage of target Phantom Units associated with such Tranche.</w:t>
      </w:r>
    </w:p>
    <w:p>
      <w:pPr>
        <w:spacing w:after="0" w:line="2" w:lineRule="exact"/>
        <w:rPr>
          <w:rFonts w:ascii="Arial" w:cs="Arial" w:eastAsia="Arial" w:hAnsi="Arial"/>
          <w:sz w:val="22"/>
          <w:szCs w:val="22"/>
          <w:color w:val="auto"/>
        </w:rPr>
      </w:pPr>
    </w:p>
    <w:p>
      <w:pPr>
        <w:ind w:left="1620" w:hanging="316"/>
        <w:spacing w:after="0"/>
        <w:tabs>
          <w:tab w:leader="none" w:pos="16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50% of your Phantom Units (“Tranche 1”) will vest on the August 2023 Distribution Date.</w:t>
      </w:r>
    </w:p>
    <w:p>
      <w:pPr>
        <w:spacing w:after="0" w:line="3" w:lineRule="exact"/>
        <w:rPr>
          <w:rFonts w:ascii="Arial" w:cs="Arial" w:eastAsia="Arial" w:hAnsi="Arial"/>
          <w:sz w:val="22"/>
          <w:szCs w:val="22"/>
          <w:color w:val="auto"/>
        </w:rPr>
      </w:pPr>
    </w:p>
    <w:p>
      <w:pPr>
        <w:ind w:left="1620" w:right="20" w:hanging="316"/>
        <w:spacing w:after="0" w:line="243" w:lineRule="auto"/>
        <w:tabs>
          <w:tab w:leader="none" w:pos="16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25% of your Phantom Units (“Tranche 2”) will vest pursuant to the terms and conditions described in Exhibit A attached hereto.</w:t>
      </w:r>
    </w:p>
    <w:p>
      <w:pPr>
        <w:ind w:left="1620" w:hanging="316"/>
        <w:spacing w:after="0" w:line="243" w:lineRule="auto"/>
        <w:tabs>
          <w:tab w:leader="none" w:pos="1608" w:val="left"/>
        </w:tabs>
        <w:numPr>
          <w:ilvl w:val="1"/>
          <w:numId w:val="55"/>
        </w:numPr>
        <w:rPr>
          <w:rFonts w:ascii="Arial" w:cs="Arial" w:eastAsia="Arial" w:hAnsi="Arial"/>
          <w:sz w:val="22"/>
          <w:szCs w:val="22"/>
          <w:color w:val="auto"/>
        </w:rPr>
      </w:pPr>
      <w:r>
        <w:rPr>
          <w:rFonts w:ascii="Arial" w:cs="Arial" w:eastAsia="Arial" w:hAnsi="Arial"/>
          <w:sz w:val="22"/>
          <w:szCs w:val="22"/>
          <w:color w:val="auto"/>
        </w:rPr>
        <w:t>25% of your Phantom Units (“Tranche 3”) will vest pursuant to the terms and conditions described in Exhibit B attached hereto.</w:t>
      </w:r>
    </w:p>
    <w:p>
      <w:pPr>
        <w:ind w:left="1620" w:right="20" w:hanging="316"/>
        <w:spacing w:after="0" w:line="246" w:lineRule="auto"/>
        <w:tabs>
          <w:tab w:leader="none" w:pos="162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Tranche 2 or Tranche 3 Phantom Units that are determined not to have vested as of the August 2023 Distribution Date shall expire effective as of such date.</w:t>
      </w:r>
    </w:p>
    <w:p>
      <w:pPr>
        <w:spacing w:after="0" w:line="151" w:lineRule="exact"/>
        <w:rPr>
          <w:rFonts w:ascii="Arial" w:cs="Arial" w:eastAsia="Arial" w:hAnsi="Arial"/>
          <w:sz w:val="22"/>
          <w:szCs w:val="22"/>
          <w:color w:val="auto"/>
        </w:rPr>
      </w:pPr>
    </w:p>
    <w:p>
      <w:pPr>
        <w:ind w:left="1060" w:hanging="404"/>
        <w:spacing w:after="0"/>
        <w:tabs>
          <w:tab w:leader="none" w:pos="10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further provisions hereof, your DERs shall vest (become payable in cash) as follows:</w:t>
      </w:r>
    </w:p>
    <w:p>
      <w:pPr>
        <w:spacing w:after="0" w:line="21" w:lineRule="exact"/>
        <w:rPr>
          <w:rFonts w:ascii="Arial" w:cs="Arial" w:eastAsia="Arial" w:hAnsi="Arial"/>
          <w:sz w:val="22"/>
          <w:szCs w:val="22"/>
          <w:color w:val="auto"/>
        </w:rPr>
      </w:pPr>
    </w:p>
    <w:p>
      <w:pPr>
        <w:jc w:val="both"/>
        <w:ind w:left="1620" w:hanging="316"/>
        <w:spacing w:after="0" w:line="295" w:lineRule="auto"/>
        <w:tabs>
          <w:tab w:leader="none" w:pos="1608"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DERs associated with Tranche 1 will begin accruing on the November 2020 Distribution Date and will continue to accrue until the August 2021 Distribution Date, on which date such accrued but unpaid DERs will vest and be paid in a lump sum. Beginning on the November 2021 Distribution Date, such vested DERs will be paid quarterly until the associated Phantom Units vest or are forfeited pursuant to the terms hereof.</w:t>
      </w:r>
    </w:p>
    <w:p>
      <w:pPr>
        <w:spacing w:after="0" w:line="200" w:lineRule="exact"/>
        <w:rPr>
          <w:sz w:val="20"/>
          <w:szCs w:val="20"/>
          <w:color w:val="auto"/>
        </w:rPr>
      </w:pPr>
    </w:p>
    <w:p>
      <w:pPr>
        <w:spacing w:after="0" w:line="317"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12" w:lineRule="exact"/>
        <w:rPr>
          <w:sz w:val="20"/>
          <w:szCs w:val="20"/>
          <w:color w:val="auto"/>
        </w:rPr>
      </w:pPr>
    </w:p>
    <w:p>
      <w:pPr>
        <w:jc w:val="both"/>
        <w:ind w:left="1620" w:hanging="316"/>
        <w:spacing w:after="0" w:line="287" w:lineRule="auto"/>
        <w:tabs>
          <w:tab w:leader="none" w:pos="162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DERs associated with Tranches 2 and 3 will begin accruing on the November 2020 Distribution Date and will continue to accrue until the associated Phantom Units vest or are forfeited pursuant to the terms hereof. Until such time as a final determination has been made regarding the number of Phantom Units that have vested for Tranche 2 and Tranche 3, such accruals will be based on the assumption that the final “Payout Percentage” as determined pursuant to Exhibit A or Exhibit B, as applicable, equals 100%. Once the final Payout Percentages and the final number of Phantom Units vesting for Tranche 2 and Tranche 3 have been determined, such accrued amounts shall be adjusted upward or downward, as applicable, so that they equal the total amount that would have been accrued in respect of the DERs associated with such vested Phantom Units had the accrual been based on such number of vested Phantom Units commencing on the November 2020 Distribution Date. All accrued and unpaid DERs associated with Tranche 2 and Tranche 3 shall be paid on the August 2023 Distribution Date or as soon thereafter as is administratively practicable.</w:t>
      </w:r>
    </w:p>
    <w:p>
      <w:pPr>
        <w:spacing w:after="0" w:line="190" w:lineRule="exact"/>
        <w:rPr>
          <w:rFonts w:ascii="Arial" w:cs="Arial" w:eastAsia="Arial" w:hAnsi="Arial"/>
          <w:sz w:val="19"/>
          <w:szCs w:val="19"/>
          <w:color w:val="auto"/>
        </w:rPr>
      </w:pPr>
    </w:p>
    <w:p>
      <w:pPr>
        <w:jc w:val="both"/>
        <w:ind w:left="1080" w:hanging="424"/>
        <w:spacing w:after="0" w:line="250"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number of Phantom Units and DERs subject to this award, and with respect to the Phantom Units comprising Tranche 3, the distributable cash flow level required for vesting of such Phantom Units, shall be proportionately reduced or increased for any split or reverse split, respectively, of PAA Common Units, or any event or transaction having a similar effect.</w:t>
      </w:r>
    </w:p>
    <w:p>
      <w:pPr>
        <w:spacing w:after="0" w:line="322" w:lineRule="exact"/>
        <w:rPr>
          <w:rFonts w:ascii="Arial" w:cs="Arial" w:eastAsia="Arial" w:hAnsi="Arial"/>
          <w:sz w:val="22"/>
          <w:szCs w:val="22"/>
          <w:color w:val="auto"/>
        </w:rPr>
      </w:pPr>
    </w:p>
    <w:p>
      <w:pPr>
        <w:jc w:val="both"/>
        <w:ind w:left="1080" w:hanging="424"/>
        <w:spacing w:after="0" w:line="253"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ectPr>
          <w:pgSz w:w="11900" w:h="16838" w:orient="portrait"/>
          <w:cols w:equalWidth="0" w:num="1">
            <w:col w:w="11240"/>
          </w:cols>
          <w:pgMar w:left="320" w:top="132"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312" w:lineRule="exact"/>
        <w:rPr>
          <w:sz w:val="20"/>
          <w:szCs w:val="20"/>
          <w:color w:val="auto"/>
        </w:rPr>
      </w:pPr>
    </w:p>
    <w:p>
      <w:pPr>
        <w:jc w:val="both"/>
        <w:ind w:left="980" w:hanging="324"/>
        <w:spacing w:after="0" w:line="257" w:lineRule="auto"/>
        <w:tabs>
          <w:tab w:leader="none" w:pos="9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In the event of the termination of your employment with the Company and its Affiliates for any reason (other than in connection with a Change in Status or by reason of your death or “disability,” as defined in paragraph 6 below), all of your then outstanding Phantom Units and DERs shall automatically be forfeited as of the date of termination; provided, however, that if the Company or its Affiliates terminate your employment other than as a result of a Termination for Cause,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after the first anniversary of the date of this grant, a “pro rata portion” of the target number of your then outstanding Phantom Units and DERs shall be deemed nonforfeitable on the date of termination and shall vest on the next following Distribution Date. The “pro rata portion” of Phantom Units vesting pursuant to clause (ii) immediately preceding shall be determined by multiplying the target number of your then outstanding Phantom Units by a fraction equal to the number of days between the grant date and the date of termination divided by the number of days between the grant date and the August 2023 Distribution Date (1,096). If the resulting amount includes a fraction, it will be rounded down to the nearest whole number.</w:t>
      </w:r>
    </w:p>
    <w:p>
      <w:pPr>
        <w:spacing w:after="0" w:line="213" w:lineRule="exact"/>
        <w:rPr>
          <w:rFonts w:ascii="Arial" w:cs="Arial" w:eastAsia="Arial" w:hAnsi="Arial"/>
          <w:sz w:val="21"/>
          <w:szCs w:val="21"/>
          <w:color w:val="auto"/>
        </w:rPr>
      </w:pPr>
    </w:p>
    <w:p>
      <w:pPr>
        <w:jc w:val="both"/>
        <w:ind w:left="1080" w:hanging="424"/>
        <w:spacing w:after="0" w:line="287" w:lineRule="auto"/>
        <w:tabs>
          <w:tab w:leader="none" w:pos="108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(which shall be equal to the target number of Phantom Units specified in the first paragraph hereof)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185" w:lineRule="exact"/>
        <w:rPr>
          <w:rFonts w:ascii="Arial" w:cs="Arial" w:eastAsia="Arial" w:hAnsi="Arial"/>
          <w:sz w:val="19"/>
          <w:szCs w:val="19"/>
          <w:color w:val="auto"/>
        </w:rPr>
      </w:pPr>
    </w:p>
    <w:p>
      <w:pPr>
        <w:jc w:val="both"/>
        <w:ind w:left="1080" w:hanging="424"/>
        <w:spacing w:after="0" w:line="248" w:lineRule="auto"/>
        <w:tabs>
          <w:tab w:leader="none" w:pos="10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(which shall be equal to the target number of Phantom Units specified in the first paragraph hereof)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ectPr>
          <w:pgSz w:w="11900" w:h="16838" w:orient="portrait"/>
          <w:cols w:equalWidth="0" w:num="1">
            <w:col w:w="11240"/>
          </w:cols>
          <w:pgMar w:left="320" w:top="132"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312" w:lineRule="exact"/>
        <w:rPr>
          <w:sz w:val="20"/>
          <w:szCs w:val="20"/>
          <w:color w:val="auto"/>
        </w:rPr>
      </w:pPr>
    </w:p>
    <w:p>
      <w:pPr>
        <w:jc w:val="both"/>
        <w:ind w:left="1080" w:hanging="424"/>
        <w:spacing w:after="0" w:line="250" w:lineRule="auto"/>
        <w:tabs>
          <w:tab w:leader="none" w:pos="10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phrase “Change of Control” means, and shall be deemed to have occurred upon the occurrence of, one or more of the following events:</w:t>
      </w:r>
    </w:p>
    <w:p>
      <w:pPr>
        <w:spacing w:after="0" w:line="202" w:lineRule="exact"/>
        <w:rPr>
          <w:sz w:val="20"/>
          <w:szCs w:val="20"/>
          <w:color w:val="auto"/>
        </w:rPr>
      </w:pPr>
    </w:p>
    <w:p>
      <w:pPr>
        <w:jc w:val="both"/>
        <w:ind w:left="1580" w:hanging="924"/>
        <w:spacing w:after="0" w:line="247" w:lineRule="auto"/>
        <w:tabs>
          <w:tab w:leader="none" w:pos="15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Person (other than Plains GP Holdings, L.P. (“PAGP”) and any affiliate of PAGP that is controlled by PAGP) becomes the beneficial owner, directly or indirectly (in one transaction or a series of related transactions and whether by merger or otherwise), of 50% or more of the membership interest in PAA GP Holdings LLC, a Delaware limited liability company (“PAGP GP”);</w:t>
      </w:r>
    </w:p>
    <w:p>
      <w:pPr>
        <w:spacing w:after="0" w:line="2" w:lineRule="exact"/>
        <w:rPr>
          <w:rFonts w:ascii="Arial" w:cs="Arial" w:eastAsia="Arial" w:hAnsi="Arial"/>
          <w:sz w:val="22"/>
          <w:szCs w:val="22"/>
          <w:color w:val="auto"/>
        </w:rPr>
      </w:pPr>
    </w:p>
    <w:p>
      <w:pPr>
        <w:jc w:val="both"/>
        <w:ind w:left="1580" w:hanging="924"/>
        <w:spacing w:after="0" w:line="243" w:lineRule="auto"/>
        <w:tabs>
          <w:tab w:leader="none" w:pos="157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Person (other than PAGP GP, PAGP or any affiliate of PAGP that is controlled by PAGP) acquires (in one transaction or a series of related transactions and whether by merger or otherwise) direct or indirect control of the general partner interest of PAGP;</w:t>
      </w:r>
    </w:p>
    <w:p>
      <w:pPr>
        <w:spacing w:after="0" w:line="1" w:lineRule="exact"/>
        <w:rPr>
          <w:rFonts w:ascii="Arial" w:cs="Arial" w:eastAsia="Arial" w:hAnsi="Arial"/>
          <w:sz w:val="22"/>
          <w:szCs w:val="22"/>
          <w:color w:val="auto"/>
        </w:rPr>
      </w:pPr>
    </w:p>
    <w:p>
      <w:pPr>
        <w:ind w:left="1580" w:hanging="924"/>
        <w:spacing w:after="0" w:line="246" w:lineRule="auto"/>
        <w:tabs>
          <w:tab w:leader="none" w:pos="1569" w:val="left"/>
        </w:tabs>
        <w:numPr>
          <w:ilvl w:val="0"/>
          <w:numId w:val="60"/>
        </w:numPr>
        <w:rPr>
          <w:rFonts w:ascii="Arial" w:cs="Arial" w:eastAsia="Arial" w:hAnsi="Arial"/>
          <w:sz w:val="22"/>
          <w:szCs w:val="22"/>
          <w:color w:val="auto"/>
        </w:rPr>
      </w:pPr>
      <w:r>
        <w:rPr>
          <w:rFonts w:ascii="Arial" w:cs="Arial" w:eastAsia="Arial" w:hAnsi="Arial"/>
          <w:sz w:val="22"/>
          <w:szCs w:val="22"/>
          <w:color w:val="auto"/>
        </w:rPr>
        <w:t>PAGP ceases to retain direct or indirect control (in one transaction or a series of related transactions and whether by merger or otherwise) of the general partner of the Partnership; or</w:t>
      </w:r>
    </w:p>
    <w:p>
      <w:pPr>
        <w:sectPr>
          <w:pgSz w:w="11900" w:h="16838" w:orient="portrait"/>
          <w:cols w:equalWidth="0" w:num="1">
            <w:col w:w="11240"/>
          </w:cols>
          <w:pgMar w:left="320" w:top="132" w:right="339" w:bottom="1440" w:gutter="0" w:footer="0" w:header="0"/>
        </w:sectPr>
      </w:pPr>
    </w:p>
    <w:bookmarkStart w:id="78" w:name="page79"/>
    <w:bookmarkEnd w:id="78"/>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312" w:lineRule="exact"/>
        <w:rPr>
          <w:sz w:val="20"/>
          <w:szCs w:val="20"/>
          <w:color w:val="auto"/>
        </w:rPr>
      </w:pPr>
    </w:p>
    <w:p>
      <w:pPr>
        <w:jc w:val="both"/>
        <w:ind w:left="1580" w:hanging="924"/>
        <w:spacing w:after="0" w:line="250" w:lineRule="auto"/>
        <w:tabs>
          <w:tab w:leader="none" w:pos="157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consummation of a reorganization, merger or consolidation with, or any direct or indirect sale, lease, exchange or other transfer (in one transaction or a series of related transactions) of all or substantially all of the assets of the Partnership to, one or more Persons (other than PAGP or any affiliates of PAGP that are controlled by PAGP).</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in this definition, “Person” shall include any “partnership, limited partnership, syndicate or other group” constituting a “person” within the meaning of such terms pursuant to Sections 13(d) and 14(d) of the Securities Exchange Act of 1934, as amended.</w:t>
      </w:r>
    </w:p>
    <w:p>
      <w:pPr>
        <w:spacing w:after="0" w:line="21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as amended (the “Partnership Agreement”).</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240"/>
          </w:cols>
          <w:pgMar w:left="320" w:top="132"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August 13, 2020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Please designate in the space provided below a beneficiary to receive benefits payable under this grant in the event of your death. Unless you indicate otherwise by checking the box below, the named beneficiaries on this form will serve as your beneficiaries for all previous LTIP grants. In addition, please execute and return a copy of this grant letter to me and retain a copy for your records.</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47"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40" w:type="dxa"/>
            <w:vAlign w:val="bottom"/>
            <w:gridSpan w:val="7"/>
          </w:tcPr>
          <w:p>
            <w:pPr>
              <w:ind w:left="700"/>
              <w:spacing w:after="0"/>
              <w:rPr>
                <w:sz w:val="20"/>
                <w:szCs w:val="20"/>
                <w:color w:val="auto"/>
              </w:rPr>
            </w:pPr>
            <w:r>
              <w:rPr>
                <w:rFonts w:ascii="Arial" w:cs="Arial" w:eastAsia="Arial" w:hAnsi="Arial"/>
                <w:sz w:val="22"/>
                <w:szCs w:val="22"/>
                <w:color w:val="auto"/>
              </w:rPr>
              <w:t>By:  ______________________________</w:t>
            </w:r>
          </w:p>
        </w:tc>
      </w:tr>
      <w:tr>
        <w:trPr>
          <w:trHeight w:val="257"/>
        </w:trPr>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w w:val="95"/>
              </w:rPr>
              <w:t>Name:</w:t>
            </w:r>
          </w:p>
        </w:tc>
        <w:tc>
          <w:tcPr>
            <w:tcW w:w="40" w:type="dxa"/>
            <w:vAlign w:val="bottom"/>
          </w:tcPr>
          <w:p>
            <w:pPr>
              <w:spacing w:after="0"/>
              <w:rPr>
                <w:sz w:val="22"/>
                <w:szCs w:val="22"/>
                <w:color w:val="auto"/>
              </w:rPr>
            </w:pPr>
          </w:p>
        </w:tc>
        <w:tc>
          <w:tcPr>
            <w:tcW w:w="2900" w:type="dxa"/>
            <w:vAlign w:val="bottom"/>
            <w:gridSpan w:val="4"/>
          </w:tcPr>
          <w:p>
            <w:pPr>
              <w:ind w:left="100"/>
              <w:spacing w:after="0"/>
              <w:rPr>
                <w:sz w:val="20"/>
                <w:szCs w:val="20"/>
                <w:color w:val="auto"/>
              </w:rPr>
            </w:pPr>
            <w:r>
              <w:rPr>
                <w:rFonts w:ascii="Arial" w:cs="Arial" w:eastAsia="Arial" w:hAnsi="Arial"/>
                <w:sz w:val="22"/>
                <w:szCs w:val="22"/>
                <w:color w:val="auto"/>
              </w:rPr>
              <w:t>Jim Tillis</w:t>
            </w:r>
          </w:p>
        </w:tc>
        <w:tc>
          <w:tcPr>
            <w:tcW w:w="3560" w:type="dxa"/>
            <w:vAlign w:val="bottom"/>
          </w:tcPr>
          <w:p>
            <w:pPr>
              <w:spacing w:after="0"/>
              <w:rPr>
                <w:sz w:val="22"/>
                <w:szCs w:val="22"/>
                <w:color w:val="auto"/>
              </w:rPr>
            </w:pPr>
          </w:p>
        </w:tc>
      </w:tr>
      <w:tr>
        <w:trPr>
          <w:trHeight w:val="274"/>
        </w:trPr>
        <w:tc>
          <w:tcPr>
            <w:tcW w:w="3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ind w:left="700"/>
              <w:spacing w:after="0"/>
              <w:rPr>
                <w:sz w:val="20"/>
                <w:szCs w:val="20"/>
                <w:color w:val="auto"/>
              </w:rPr>
            </w:pPr>
            <w:r>
              <w:rPr>
                <w:rFonts w:ascii="Arial" w:cs="Arial" w:eastAsia="Arial" w:hAnsi="Arial"/>
                <w:sz w:val="22"/>
                <w:szCs w:val="22"/>
                <w:color w:val="auto"/>
              </w:rPr>
              <w:t>Title:</w:t>
            </w:r>
          </w:p>
        </w:tc>
        <w:tc>
          <w:tcPr>
            <w:tcW w:w="6500" w:type="dxa"/>
            <w:vAlign w:val="bottom"/>
            <w:gridSpan w:val="6"/>
          </w:tcPr>
          <w:p>
            <w:pPr>
              <w:ind w:left="20"/>
              <w:spacing w:after="0"/>
              <w:rPr>
                <w:sz w:val="20"/>
                <w:szCs w:val="20"/>
                <w:color w:val="auto"/>
              </w:rPr>
            </w:pPr>
            <w:r>
              <w:rPr>
                <w:rFonts w:ascii="Arial" w:cs="Arial" w:eastAsia="Arial" w:hAnsi="Arial"/>
                <w:sz w:val="22"/>
                <w:szCs w:val="22"/>
                <w:color w:val="auto"/>
              </w:rPr>
              <w:t>Vice President – Human Resources</w:t>
            </w:r>
          </w:p>
        </w:tc>
      </w:tr>
      <w:tr>
        <w:trPr>
          <w:trHeight w:val="968"/>
        </w:trPr>
        <w:tc>
          <w:tcPr>
            <w:tcW w:w="3200" w:type="dxa"/>
            <w:vAlign w:val="bottom"/>
            <w:gridSpan w:val="2"/>
          </w:tcPr>
          <w:p>
            <w:pPr>
              <w:spacing w:after="0"/>
              <w:rPr>
                <w:sz w:val="20"/>
                <w:szCs w:val="20"/>
                <w:color w:val="auto"/>
              </w:rPr>
            </w:pPr>
            <w:r>
              <w:rPr>
                <w:rFonts w:ascii="Arial" w:cs="Arial" w:eastAsia="Arial" w:hAnsi="Arial"/>
                <w:sz w:val="22"/>
                <w:szCs w:val="22"/>
                <w:color w:val="auto"/>
                <w:w w:val="89"/>
              </w:rPr>
              <w:t>_____________________________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74"/>
        </w:trPr>
        <w:tc>
          <w:tcPr>
            <w:tcW w:w="3200" w:type="dxa"/>
            <w:vAlign w:val="bottom"/>
            <w:gridSpan w:val="2"/>
          </w:tcPr>
          <w:p>
            <w:pPr>
              <w:spacing w:after="0"/>
              <w:rPr>
                <w:sz w:val="20"/>
                <w:szCs w:val="20"/>
                <w:color w:val="auto"/>
              </w:rPr>
            </w:pPr>
            <w:r>
              <w:rPr>
                <w:rFonts w:ascii="Arial" w:cs="Arial" w:eastAsia="Arial" w:hAnsi="Arial"/>
                <w:sz w:val="22"/>
                <w:szCs w:val="22"/>
                <w:color w:val="auto"/>
              </w:rPr>
              <w:t>«Officer»</w:t>
            </w:r>
          </w:p>
        </w:tc>
        <w:tc>
          <w:tcPr>
            <w:tcW w:w="1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560" w:type="dxa"/>
            <w:vAlign w:val="bottom"/>
          </w:tcPr>
          <w:p>
            <w:pPr>
              <w:spacing w:after="0"/>
              <w:rPr>
                <w:sz w:val="23"/>
                <w:szCs w:val="23"/>
                <w:color w:val="auto"/>
              </w:rPr>
            </w:pPr>
          </w:p>
        </w:tc>
      </w:tr>
      <w:tr>
        <w:trPr>
          <w:trHeight w:val="449"/>
        </w:trPr>
        <w:tc>
          <w:tcPr>
            <w:tcW w:w="3000" w:type="dxa"/>
            <w:vAlign w:val="bottom"/>
          </w:tcPr>
          <w:p>
            <w:pPr>
              <w:spacing w:after="0"/>
              <w:rPr>
                <w:sz w:val="20"/>
                <w:szCs w:val="20"/>
                <w:color w:val="auto"/>
              </w:rPr>
            </w:pPr>
            <w:r>
              <w:rPr>
                <w:rFonts w:ascii="Arial" w:cs="Arial" w:eastAsia="Arial" w:hAnsi="Arial"/>
                <w:sz w:val="22"/>
                <w:szCs w:val="22"/>
                <w:color w:val="auto"/>
                <w:w w:val="90"/>
              </w:rPr>
              <w:t>Target Number of Phantom Units:</w:t>
            </w: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«LTIP_Grant»</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30"/>
        </w:trPr>
        <w:tc>
          <w:tcPr>
            <w:tcW w:w="3200" w:type="dxa"/>
            <w:vAlign w:val="bottom"/>
            <w:gridSpan w:val="2"/>
          </w:tcPr>
          <w:p>
            <w:pPr>
              <w:spacing w:after="0"/>
              <w:rPr>
                <w:sz w:val="20"/>
                <w:szCs w:val="20"/>
                <w:color w:val="auto"/>
              </w:rPr>
            </w:pPr>
            <w:r>
              <w:rPr>
                <w:rFonts w:ascii="Arial" w:cs="Arial" w:eastAsia="Arial" w:hAnsi="Arial"/>
                <w:sz w:val="22"/>
                <w:szCs w:val="22"/>
                <w:color w:val="auto"/>
                <w:w w:val="90"/>
              </w:rPr>
              <w:t>Dated: _______________________</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692"/>
        </w:trPr>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gridSpan w:val="5"/>
          </w:tcPr>
          <w:p>
            <w:pPr>
              <w:ind w:left="40"/>
              <w:spacing w:after="0"/>
              <w:rPr>
                <w:sz w:val="20"/>
                <w:szCs w:val="20"/>
                <w:color w:val="auto"/>
              </w:rPr>
            </w:pPr>
            <w:r>
              <w:rPr>
                <w:rFonts w:ascii="Arial" w:cs="Arial" w:eastAsia="Arial" w:hAnsi="Arial"/>
                <w:sz w:val="22"/>
                <w:szCs w:val="22"/>
                <w:color w:val="auto"/>
              </w:rPr>
              <w:t>Beneficiary Designation</w:t>
            </w:r>
          </w:p>
        </w:tc>
        <w:tc>
          <w:tcPr>
            <w:tcW w:w="3560" w:type="dxa"/>
            <w:vAlign w:val="bottom"/>
          </w:tcPr>
          <w:p>
            <w:pPr>
              <w:spacing w:after="0"/>
              <w:rPr>
                <w:sz w:val="24"/>
                <w:szCs w:val="24"/>
                <w:color w:val="auto"/>
              </w:rPr>
            </w:pPr>
          </w:p>
        </w:tc>
      </w:tr>
      <w:tr>
        <w:trPr>
          <w:trHeight w:val="48"/>
        </w:trPr>
        <w:tc>
          <w:tcPr>
            <w:tcW w:w="3200" w:type="dxa"/>
            <w:vAlign w:val="bottom"/>
            <w:tcBorders>
              <w:bottom w:val="single" w:sz="8" w:color="auto"/>
            </w:tcBorders>
            <w:gridSpan w:val="2"/>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1440" w:type="dxa"/>
            <w:vAlign w:val="bottom"/>
            <w:tcBorders>
              <w:top w:val="single" w:sz="8" w:color="auto"/>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gridSpan w:val="2"/>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3000" w:type="dxa"/>
            <w:vAlign w:val="bottom"/>
            <w:tcBorders>
              <w:top w:val="single" w:sz="8" w:color="auto"/>
              <w:left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336"/>
        </w:trPr>
        <w:tc>
          <w:tcPr>
            <w:tcW w:w="3200" w:type="dxa"/>
            <w:vAlign w:val="bottom"/>
            <w:tcBorders>
              <w:left w:val="single" w:sz="8" w:color="auto"/>
              <w:bottom w:val="single" w:sz="8" w:color="C0C0C0"/>
            </w:tcBorders>
            <w:gridSpan w:val="2"/>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1340" w:type="dxa"/>
            <w:vAlign w:val="bottom"/>
            <w:tcBorders>
              <w:bottom w:val="single" w:sz="8" w:color="C0C0C0"/>
            </w:tcBorders>
            <w:shd w:val="clear" w:color="auto" w:fill="C0C0C0"/>
          </w:tcPr>
          <w:p>
            <w:pPr>
              <w:spacing w:after="0"/>
              <w:rPr>
                <w:sz w:val="24"/>
                <w:szCs w:val="24"/>
                <w:color w:val="auto"/>
              </w:rPr>
            </w:pPr>
          </w:p>
        </w:tc>
        <w:tc>
          <w:tcPr>
            <w:tcW w:w="40" w:type="dxa"/>
            <w:vAlign w:val="bottom"/>
            <w:tcBorders>
              <w:bottom w:val="single" w:sz="8" w:color="C0C0C0"/>
            </w:tcBorders>
            <w:shd w:val="clear" w:color="auto" w:fill="C0C0C0"/>
          </w:tcPr>
          <w:p>
            <w:pPr>
              <w:spacing w:after="0"/>
              <w:rPr>
                <w:sz w:val="24"/>
                <w:szCs w:val="24"/>
                <w:color w:val="auto"/>
              </w:rPr>
            </w:pPr>
          </w:p>
        </w:tc>
        <w:tc>
          <w:tcPr>
            <w:tcW w:w="16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right w:val="single" w:sz="8" w:color="auto"/>
            </w:tcBorders>
            <w:shd w:val="clear" w:color="auto" w:fill="C0C0C0"/>
          </w:tcPr>
          <w:p>
            <w:pPr>
              <w:spacing w:after="0"/>
              <w:rPr>
                <w:sz w:val="24"/>
                <w:szCs w:val="24"/>
                <w:color w:val="auto"/>
              </w:rPr>
            </w:pPr>
          </w:p>
        </w:tc>
        <w:tc>
          <w:tcPr>
            <w:tcW w:w="2240" w:type="dxa"/>
            <w:vAlign w:val="bottom"/>
            <w:tcBorders>
              <w:bottom w:val="single" w:sz="8" w:color="C0C0C0"/>
              <w:right w:val="single" w:sz="8" w:color="auto"/>
            </w:tcBorders>
            <w:gridSpan w:val="2"/>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60" w:type="dxa"/>
            <w:vAlign w:val="bottom"/>
            <w:tcBorders>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50"/>
        </w:trPr>
        <w:tc>
          <w:tcPr>
            <w:tcW w:w="3000" w:type="dxa"/>
            <w:vAlign w:val="bottom"/>
            <w:tcBorders>
              <w:top w:val="single" w:sz="8" w:color="auto"/>
              <w:left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right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right w:val="single" w:sz="8" w:color="auto"/>
            </w:tcBorders>
          </w:tcPr>
          <w:p>
            <w:pPr>
              <w:spacing w:after="0"/>
              <w:rPr>
                <w:sz w:val="21"/>
                <w:szCs w:val="21"/>
                <w:color w:val="auto"/>
              </w:rPr>
            </w:pPr>
          </w:p>
        </w:tc>
        <w:tc>
          <w:tcPr>
            <w:tcW w:w="3560" w:type="dxa"/>
            <w:vAlign w:val="bottom"/>
            <w:tcBorders>
              <w:top w:val="single" w:sz="8" w:color="auto"/>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r>
        <w:trPr>
          <w:trHeight w:val="250"/>
        </w:trPr>
        <w:tc>
          <w:tcPr>
            <w:tcW w:w="3000" w:type="dxa"/>
            <w:vAlign w:val="bottom"/>
            <w:tcBorders>
              <w:left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0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spacing w:after="0"/>
              <w:rPr>
                <w:sz w:val="21"/>
                <w:szCs w:val="21"/>
                <w:color w:val="auto"/>
              </w:rPr>
            </w:pPr>
          </w:p>
        </w:tc>
        <w:tc>
          <w:tcPr>
            <w:tcW w:w="35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Check this box only if this beneficiary designation does not apply to prior grants.</w:t>
      </w:r>
    </w:p>
    <w:p>
      <w:pPr>
        <w:sectPr>
          <w:pgSz w:w="11900" w:h="16838" w:orient="portrait"/>
          <w:cols w:equalWidth="0" w:num="1">
            <w:col w:w="11240"/>
          </w:cols>
          <w:pgMar w:left="320" w:top="132" w:right="339" w:bottom="1440" w:gutter="0" w:footer="0" w:header="0"/>
        </w:sectPr>
      </w:pPr>
    </w:p>
    <w:bookmarkStart w:id="80" w:name="page81"/>
    <w:bookmarkEnd w:id="80"/>
    <w:p>
      <w:pPr>
        <w:jc w:val="center"/>
        <w:ind w:right="312"/>
        <w:spacing w:after="0"/>
        <w:rPr>
          <w:sz w:val="20"/>
          <w:szCs w:val="20"/>
          <w:color w:val="auto"/>
        </w:rPr>
      </w:pPr>
      <w:r>
        <w:rPr>
          <w:rFonts w:ascii="Arial" w:cs="Arial" w:eastAsia="Arial" w:hAnsi="Arial"/>
          <w:sz w:val="22"/>
          <w:szCs w:val="22"/>
          <w:b w:val="1"/>
          <w:bCs w:val="1"/>
          <w:color w:val="auto"/>
        </w:rPr>
        <w:t>Exhibit A</w:t>
      </w:r>
    </w:p>
    <w:p>
      <w:pPr>
        <w:spacing w:after="0" w:line="24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2 Vesting Terms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(Total Shareholder Return)</w:t>
      </w:r>
    </w:p>
    <w:p>
      <w:pPr>
        <w:spacing w:after="0" w:line="222" w:lineRule="exact"/>
        <w:rPr>
          <w:sz w:val="20"/>
          <w:szCs w:val="20"/>
          <w:color w:val="auto"/>
        </w:rPr>
      </w:pPr>
    </w:p>
    <w:p>
      <w:pPr>
        <w:jc w:val="both"/>
        <w:ind w:left="328" w:hanging="328"/>
        <w:spacing w:after="0" w:line="311"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color w:val="auto"/>
        </w:rPr>
        <w:t>. Consistent with the Company’s pay for performance philosophy and in order to more closely align the interests of management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investors, a portion of your Phantom Units will vest based on PAA’s total shareholder return (“TSR”) compared to the TSR of a peer group as described below. TSR, which will be calculated using data from Bloomberg, is a primary long-term measure of PAA’s performance.</w:t>
      </w:r>
    </w:p>
    <w:p>
      <w:pPr>
        <w:spacing w:after="0" w:line="40" w:lineRule="exact"/>
        <w:rPr>
          <w:rFonts w:ascii="Arial" w:cs="Arial" w:eastAsia="Arial" w:hAnsi="Arial"/>
          <w:sz w:val="16"/>
          <w:szCs w:val="16"/>
          <w:color w:val="auto"/>
        </w:rPr>
      </w:pPr>
    </w:p>
    <w:p>
      <w:pPr>
        <w:jc w:val="both"/>
        <w:ind w:left="328" w:hanging="328"/>
        <w:spacing w:after="0" w:line="284"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i w:val="1"/>
          <w:iCs w:val="1"/>
          <w:u w:val="single" w:color="auto"/>
          <w:color w:val="auto"/>
        </w:rPr>
        <w:t>Vesting and Payout</w:t>
      </w:r>
      <w:r>
        <w:rPr>
          <w:rFonts w:ascii="Arial" w:cs="Arial" w:eastAsia="Arial" w:hAnsi="Arial"/>
          <w:sz w:val="16"/>
          <w:szCs w:val="16"/>
          <w:color w:val="auto"/>
        </w:rPr>
        <w:t>. As soon as administratively feasible following the close of the three-year period ending on June 30, 2023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Compensation Committee shall determine and certify the TSR Payout Percentage (as defined below). The Compensation Committee shall make such determination based on a scaled payout range of between 0% and 200% as provided in the table below (the specific payout percentage is referred to as the “TSR Payout Percentage”) based on PAA’s TSR ranking at the end of the Performance Period compared to the TSR ranking of the various companies included in the PAA Peer Group described below. If PAA’s absolute TSR is within 50 basis points of the TSR of one or more peer group comparators (i.e., 50 basis points higher or lower), PAA and such comparator(s) shall be deemed to have the same rank and the TSR Payout Percentage shall be equal to the average of the TSR Payout Percentages associated with the relevant rankings as set forth in the table below. If PAA’s absolute TSR at the end of the Performance Period is less than 0% and the TSR Payout Percentage is greater than 100%,</w:t>
      </w:r>
    </w:p>
    <w:p>
      <w:pPr>
        <w:jc w:val="both"/>
        <w:ind w:left="328" w:hanging="4"/>
        <w:spacing w:after="0" w:line="253" w:lineRule="auto"/>
        <w:tabs>
          <w:tab w:leader="none" w:pos="55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TSR Payout Percentage above 125% will be reduced by 25 gross percentage points, and (ii) a TSR Payout Percentage between 100% and 125% will be reduced to 100%. The number of Tranche 2 Phantom Units vesting will be determined by multiplying your target number of Tranche 2 Phantom Units by the TSR Payout Percentage as certified by the Compensation Committee. If the resulting amount includes a fraction, it will be rounded down to the nearest whole number.</w:t>
      </w:r>
    </w:p>
    <w:p>
      <w:pPr>
        <w:spacing w:after="0" w:line="349" w:lineRule="exact"/>
        <w:rPr>
          <w:sz w:val="20"/>
          <w:szCs w:val="20"/>
          <w:color w:val="auto"/>
        </w:rPr>
      </w:pPr>
    </w:p>
    <w:tbl>
      <w:tblPr>
        <w:tblLayout w:type="fixed"/>
        <w:tblInd w:w="1478" w:type="dxa"/>
        <w:tblCellMar>
          <w:top w:w="0" w:type="dxa"/>
          <w:left w:w="0" w:type="dxa"/>
          <w:bottom w:w="0" w:type="dxa"/>
          <w:right w:w="0" w:type="dxa"/>
        </w:tblCellMar>
      </w:tblPr>
      <w:tr>
        <w:trPr>
          <w:trHeight w:val="238"/>
        </w:trPr>
        <w:tc>
          <w:tcPr>
            <w:tcW w:w="3840" w:type="dxa"/>
            <w:vAlign w:val="bottom"/>
            <w:tcBorders>
              <w:top w:val="single" w:sz="8" w:color="auto"/>
              <w:left w:val="single" w:sz="8" w:color="auto"/>
              <w:right w:val="single" w:sz="8" w:color="auto"/>
            </w:tcBorders>
          </w:tcPr>
          <w:p>
            <w:pPr>
              <w:spacing w:after="0"/>
              <w:rPr>
                <w:sz w:val="20"/>
                <w:szCs w:val="20"/>
                <w:color w:val="auto"/>
              </w:rPr>
            </w:pP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TSR Payout</w:t>
            </w:r>
          </w:p>
        </w:tc>
      </w:tr>
      <w:tr>
        <w:trPr>
          <w:trHeight w:val="234"/>
        </w:trPr>
        <w:tc>
          <w:tcPr>
            <w:tcW w:w="384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PAA TSR Ranking vs. PAA Peer Group</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185.6%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171.5%</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157.1%</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142.9%</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128.5%</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114.4%</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87.6%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75.0%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62.6%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50.0%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37.6%</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25.0%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16</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r>
        <w:trPr>
          <w:trHeight w:val="250"/>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w:t>
            </w:r>
          </w:p>
        </w:tc>
        <w:tc>
          <w:tcPr>
            <w:tcW w:w="3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8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908"/>
          </w:cols>
          <w:pgMar w:left="652"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2"/>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10908"/>
          </w:cols>
          <w:pgMar w:left="652" w:top="1422"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color w:val="auto"/>
        </w:rPr>
        <w:t>Illustrative Examples (based on an assumed target number of Tranche 2 Phantom Units of 1,000):</w:t>
      </w:r>
    </w:p>
    <w:p>
      <w:pPr>
        <w:spacing w:after="0" w:line="273"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5000" w:type="dxa"/>
            <w:vAlign w:val="bottom"/>
            <w:tcBorders>
              <w:top w:val="single" w:sz="8" w:color="auto"/>
              <w:left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PAA TSR Ranking vs. PAA Peer Group</w:t>
            </w:r>
          </w:p>
        </w:tc>
        <w:tc>
          <w:tcPr>
            <w:tcW w:w="440" w:type="dxa"/>
            <w:vAlign w:val="bottom"/>
            <w:tcBorders>
              <w:top w:val="single" w:sz="8" w:color="auto"/>
            </w:tcBorders>
          </w:tcPr>
          <w:p>
            <w:pPr>
              <w:spacing w:after="0"/>
              <w:rPr>
                <w:sz w:val="20"/>
                <w:szCs w:val="20"/>
                <w:color w:val="auto"/>
              </w:rPr>
            </w:pPr>
          </w:p>
        </w:tc>
        <w:tc>
          <w:tcPr>
            <w:tcW w:w="5600" w:type="dxa"/>
            <w:vAlign w:val="bottom"/>
            <w:tcBorders>
              <w:top w:val="single" w:sz="8" w:color="auto"/>
              <w:right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90"/>
              </w:rPr>
              <w:t>TSR Payout Percentage / Number of Units Vesting</w:t>
            </w:r>
          </w:p>
        </w:tc>
      </w:tr>
      <w:tr>
        <w:trPr>
          <w:trHeight w:val="234"/>
        </w:trPr>
        <w:tc>
          <w:tcPr>
            <w:tcW w:w="5000" w:type="dxa"/>
            <w:vAlign w:val="bottom"/>
            <w:tcBorders>
              <w:left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(impact of negative absolute TSR)</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or #2</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2,000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157.1% / 1,571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but PAA’s absolute TSR is less than 0%</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132.1% / 1,321 units (TSR Payout Percentage reduced by 25 percentage points)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114.4% / 1,144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 but PAA’s absolute TSR is less than 0%</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 1,000 units (TSR Payout Percentage reduced from 114.4% to 100%)</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1,000 units (performance at Target)</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604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5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 or #17</w:t>
            </w:r>
          </w:p>
        </w:tc>
        <w:tc>
          <w:tcPr>
            <w:tcW w:w="60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w:t>
            </w:r>
          </w:p>
        </w:tc>
      </w:tr>
      <w:tr>
        <w:trPr>
          <w:trHeight w:val="27"/>
        </w:trPr>
        <w:tc>
          <w:tcPr>
            <w:tcW w:w="50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PAA Peer Group (2020-2023 Performance Period)</w:t>
      </w:r>
      <w:r>
        <w:rPr>
          <w:rFonts w:ascii="Arial" w:cs="Arial" w:eastAsia="Arial" w:hAnsi="Arial"/>
          <w:sz w:val="18"/>
          <w:szCs w:val="18"/>
          <w:color w:val="auto"/>
        </w:rPr>
        <w:t>:</w:t>
      </w:r>
    </w:p>
    <w:p>
      <w:pPr>
        <w:spacing w:after="0" w:line="381"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4220" w:type="dxa"/>
            <w:vAlign w:val="bottom"/>
            <w:tcBorders>
              <w:top w:val="single" w:sz="8" w:color="auto"/>
              <w:left w:val="single" w:sz="8" w:color="auto"/>
              <w:right w:val="single" w:sz="8" w:color="auto"/>
            </w:tcBorders>
          </w:tcPr>
          <w:p>
            <w:pPr>
              <w:ind w:left="1480"/>
              <w:spacing w:after="0"/>
              <w:rPr>
                <w:sz w:val="20"/>
                <w:szCs w:val="20"/>
                <w:color w:val="auto"/>
              </w:rPr>
            </w:pPr>
            <w:r>
              <w:rPr>
                <w:rFonts w:ascii="Arial" w:cs="Arial" w:eastAsia="Arial" w:hAnsi="Arial"/>
                <w:sz w:val="18"/>
                <w:szCs w:val="18"/>
                <w:b w:val="1"/>
                <w:bCs w:val="1"/>
                <w:color w:val="auto"/>
              </w:rPr>
              <w:t>Company Name</w:t>
            </w:r>
          </w:p>
        </w:tc>
        <w:tc>
          <w:tcPr>
            <w:tcW w:w="4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Ticker</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Enterprise Products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EPD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Kinder Morgan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KMI</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Williams Companies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WMB</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MPLX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MPLX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Energy Transfer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ONEOK Inc.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OKE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Magellan Midstream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MMP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Phillips 66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PSXP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Targa Resources Corp.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TRGP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DCP Midstream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DCP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TC Pipelines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TCP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Holly Energy Partners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HEP</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NuStar Energy LP</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NS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EnLink Midstream LLC</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ENLC</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Alerian MLP Total Return Index</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AMZX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50"/>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S&amp;P 500 Index</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SPX</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140"/>
          </w:cols>
          <w:pgMar w:left="320" w:top="1421" w:right="439" w:bottom="1440" w:gutter="0" w:footer="0" w:header="0"/>
        </w:sectPr>
      </w:pPr>
    </w:p>
    <w:bookmarkStart w:id="82" w:name="page83"/>
    <w:bookmarkEnd w:id="82"/>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any member of the PAA Peer Group files for bankruptcy, liquidates or reorganizes under the United States Bankruptcy Code or other applicable bankruptcy law, such entity shall remain in the PAA Peer Group but shall be deemed to have a TSR of -100% for purposes of calculating the TSR Payout Percentage. If any member of the PAA Peer Group is acquired by an unrelated entity before the end of the Performance Period, such member shall be removed from the PAA Peer Group for purposes of calculating the TSR Payout Percentage. The Compensation Committee shall have discretionary authority to replace such member for purposes of calculating the TSR Payout Percentage. In all other cases involving merger, reorganization or other material change in ownership, legal structure or business operations of any member of the PAA Peer Group, including acquisition by a related entity before the end of the Performance Period, the Compensation Committee shall have authority to retain, remove or replace such member for purposes of calculating the TSR Payout Percentage. In connection with any change to the PAA Peer Group, the Compensation Committee shall also have authority to make related adjustments to the rankings and TSR Payout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40" w:right="339" w:bottom="1440" w:gutter="0" w:footer="0" w:header="0"/>
        </w:sectPr>
      </w:pPr>
    </w:p>
    <w:bookmarkStart w:id="83" w:name="page84"/>
    <w:bookmarkEnd w:id="83"/>
    <w:p>
      <w:pPr>
        <w:jc w:val="center"/>
        <w:ind w:right="312"/>
        <w:spacing w:after="0"/>
        <w:rPr>
          <w:sz w:val="20"/>
          <w:szCs w:val="20"/>
          <w:color w:val="auto"/>
        </w:rPr>
      </w:pPr>
      <w:r>
        <w:rPr>
          <w:rFonts w:ascii="Arial" w:cs="Arial" w:eastAsia="Arial" w:hAnsi="Arial"/>
          <w:sz w:val="22"/>
          <w:szCs w:val="22"/>
          <w:b w:val="1"/>
          <w:bCs w:val="1"/>
          <w:color w:val="auto"/>
        </w:rPr>
        <w:t>Exhibit B</w:t>
      </w:r>
    </w:p>
    <w:p>
      <w:pPr>
        <w:spacing w:after="0" w:line="24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Tranche 3 Vesting Terms</w:t>
      </w:r>
    </w:p>
    <w:p>
      <w:pPr>
        <w:spacing w:after="0" w:line="27"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(Cumulative DCF with Leverage Modifier)</w:t>
      </w:r>
    </w:p>
    <w:p>
      <w:pPr>
        <w:spacing w:after="0" w:line="222" w:lineRule="exact"/>
        <w:rPr>
          <w:sz w:val="20"/>
          <w:szCs w:val="20"/>
          <w:color w:val="auto"/>
        </w:rPr>
      </w:pPr>
    </w:p>
    <w:p>
      <w:pPr>
        <w:jc w:val="both"/>
        <w:ind w:left="328" w:hanging="328"/>
        <w:spacing w:after="0" w:line="273" w:lineRule="auto"/>
        <w:tabs>
          <w:tab w:leader="none" w:pos="328" w:val="left"/>
        </w:tabs>
        <w:numPr>
          <w:ilvl w:val="0"/>
          <w:numId w:val="64"/>
        </w:numPr>
        <w:rPr>
          <w:rFonts w:ascii="Arial" w:cs="Arial" w:eastAsia="Arial" w:hAnsi="Arial"/>
          <w:sz w:val="17"/>
          <w:szCs w:val="17"/>
          <w:color w:val="auto"/>
        </w:rPr>
      </w:pPr>
      <w:r>
        <w:rPr>
          <w:rFonts w:ascii="Arial" w:cs="Arial" w:eastAsia="Arial" w:hAnsi="Arial"/>
          <w:sz w:val="17"/>
          <w:szCs w:val="17"/>
          <w:i w:val="1"/>
          <w:iCs w:val="1"/>
          <w:u w:val="single" w:color="auto"/>
          <w:color w:val="auto"/>
        </w:rPr>
        <w:t>General</w:t>
      </w:r>
      <w:r>
        <w:rPr>
          <w:rFonts w:ascii="Arial" w:cs="Arial" w:eastAsia="Arial" w:hAnsi="Arial"/>
          <w:sz w:val="17"/>
          <w:szCs w:val="17"/>
          <w:color w:val="auto"/>
        </w:rPr>
        <w:t>. Consistent with the Company’s pay for performance philosophy and in order to more closely align the interests of management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of investors, a portion of your Phantom Units will vest based on PAA’s cumulative distributable cash flow (“DCF”) per common unit equivalent (“CUE”) over a three-year period as described below. PAA’s ability to sustain and increase DCF is a primary long-term measure of PAA’s performance and is consistent with PAA’s overall financial strategy. The final payout calculation will be subject to modification based on leverage levels at the end of the Performance Period; the purpose of the potential leverage modifier is to insure that DCF performance remains tied to leverage levels assumed in PAA’s long term plan as of the grant date (the “Grant Date Plan”).</w:t>
      </w:r>
    </w:p>
    <w:p>
      <w:pPr>
        <w:spacing w:after="0" w:line="69" w:lineRule="exact"/>
        <w:rPr>
          <w:rFonts w:ascii="Arial" w:cs="Arial" w:eastAsia="Arial" w:hAnsi="Arial"/>
          <w:sz w:val="17"/>
          <w:szCs w:val="17"/>
          <w:color w:val="auto"/>
        </w:rPr>
      </w:pPr>
    </w:p>
    <w:p>
      <w:pPr>
        <w:jc w:val="both"/>
        <w:ind w:left="328" w:hanging="328"/>
        <w:spacing w:after="0" w:line="259" w:lineRule="auto"/>
        <w:tabs>
          <w:tab w:leader="none" w:pos="328" w:val="left"/>
        </w:tabs>
        <w:numPr>
          <w:ilvl w:val="0"/>
          <w:numId w:val="64"/>
        </w:numPr>
        <w:rPr>
          <w:rFonts w:ascii="Arial" w:cs="Arial" w:eastAsia="Arial" w:hAnsi="Arial"/>
          <w:sz w:val="18"/>
          <w:szCs w:val="18"/>
          <w:color w:val="auto"/>
        </w:rPr>
      </w:pPr>
      <w:r>
        <w:rPr>
          <w:rFonts w:ascii="Arial" w:cs="Arial" w:eastAsia="Arial" w:hAnsi="Arial"/>
          <w:sz w:val="18"/>
          <w:szCs w:val="18"/>
          <w:i w:val="1"/>
          <w:iCs w:val="1"/>
          <w:u w:val="single" w:color="auto"/>
          <w:color w:val="auto"/>
        </w:rPr>
        <w:t>Vesting and Payout</w:t>
      </w:r>
      <w:r>
        <w:rPr>
          <w:rFonts w:ascii="Arial" w:cs="Arial" w:eastAsia="Arial" w:hAnsi="Arial"/>
          <w:sz w:val="18"/>
          <w:szCs w:val="18"/>
          <w:color w:val="auto"/>
        </w:rPr>
        <w:t>. As soon as administratively feasible following the close of the three-year period ending on June 30, 2023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the Compensation Committee shall determine and certify the DCF Payout Percentage (as defined below). The Compensation Committee shall make such determination based on a scaled payout range between 0% and 200% as provided in the table below (the specific payout percentage is referred to as the “DCF Payout Percentage”) based on PAA’s cumulative DCF per CUE over the Performance Period. If PAA’s cumulative DCF per CUE at the end of the Performance Period is between any two of the stated amounts in the table below, the DCF Payout Percentage will be interpolated between the two levels. The DCF Payout Percentage may be adjusted upward or downward by +/- 50 percentage points (the “Leverage Modifier”) based on PAA’s leverage ratio (long-term debt to adjusted EBITDA as calculated pursuant to PAA’s senior unsecured revolving credit facility) as of June 30, 2023 compared to the leverage ratio assumed in the Grant Date Plan. The Leverage Modifier will be applied as follows:</w:t>
      </w:r>
    </w:p>
    <w:p>
      <w:pPr>
        <w:spacing w:after="0" w:line="82" w:lineRule="exact"/>
        <w:rPr>
          <w:rFonts w:ascii="Arial" w:cs="Arial" w:eastAsia="Arial" w:hAnsi="Arial"/>
          <w:sz w:val="18"/>
          <w:szCs w:val="18"/>
          <w:color w:val="auto"/>
        </w:rPr>
      </w:pPr>
    </w:p>
    <w:p>
      <w:pPr>
        <w:ind w:left="968" w:hanging="320"/>
        <w:spacing w:after="0"/>
        <w:tabs>
          <w:tab w:leader="none" w:pos="968"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leverage ratio as of June 30, 2023 is between 3.4x and 3.7x, there will be no adjustment to the DCF Payout Percentage;</w:t>
      </w:r>
    </w:p>
    <w:p>
      <w:pPr>
        <w:spacing w:after="0" w:line="128" w:lineRule="exact"/>
        <w:rPr>
          <w:rFonts w:ascii="Arial" w:cs="Arial" w:eastAsia="Arial" w:hAnsi="Arial"/>
          <w:sz w:val="17"/>
          <w:szCs w:val="17"/>
          <w:color w:val="auto"/>
        </w:rPr>
      </w:pPr>
    </w:p>
    <w:p>
      <w:pPr>
        <w:ind w:left="968" w:hanging="320"/>
        <w:spacing w:after="0" w:line="277" w:lineRule="auto"/>
        <w:tabs>
          <w:tab w:leader="none" w:pos="958"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leverage ratio as of June 30, 2023 is higher than 3.7x, the DCF Payout Percentage will be reduced by 50 gross percentage points; and</w:t>
      </w:r>
    </w:p>
    <w:p>
      <w:pPr>
        <w:spacing w:after="0" w:line="62" w:lineRule="exact"/>
        <w:rPr>
          <w:rFonts w:ascii="Arial" w:cs="Arial" w:eastAsia="Arial" w:hAnsi="Arial"/>
          <w:sz w:val="18"/>
          <w:szCs w:val="18"/>
          <w:color w:val="auto"/>
        </w:rPr>
      </w:pPr>
    </w:p>
    <w:p>
      <w:pPr>
        <w:ind w:left="968" w:right="20" w:hanging="320"/>
        <w:spacing w:after="0" w:line="277" w:lineRule="auto"/>
        <w:tabs>
          <w:tab w:leader="none" w:pos="9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leverage ratio as of June 30, 2023 is lower than 3.4x, the DCF Payout Percentage will be increased by 50 gross percentage points (subject to a 200% cap).</w:t>
      </w:r>
    </w:p>
    <w:p>
      <w:pPr>
        <w:spacing w:after="0" w:line="327" w:lineRule="exact"/>
        <w:rPr>
          <w:sz w:val="20"/>
          <w:szCs w:val="20"/>
          <w:color w:val="auto"/>
        </w:rPr>
      </w:pPr>
    </w:p>
    <w:tbl>
      <w:tblPr>
        <w:tblLayout w:type="fixed"/>
        <w:tblInd w:w="1318" w:type="dxa"/>
        <w:tblCellMar>
          <w:top w:w="0" w:type="dxa"/>
          <w:left w:w="0" w:type="dxa"/>
          <w:bottom w:w="0" w:type="dxa"/>
          <w:right w:w="0" w:type="dxa"/>
        </w:tblCellMar>
      </w:tblPr>
      <w:tr>
        <w:trPr>
          <w:trHeight w:val="265"/>
        </w:trPr>
        <w:tc>
          <w:tcPr>
            <w:tcW w:w="4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 DCF Per CUE Over the Performance</w:t>
            </w:r>
          </w:p>
        </w:tc>
        <w:tc>
          <w:tcPr>
            <w:tcW w:w="39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b w:val="1"/>
                <w:bCs w:val="1"/>
                <w:color w:val="auto"/>
              </w:rPr>
              <w:t>DCF Payout Percentage</w:t>
            </w:r>
          </w:p>
        </w:tc>
      </w:tr>
      <w:tr>
        <w:trPr>
          <w:trHeight w:val="234"/>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w:t>
            </w:r>
          </w:p>
        </w:tc>
        <w:tc>
          <w:tcPr>
            <w:tcW w:w="3960" w:type="dxa"/>
            <w:vAlign w:val="bottom"/>
            <w:tcBorders>
              <w:right w:val="single" w:sz="8" w:color="auto"/>
            </w:tcBorders>
          </w:tcPr>
          <w:p>
            <w:pPr>
              <w:spacing w:after="0"/>
              <w:rPr>
                <w:sz w:val="20"/>
                <w:szCs w:val="20"/>
                <w:color w:val="auto"/>
              </w:rPr>
            </w:pP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$6.75 (112.5% of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$6.5625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175%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$6.3750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$6.1875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$6.00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$5.85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$5.70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$5.55</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50"/>
        </w:trPr>
        <w:tc>
          <w:tcPr>
            <w:tcW w:w="4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$5.40 (90% of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7"/>
        </w:trPr>
        <w:tc>
          <w:tcPr>
            <w:tcW w:w="404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0908"/>
          </w:cols>
          <w:pgMar w:left="652" w:top="1422" w:right="339" w:bottom="1440" w:gutter="0" w:footer="0" w:header="0"/>
        </w:sectPr>
      </w:pPr>
    </w:p>
    <w:bookmarkStart w:id="84" w:name="page85"/>
    <w:bookmarkEnd w:id="84"/>
    <w:p>
      <w:pPr>
        <w:jc w:val="both"/>
        <w:ind w:left="660"/>
        <w:spacing w:after="0" w:line="263" w:lineRule="auto"/>
        <w:rPr>
          <w:sz w:val="20"/>
          <w:szCs w:val="20"/>
          <w:color w:val="auto"/>
        </w:rPr>
      </w:pPr>
      <w:r>
        <w:rPr>
          <w:rFonts w:ascii="Arial" w:cs="Arial" w:eastAsia="Arial" w:hAnsi="Arial"/>
          <w:sz w:val="18"/>
          <w:szCs w:val="18"/>
          <w:color w:val="auto"/>
        </w:rPr>
        <w:t>Note: Both the cumulative DCF per CUE targets set forth in the table above and the leverage ratios referenced above are based on the Grant Date Plan, excluding the earnings and leverage impacts of potential asset sales (other than asset sales under contract as of the grant date). Accordingly, when calculating the DCF Payout Percentage, the following adjustments will be made:</w:t>
      </w:r>
    </w:p>
    <w:p>
      <w:pPr>
        <w:spacing w:after="0" w:line="76" w:lineRule="exact"/>
        <w:rPr>
          <w:sz w:val="20"/>
          <w:szCs w:val="20"/>
          <w:color w:val="auto"/>
        </w:rPr>
      </w:pPr>
    </w:p>
    <w:p>
      <w:pPr>
        <w:jc w:val="both"/>
        <w:ind w:left="980" w:hanging="324"/>
        <w:spacing w:after="0" w:line="286" w:lineRule="auto"/>
        <w:tabs>
          <w:tab w:leader="none" w:pos="977"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cumulative DCF per CUE target for the Performance Period as set forth in the table above will be adjusted downward to account for the loss of earnings assumed in the Grant Date Plan for any divested assets, net of avoided interest expense allocable to the divested assets (calculated based on an assumption that 100% of the net sales proceeds from such divestitures are used to reduce debt); and</w:t>
      </w:r>
    </w:p>
    <w:p>
      <w:pPr>
        <w:spacing w:after="0" w:line="57" w:lineRule="exact"/>
        <w:rPr>
          <w:rFonts w:ascii="Arial" w:cs="Arial" w:eastAsia="Arial" w:hAnsi="Arial"/>
          <w:sz w:val="17"/>
          <w:szCs w:val="17"/>
          <w:color w:val="auto"/>
        </w:rPr>
      </w:pPr>
    </w:p>
    <w:p>
      <w:pPr>
        <w:ind w:left="980" w:hanging="324"/>
        <w:spacing w:after="0" w:line="308" w:lineRule="auto"/>
        <w:tabs>
          <w:tab w:leader="none" w:pos="974"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with respect to any divested assets that were included as divestitures in the Grant Date Plan, the leverage ratio target will be adjusted to reflect the leverage impact of any such divested assets based on the assumptions originally set forth in the Grant Date Plan.</w:t>
      </w:r>
    </w:p>
    <w:p>
      <w:pPr>
        <w:spacing w:after="0" w:line="3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addition, for the Leverage Modifier, the leverage ratio calculation will be adjusted up or down as appropriate to neutralize the impact on leverage of any DCF per CUE over or under performance that has already been taken into account in determining the final amount of cumulative DCF per CUE during the Performance Period (with the goal of isolating the balance sheet impact of other actions such as timing and amount of asset sales, amount of capital expenditures, etc.). The number of Tranche 3 Phantom Units vesting will be determined by multiplying your target number of Tranche 3 Phantom Units by the DCF Payout Percentage as certified by the Compensation Committee. If the resulting amount includes a fraction, it will be rounded down to the nearest whole number.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Illustrative Examples (based on an assumed target number of Tranche 3 Phantom Units of 1,000):</w:t>
      </w:r>
    </w:p>
    <w:p>
      <w:pPr>
        <w:spacing w:after="0" w:line="273"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2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PAA Cumulative DCF per CUE</w:t>
            </w:r>
          </w:p>
        </w:tc>
        <w:tc>
          <w:tcPr>
            <w:tcW w:w="21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0"/>
              </w:rPr>
              <w:t>Leverage Ratio as of June</w:t>
            </w:r>
          </w:p>
        </w:tc>
        <w:tc>
          <w:tcPr>
            <w:tcW w:w="440" w:type="dxa"/>
            <w:vAlign w:val="bottom"/>
            <w:tcBorders>
              <w:top w:val="single" w:sz="8" w:color="auto"/>
            </w:tcBorders>
          </w:tcPr>
          <w:p>
            <w:pPr>
              <w:spacing w:after="0"/>
              <w:rPr>
                <w:sz w:val="20"/>
                <w:szCs w:val="20"/>
                <w:color w:val="auto"/>
              </w:rPr>
            </w:pPr>
          </w:p>
        </w:tc>
        <w:tc>
          <w:tcPr>
            <w:tcW w:w="586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DCF Payout Percentage / Number of Units Vesting</w:t>
            </w:r>
          </w:p>
        </w:tc>
      </w:tr>
      <w:tr>
        <w:trPr>
          <w:trHeight w:val="261"/>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Over the Performance Period</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30, 2023</w:t>
            </w:r>
          </w:p>
        </w:tc>
        <w:tc>
          <w:tcPr>
            <w:tcW w:w="440" w:type="dxa"/>
            <w:vAlign w:val="bottom"/>
          </w:tcPr>
          <w:p>
            <w:pPr>
              <w:spacing w:after="0"/>
              <w:rPr>
                <w:sz w:val="22"/>
                <w:szCs w:val="22"/>
                <w:color w:val="auto"/>
              </w:rPr>
            </w:pPr>
          </w:p>
        </w:tc>
        <w:tc>
          <w:tcPr>
            <w:tcW w:w="586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(Impact of Leverage Modifier)</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2,000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440" w:type="dxa"/>
            <w:vAlign w:val="bottom"/>
          </w:tcPr>
          <w:p>
            <w:pPr>
              <w:spacing w:after="0"/>
              <w:rPr>
                <w:sz w:val="20"/>
                <w:szCs w:val="20"/>
                <w:color w:val="auto"/>
              </w:rPr>
            </w:pPr>
            <w:r>
              <w:rPr>
                <w:rFonts w:ascii="Arial" w:cs="Arial" w:eastAsia="Arial" w:hAnsi="Arial"/>
                <w:sz w:val="18"/>
                <w:szCs w:val="18"/>
                <w:color w:val="auto"/>
                <w:w w:val="91"/>
              </w:rPr>
              <w:t>150%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1,500 units (DCF Payout Percentage reduced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$6.75</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440" w:type="dxa"/>
            <w:vAlign w:val="bottom"/>
          </w:tcPr>
          <w:p>
            <w:pPr>
              <w:spacing w:after="0"/>
              <w:rPr>
                <w:sz w:val="20"/>
                <w:szCs w:val="20"/>
                <w:color w:val="auto"/>
              </w:rPr>
            </w:pPr>
            <w:r>
              <w:rPr>
                <w:rFonts w:ascii="Arial" w:cs="Arial" w:eastAsia="Arial" w:hAnsi="Arial"/>
                <w:sz w:val="18"/>
                <w:szCs w:val="18"/>
                <w:color w:val="auto"/>
                <w:w w:val="91"/>
              </w:rPr>
              <w:t>200%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2,000 units (DCF Payout Percentage capped at 200%)</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440" w:type="dxa"/>
            <w:vAlign w:val="bottom"/>
          </w:tcPr>
          <w:p>
            <w:pPr>
              <w:spacing w:after="0"/>
              <w:rPr>
                <w:sz w:val="20"/>
                <w:szCs w:val="20"/>
                <w:color w:val="auto"/>
              </w:rPr>
            </w:pPr>
            <w:r>
              <w:rPr>
                <w:rFonts w:ascii="Arial" w:cs="Arial" w:eastAsia="Arial" w:hAnsi="Arial"/>
                <w:sz w:val="18"/>
                <w:szCs w:val="18"/>
                <w:color w:val="auto"/>
                <w:w w:val="91"/>
              </w:rPr>
              <w:t>100%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1,000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 (DCF Payout Percentage reduced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440" w:type="dxa"/>
            <w:vAlign w:val="bottom"/>
          </w:tcPr>
          <w:p>
            <w:pPr>
              <w:spacing w:after="0"/>
              <w:rPr>
                <w:sz w:val="20"/>
                <w:szCs w:val="20"/>
                <w:color w:val="auto"/>
              </w:rPr>
            </w:pPr>
            <w:r>
              <w:rPr>
                <w:rFonts w:ascii="Arial" w:cs="Arial" w:eastAsia="Arial" w:hAnsi="Arial"/>
                <w:sz w:val="18"/>
                <w:szCs w:val="18"/>
                <w:color w:val="auto"/>
                <w:w w:val="91"/>
              </w:rPr>
              <w:t>150%</w:t>
            </w:r>
          </w:p>
        </w:tc>
        <w:tc>
          <w:tcPr>
            <w:tcW w:w="5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 1,500 units (DCF Payout Percentage increased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3.55x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0% / 0 units (no adjustment to DCF Payout Percentage)</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6300" w:type="dxa"/>
            <w:vAlign w:val="bottom"/>
            <w:tcBorders>
              <w:bottom w:val="single" w:sz="8" w:color="auto"/>
              <w:right w:val="single" w:sz="8" w:color="auto"/>
            </w:tcBorders>
            <w:gridSpan w:val="2"/>
          </w:tcPr>
          <w:p>
            <w:pPr>
              <w:spacing w:after="0"/>
              <w:rPr>
                <w:sz w:val="2"/>
                <w:szCs w:val="2"/>
                <w:color w:val="auto"/>
              </w:rPr>
            </w:pPr>
          </w:p>
        </w:tc>
      </w:tr>
      <w:tr>
        <w:trPr>
          <w:trHeight w:val="250"/>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$5.40</w:t>
            </w:r>
          </w:p>
        </w:tc>
        <w:tc>
          <w:tcPr>
            <w:tcW w:w="2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3.25x</w:t>
            </w:r>
          </w:p>
        </w:tc>
        <w:tc>
          <w:tcPr>
            <w:tcW w:w="6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50% / 500 units (DCF Payout Percentage increased by 50 percentage points)</w:t>
            </w:r>
          </w:p>
        </w:tc>
      </w:tr>
      <w:tr>
        <w:trPr>
          <w:trHeight w:val="27"/>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40"/>
          </w:cols>
          <w:pgMar w:left="320" w:top="14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10795</wp:posOffset>
            </wp:positionV>
            <wp:extent cx="2322830" cy="5918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23228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2020 ANNUAL DIRECTOR GRANT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2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Grant of Phantom Class A Shares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[number]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4" w:lineRule="exact"/>
        <w:rPr>
          <w:sz w:val="20"/>
          <w:szCs w:val="20"/>
          <w:color w:val="auto"/>
        </w:rPr>
      </w:pPr>
    </w:p>
    <w:p>
      <w:pPr>
        <w:ind w:left="660" w:hanging="328"/>
        <w:spacing w:after="0" w:line="343" w:lineRule="auto"/>
        <w:tabs>
          <w:tab w:leader="none" w:pos="6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Phantom Class A Shares shall vest (become payable in the form of one Class A Share of PAGP for each Phantom Class A Share that vests) on the August 2024 Distribution Date.</w:t>
      </w:r>
    </w:p>
    <w:p>
      <w:pPr>
        <w:spacing w:after="0" w:line="131" w:lineRule="exact"/>
        <w:rPr>
          <w:rFonts w:ascii="Arial" w:cs="Arial" w:eastAsia="Arial" w:hAnsi="Arial"/>
          <w:sz w:val="19"/>
          <w:szCs w:val="19"/>
          <w:color w:val="auto"/>
        </w:rPr>
      </w:pPr>
    </w:p>
    <w:p>
      <w:pPr>
        <w:ind w:left="660" w:hanging="328"/>
        <w:spacing w:after="0" w:line="263"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1" w:lineRule="exact"/>
        <w:rPr>
          <w:rFonts w:ascii="Arial" w:cs="Arial" w:eastAsia="Arial" w:hAnsi="Arial"/>
          <w:sz w:val="22"/>
          <w:szCs w:val="22"/>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46" w:lineRule="exact"/>
        <w:rPr>
          <w:rFonts w:ascii="Arial" w:cs="Arial" w:eastAsia="Arial" w:hAnsi="Arial"/>
          <w:sz w:val="22"/>
          <w:szCs w:val="22"/>
          <w:color w:val="auto"/>
        </w:rPr>
      </w:pPr>
    </w:p>
    <w:p>
      <w:pPr>
        <w:jc w:val="both"/>
        <w:ind w:left="660" w:hanging="328"/>
        <w:spacing w:after="0" w:line="250" w:lineRule="auto"/>
        <w:tabs>
          <w:tab w:leader="none" w:pos="6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40"/>
        <w:spacing w:after="0"/>
        <w:tabs>
          <w:tab w:leader="none" w:pos="4480" w:val="left"/>
          <w:tab w:leader="none" w:pos="6800" w:val="left"/>
        </w:tabs>
        <w:rPr>
          <w:sz w:val="20"/>
          <w:szCs w:val="20"/>
          <w:color w:val="auto"/>
        </w:rPr>
      </w:pPr>
      <w:r>
        <w:rPr>
          <w:rFonts w:ascii="Arial" w:cs="Arial" w:eastAsia="Arial" w:hAnsi="Arial"/>
          <w:sz w:val="20"/>
          <w:szCs w:val="20"/>
          <w:color w:val="000080"/>
        </w:rPr>
        <w:t>333 Clay Street, Suite 1600</w:t>
      </w:r>
      <w:r>
        <w:rPr>
          <w:sz w:val="20"/>
          <w:szCs w:val="20"/>
          <w:color w:val="auto"/>
        </w:rPr>
        <w:tab/>
      </w:r>
      <w:r>
        <w:rPr>
          <w:rFonts w:ascii="Arial" w:cs="Arial" w:eastAsia="Arial" w:hAnsi="Arial"/>
          <w:sz w:val="20"/>
          <w:szCs w:val="20"/>
          <w:color w:val="000080"/>
        </w:rPr>
        <w:t>Houston, Texas 77002</w:t>
      </w:r>
      <w:r>
        <w:rPr>
          <w:sz w:val="20"/>
          <w:szCs w:val="20"/>
          <w:color w:val="auto"/>
        </w:rPr>
        <w:tab/>
      </w:r>
      <w:r>
        <w:rPr>
          <w:rFonts w:ascii="Arial" w:cs="Arial" w:eastAsia="Arial" w:hAnsi="Arial"/>
          <w:sz w:val="18"/>
          <w:szCs w:val="18"/>
          <w:color w:val="000080"/>
        </w:rPr>
        <w:t>713/646-4100 or 800-564-3036</w:t>
      </w:r>
    </w:p>
    <w:p>
      <w:pPr>
        <w:sectPr>
          <w:pgSz w:w="11900" w:h="16838" w:orient="portrait"/>
          <w:cols w:equalWidth="0" w:num="1">
            <w:col w:w="11240"/>
          </w:cols>
          <w:pgMar w:left="320" w:top="126" w:right="339" w:bottom="1440" w:gutter="0" w:footer="0" w:header="0"/>
        </w:sectPr>
      </w:pPr>
    </w:p>
    <w:bookmarkStart w:id="86" w:name="page87"/>
    <w:bookmarkEnd w:id="86"/>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[name]</w:t>
        <w:tab/>
        <w:t>- 2 -</w:t>
      </w:r>
      <w:r>
        <w:rPr>
          <w:sz w:val="20"/>
          <w:szCs w:val="20"/>
          <w:color w:val="auto"/>
        </w:rPr>
        <w:tab/>
      </w:r>
      <w:r>
        <w:rPr>
          <w:rFonts w:ascii="Arial" w:cs="Arial" w:eastAsia="Arial" w:hAnsi="Arial"/>
          <w:sz w:val="19"/>
          <w:szCs w:val="19"/>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hanging="328"/>
        <w:spacing w:after="0" w:line="248" w:lineRule="auto"/>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shall immediately become nonforfeitable and shall vest in full as of the next following Distribution Date. Upon such payment, the tandem DERs associated with the Phantom Class A Shares that are vesting shall expire.</w:t>
      </w:r>
    </w:p>
    <w:p>
      <w:pPr>
        <w:spacing w:after="0" w:line="218" w:lineRule="exact"/>
        <w:rPr>
          <w:rFonts w:ascii="Arial" w:cs="Arial" w:eastAsia="Arial" w:hAnsi="Arial"/>
          <w:sz w:val="22"/>
          <w:szCs w:val="22"/>
          <w:color w:val="auto"/>
        </w:rPr>
      </w:pPr>
    </w:p>
    <w:p>
      <w:pPr>
        <w:ind w:left="660" w:hanging="328"/>
        <w:spacing w:after="0" w:line="343" w:lineRule="auto"/>
        <w:tabs>
          <w:tab w:leader="none" w:pos="660" w:val="left"/>
        </w:tabs>
        <w:numPr>
          <w:ilvl w:val="0"/>
          <w:numId w:val="67"/>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1" w:lineRule="exact"/>
        <w:rPr>
          <w:sz w:val="20"/>
          <w:szCs w:val="20"/>
          <w:color w:val="auto"/>
        </w:rPr>
      </w:pPr>
    </w:p>
    <w:p>
      <w:pPr>
        <w:jc w:val="both"/>
        <w:ind w:firstLine="286"/>
        <w:spacing w:after="0" w:line="246" w:lineRule="auto"/>
        <w:rPr>
          <w:sz w:val="20"/>
          <w:szCs w:val="20"/>
          <w:color w:val="auto"/>
        </w:rPr>
      </w:pPr>
      <w:r>
        <w:rPr>
          <w:rFonts w:ascii="Arial" w:cs="Arial" w:eastAsia="Arial" w:hAnsi="Arial"/>
          <w:sz w:val="22"/>
          <w:szCs w:val="22"/>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223" w:lineRule="exact"/>
        <w:rPr>
          <w:sz w:val="20"/>
          <w:szCs w:val="20"/>
          <w:color w:val="auto"/>
        </w:rPr>
      </w:pPr>
    </w:p>
    <w:p>
      <w:pPr>
        <w:jc w:val="both"/>
        <w:ind w:firstLine="236"/>
        <w:spacing w:after="0" w:line="247"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240"/>
          </w:cols>
          <w:pgMar w:left="320" w:top="132" w:right="339" w:bottom="1440" w:gutter="0" w:footer="0" w:header="0"/>
        </w:sectPr>
      </w:pPr>
    </w:p>
    <w:bookmarkStart w:id="87" w:name="page88"/>
    <w:bookmarkEnd w:id="87"/>
    <w:p>
      <w:pPr>
        <w:jc w:val="center"/>
        <w:ind w:right="-19"/>
        <w:spacing w:after="0"/>
        <w:tabs>
          <w:tab w:leader="none" w:pos="200" w:val="left"/>
          <w:tab w:leader="none" w:pos="180" w:val="left"/>
        </w:tabs>
        <w:rPr>
          <w:sz w:val="20"/>
          <w:szCs w:val="20"/>
          <w:color w:val="auto"/>
        </w:rPr>
      </w:pPr>
      <w:r>
        <w:rPr>
          <w:rFonts w:ascii="Arial" w:cs="Arial" w:eastAsia="Arial" w:hAnsi="Arial"/>
          <w:sz w:val="22"/>
          <w:szCs w:val="22"/>
          <w:color w:val="auto"/>
        </w:rPr>
        <w:t>[name]</w:t>
        <w:tab/>
        <w:t>- 3 -</w:t>
      </w:r>
      <w:r>
        <w:rPr>
          <w:sz w:val="20"/>
          <w:szCs w:val="20"/>
          <w:color w:val="auto"/>
        </w:rPr>
        <w:tab/>
      </w:r>
      <w:r>
        <w:rPr>
          <w:rFonts w:ascii="Arial" w:cs="Arial" w:eastAsia="Arial" w:hAnsi="Arial"/>
          <w:sz w:val="19"/>
          <w:szCs w:val="19"/>
          <w:color w:val="auto"/>
        </w:rPr>
        <w:t>August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Please designate in the space provided below a beneficiary to receive benefits payable under this a grant in the event of your death. In addition, please execute and return a copy of this grant letter to me and retain a copy for your records.</w:t>
      </w:r>
    </w:p>
    <w:p>
      <w:pPr>
        <w:spacing w:after="0" w:line="1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GP HOLDINGS, L.P.</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HOLDINGS LLC</w:t>
      </w:r>
    </w:p>
    <w:p>
      <w:pPr>
        <w:spacing w:after="0" w:line="200" w:lineRule="exact"/>
        <w:rPr>
          <w:sz w:val="20"/>
          <w:szCs w:val="20"/>
          <w:color w:val="auto"/>
        </w:rPr>
      </w:pPr>
    </w:p>
    <w:p>
      <w:pPr>
        <w:spacing w:after="0" w:line="30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____________________________________</w:t>
      </w:r>
    </w:p>
    <w:p>
      <w:pPr>
        <w:spacing w:after="0" w:line="21"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Richard McGee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8229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No. of Phantom Class A Shares: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-17780</wp:posOffset>
            </wp:positionV>
            <wp:extent cx="647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6477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6858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6995160" cy="1611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6995160" cy="161163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9"/>
          <w:szCs w:val="19"/>
          <w:color w:val="auto"/>
        </w:rPr>
        <w:t>Primary Beneficiary Name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Relationship</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Percent (Must total 100%)</w:t>
      </w:r>
    </w:p>
    <w:p>
      <w:pPr>
        <w:spacing w:after="0" w:line="200" w:lineRule="exact"/>
        <w:rPr>
          <w:sz w:val="20"/>
          <w:szCs w:val="20"/>
          <w:color w:val="auto"/>
        </w:rPr>
      </w:pPr>
    </w:p>
    <w:p>
      <w:pPr>
        <w:sectPr>
          <w:pgSz w:w="11900" w:h="16838" w:orient="portrait"/>
          <w:cols w:equalWidth="0" w:num="3">
            <w:col w:w="4540" w:space="720"/>
            <w:col w:w="1520" w:space="720"/>
            <w:col w:w="374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Secondary Beneficiary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Relationship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Percent (Must total 100%)</w:t>
      </w:r>
    </w:p>
    <w:p>
      <w:pPr>
        <w:sectPr>
          <w:pgSz w:w="11900" w:h="16838" w:orient="portrait"/>
          <w:cols w:equalWidth="0" w:num="3">
            <w:col w:w="4540" w:space="720"/>
            <w:col w:w="1520" w:space="720"/>
            <w:col w:w="3740"/>
          </w:cols>
          <w:pgMar w:left="320" w:top="132" w:right="3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160" w:firstLine="656"/>
        <w:spacing w:after="0" w:line="263"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20" w:firstLine="656"/>
        <w:spacing w:after="0" w:line="308" w:lineRule="auto"/>
        <w:tabs>
          <w:tab w:leader="none" w:pos="873"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656"/>
        <w:spacing w:after="0" w:line="263" w:lineRule="auto"/>
        <w:tabs>
          <w:tab w:leader="none" w:pos="8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firstLine="656"/>
        <w:spacing w:after="0" w:line="263" w:lineRule="auto"/>
        <w:tabs>
          <w:tab w:leader="none" w:pos="134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right="40" w:firstLine="656"/>
        <w:spacing w:after="0" w:line="263"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180" w:firstLine="656"/>
        <w:spacing w:after="0" w:line="308" w:lineRule="auto"/>
        <w:tabs>
          <w:tab w:leader="none" w:pos="1343" w:val="left"/>
        </w:tabs>
        <w:numPr>
          <w:ilvl w:val="0"/>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160" w:firstLine="656"/>
        <w:spacing w:after="0" w:line="263" w:lineRule="auto"/>
        <w:tabs>
          <w:tab w:leader="none" w:pos="13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0" w:firstLine="656"/>
        <w:spacing w:after="0" w:line="308" w:lineRule="auto"/>
        <w:tabs>
          <w:tab w:leader="none" w:pos="87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400" w:firstLine="656"/>
        <w:spacing w:after="0" w:line="308"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80" w:firstLine="656"/>
        <w:spacing w:after="0" w:line="27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Willie Chiang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November 6, 2020</w:t>
      </w:r>
    </w:p>
    <w:p>
      <w:pPr>
        <w:sectPr>
          <w:pgSz w:w="11900" w:h="16838" w:orient="portrait"/>
          <w:cols w:equalWidth="0" w:num="1">
            <w:col w:w="11240"/>
          </w:cols>
          <w:pgMar w:left="320" w:top="89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3" w:lineRule="auto"/>
        <w:tabs>
          <w:tab w:leader="none" w:pos="13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2020 and filed with the Securities and Exchange Commission on the date hereof (the “Report”) by the Company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49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Al Swanson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 November 6,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1)"/>
      <w:numFmt w:val="decimal"/>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emdash "/>
      <w:numFmt w:val="bullet"/>
      <w:start w:val="1"/>
    </w:lvl>
    <w:lvl w:ilvl="1">
      <w:lvlJc w:val="left"/>
      <w:lvlText w:val="2"/>
      <w:numFmt w:val="bullet"/>
      <w:start w:val="1"/>
    </w:lvl>
  </w:abstractNum>
  <w:abstractNum w:abstractNumId="27">
    <w:nsid w:val="12E685FB"/>
    <w:multiLevelType w:val="hybridMultilevel"/>
    <w:lvl w:ilvl="0">
      <w:lvlJc w:val="left"/>
      <w:lvlText w:val="\emdash "/>
      <w:numFmt w:val="bullet"/>
      <w:start w:val="1"/>
    </w:lvl>
  </w:abstractNum>
  <w:abstractNum w:abstractNumId="28">
    <w:nsid w:val="70C6A529"/>
    <w:multiLevelType w:val="hybridMultilevel"/>
    <w:lvl w:ilvl="0">
      <w:lvlJc w:val="left"/>
      <w:lvlText w:val="%1"/>
      <w:numFmt w:val="decimal"/>
      <w:start w:val="40"/>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lowerRoman"/>
      <w:start w:val="2"/>
    </w:lvl>
  </w:abstractNum>
  <w:abstractNum w:abstractNumId="32">
    <w:nsid w:val="23F9C13C"/>
    <w:multiLevelType w:val="hybridMultilevel"/>
    <w:lvl w:ilvl="0">
      <w:lvlJc w:val="left"/>
      <w:lvlText w:val="(%1)"/>
      <w:numFmt w:val="lowerRoman"/>
      <w:start w:val="5"/>
    </w:lvl>
  </w:abstractNum>
  <w:abstractNum w:abstractNumId="33">
    <w:nsid w:val="649BB77C"/>
    <w:multiLevelType w:val="hybridMultilevel"/>
    <w:lvl w:ilvl="0">
      <w:lvlJc w:val="left"/>
      <w:lvlText w:val="(%1)"/>
      <w:numFmt w:val="decimal"/>
      <w:start w:val="3"/>
    </w:lvl>
  </w:abstractNum>
  <w:abstractNum w:abstractNumId="34">
    <w:nsid w:val="275AC794"/>
    <w:multiLevelType w:val="hybridMultilevel"/>
    <w:lvl w:ilvl="0">
      <w:lvlJc w:val="left"/>
      <w:lvlText w:val="(%1)"/>
      <w:numFmt w:val="decimal"/>
      <w:start w:val="5"/>
    </w:lvl>
  </w:abstractNum>
  <w:abstractNum w:abstractNumId="35">
    <w:nsid w:val="39386575"/>
    <w:multiLevelType w:val="hybridMultilevel"/>
    <w:lvl w:ilvl="0">
      <w:lvlJc w:val="left"/>
      <w:lvlText w:val="(%1)"/>
      <w:numFmt w:val="decimal"/>
      <w:start w:val="10"/>
    </w:lvl>
  </w:abstractNum>
  <w:abstractNum w:abstractNumId="36">
    <w:nsid w:val="1CF10FD8"/>
    <w:multiLevelType w:val="hybridMultilevel"/>
    <w:lvl w:ilvl="0">
      <w:lvlJc w:val="left"/>
      <w:lvlText w:val="(%1)"/>
      <w:numFmt w:val="decimal"/>
      <w:start w:val="3"/>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lowerRoman"/>
      <w:start w:val="3"/>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3"/>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1)"/>
      <w:numFmt w:val="lowerRoman"/>
      <w:start w:val="4"/>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lowerRoman"/>
      <w:start w:val="4"/>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1."/>
      <w:numFmt w:val="decimal"/>
      <w:start w:val="1"/>
    </w:lvl>
    <w:lvl w:ilvl="1">
      <w:lvlJc w:val="left"/>
      <w:lvlText w:val="%2."/>
      <w:numFmt w:val="lowerLetter"/>
      <w:start w:val="1"/>
    </w:lvl>
  </w:abstractNum>
  <w:abstractNum w:abstractNumId="55">
    <w:nsid w:val="4AD084E9"/>
    <w:multiLevelType w:val="hybridMultilevel"/>
    <w:lvl w:ilvl="0">
      <w:lvlJc w:val="left"/>
      <w:lvlText w:val="%1"/>
      <w:numFmt w:val="decimal"/>
      <w:start w:val="1"/>
    </w:lvl>
    <w:lvl w:ilvl="1">
      <w:lvlJc w:val="left"/>
      <w:lvlText w:val="%2."/>
      <w:numFmt w:val="lowerLetter"/>
      <w:start w:val="2"/>
    </w:lvl>
  </w:abstractNum>
  <w:abstractNum w:abstractNumId="56">
    <w:nsid w:val="1F48EAA1"/>
    <w:multiLevelType w:val="hybridMultilevel"/>
    <w:lvl w:ilvl="0">
      <w:lvlJc w:val="left"/>
      <w:lvlText w:val="%1."/>
      <w:numFmt w:val="decimal"/>
      <w:start w:val="3"/>
    </w:lvl>
    <w:lvl w:ilvl="1">
      <w:lvlJc w:val="left"/>
      <w:lvlText w:val="%2"/>
      <w:numFmt w:val="lowerLetter"/>
      <w:start w:val="1"/>
    </w:lvl>
  </w:abstractNum>
  <w:abstractNum w:abstractNumId="57">
    <w:nsid w:val="1381823A"/>
    <w:multiLevelType w:val="hybridMultilevel"/>
    <w:lvl w:ilvl="0">
      <w:lvlJc w:val="left"/>
      <w:lvlText w:val="%1."/>
      <w:numFmt w:val="decimal"/>
      <w:start w:val="5"/>
    </w:lvl>
  </w:abstractNum>
  <w:abstractNum w:abstractNumId="58">
    <w:nsid w:val="5DB70AE5"/>
    <w:multiLevelType w:val="hybridMultilevel"/>
    <w:lvl w:ilvl="0">
      <w:lvlJc w:val="left"/>
      <w:lvlText w:val="%1."/>
      <w:numFmt w:val="decimal"/>
      <w:start w:val="8"/>
    </w:lvl>
  </w:abstractNum>
  <w:abstractNum w:abstractNumId="59">
    <w:nsid w:val="100F8FCA"/>
    <w:multiLevelType w:val="hybridMultilevel"/>
    <w:lvl w:ilvl="0">
      <w:lvlJc w:val="left"/>
      <w:lvlText w:val="(%1)"/>
      <w:numFmt w:val="lowerRoman"/>
      <w:start w:val="1"/>
    </w:lvl>
  </w:abstractNum>
  <w:abstractNum w:abstractNumId="60">
    <w:nsid w:val="6590700B"/>
    <w:multiLevelType w:val="hybridMultilevel"/>
    <w:lvl w:ilvl="0">
      <w:lvlJc w:val="left"/>
      <w:lvlText w:val="(%1)"/>
      <w:numFmt w:val="lowerRoman"/>
      <w:start w:val="4"/>
    </w:lvl>
  </w:abstractNum>
  <w:abstractNum w:abstractNumId="61">
    <w:nsid w:val="15014ACB"/>
    <w:multiLevelType w:val="hybridMultilevel"/>
    <w:lvl w:ilvl="0">
      <w:lvlJc w:val="left"/>
      <w:lvlText w:val="%1."/>
      <w:numFmt w:val="decimal"/>
      <w:start w:val="1"/>
    </w:lvl>
    <w:lvl w:ilvl="1">
      <w:lvlJc w:val="left"/>
      <w:lvlText w:val="(%2)"/>
      <w:numFmt w:val="lowerRoman"/>
      <w:start w:val="1"/>
    </w:lvl>
  </w:abstractNum>
  <w:abstractNum w:abstractNumId="62">
    <w:nsid w:val="5F5E7FD0"/>
    <w:multiLevelType w:val="hybridMultilevel"/>
    <w:lvl w:ilvl="0">
      <w:lvlJc w:val="left"/>
      <w:lvlText w:val="%1."/>
      <w:numFmt w:val="decimal"/>
      <w:start w:val="3"/>
    </w:lvl>
  </w:abstractNum>
  <w:abstractNum w:abstractNumId="63">
    <w:nsid w:val="98A3148"/>
    <w:multiLevelType w:val="hybridMultilevel"/>
    <w:lvl w:ilvl="0">
      <w:lvlJc w:val="left"/>
      <w:lvlText w:val="%1."/>
      <w:numFmt w:val="decimal"/>
      <w:start w:val="1"/>
    </w:lvl>
    <w:lvl w:ilvl="1">
      <w:lvlJc w:val="left"/>
      <w:lvlText w:val="(%2)"/>
      <w:numFmt w:val="lowerRoman"/>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lowerLetter"/>
      <w:start w:val="1"/>
    </w:lvl>
  </w:abstractNum>
  <w:abstractNum w:abstractNumId="73">
    <w:nsid w:val="51D9C564"/>
    <w:multiLevelType w:val="hybridMultilevel"/>
    <w:lvl w:ilvl="0">
      <w:lvlJc w:val="left"/>
      <w:lvlText w:val="%1."/>
      <w:numFmt w:val="decimal"/>
      <w:start w:val="5"/>
    </w:lvl>
  </w:abstractNum>
  <w:abstractNum w:abstractNumId="74">
    <w:nsid w:val="613EFDC5"/>
    <w:multiLevelType w:val="hybridMultilevel"/>
    <w:lvl w:ilvl="0">
      <w:lvlJc w:val="left"/>
      <w:lvlText w:val="(%1)"/>
      <w:numFmt w:val="lowerLetter"/>
      <w:start w:val="1"/>
    </w:lvl>
  </w:abstractNum>
  <w:abstractNum w:abstractNumId="75">
    <w:nsid w:val="BF72B14"/>
    <w:multiLevelType w:val="hybridMultilevel"/>
    <w:lvl w:ilvl="0">
      <w:lvlJc w:val="left"/>
      <w:lvlText w:val="(%1)"/>
      <w:numFmt w:val="lowerRoman"/>
      <w:start w:val="1"/>
    </w:lvl>
  </w:abstractNum>
  <w:abstractNum w:abstractNumId="76">
    <w:nsid w:val="11447B7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3" Type="http://schemas.openxmlformats.org/officeDocument/2006/relationships/image" Target="media/image113.png"/><Relationship Id="rId141" Type="http://schemas.openxmlformats.org/officeDocument/2006/relationships/image" Target="media/image114.png"/><Relationship Id="rId156"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jpeg"/><Relationship Id="rId170" Type="http://schemas.openxmlformats.org/officeDocument/2006/relationships/image" Target="media/image120.jpe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20" Type="http://schemas.openxmlformats.org/officeDocument/2006/relationships/hyperlink" Target="http://www.sec.gov/Archives/edgar/data/1070423/000110465917061889/a17-22685_5ex3d1.htm#Exhibit3_1_122228" TargetMode="External"/><Relationship Id="rId121" Type="http://schemas.openxmlformats.org/officeDocument/2006/relationships/hyperlink" Target="http://www.sec.gov/Archives/edgar/data/1070423/000104746904016502/a2135501zex-3_2.htm" TargetMode="External"/><Relationship Id="rId122" Type="http://schemas.openxmlformats.org/officeDocument/2006/relationships/hyperlink" Target="http://www.sec.gov/Archives/edgar/data/1070423/000110465911010359/a11-2319_1ex3d9.htm" TargetMode="External"/><Relationship Id="rId124" Type="http://schemas.openxmlformats.org/officeDocument/2006/relationships/hyperlink" Target="http://www.sec.gov/Archives/edgar/data/1070423/000110465911010359/a11-2319_1ex3d10.htm" TargetMode="External"/><Relationship Id="rId125" Type="http://schemas.openxmlformats.org/officeDocument/2006/relationships/hyperlink" Target="http://www.sec.gov/Archives/edgar/data/1070423/000110465914014322/a13-25941_1ex3d7.htm" TargetMode="External"/><Relationship Id="rId126" Type="http://schemas.openxmlformats.org/officeDocument/2006/relationships/hyperlink" Target="http://www.sec.gov/Archives/edgar/data/1070423/000110465914014322/a13-25941_1ex3d8.htm" TargetMode="External"/><Relationship Id="rId127" Type="http://schemas.openxmlformats.org/officeDocument/2006/relationships/hyperlink" Target="http://www.sec.gov/Archives/edgar/data/1070423/000107042320000004/paa201910-kexhibit37.htm" TargetMode="External"/><Relationship Id="rId128" Type="http://schemas.openxmlformats.org/officeDocument/2006/relationships/hyperlink" Target="http://www.sec.gov/Archives/edgar/data/1070423/000104746904016502/a2135501zex-3_3.htm" TargetMode="External"/><Relationship Id="rId129" Type="http://schemas.openxmlformats.org/officeDocument/2006/relationships/hyperlink" Target="http://www.sec.gov/Archives/edgar/data/1070423/000110465914014322/a13-25941_1ex3d10.htm" TargetMode="External"/><Relationship Id="rId130" Type="http://schemas.openxmlformats.org/officeDocument/2006/relationships/hyperlink" Target="http://www.sec.gov/Archives/edgar/data/1070423/000110465916158355/a16-21841_1ex3d3.htm" TargetMode="External"/><Relationship Id="rId131" Type="http://schemas.openxmlformats.org/officeDocument/2006/relationships/hyperlink" Target="http://www.sec.gov/Archives/edgar/data/1070423/000110465916158355/a16-21841_1ex3d4.htm" TargetMode="External"/><Relationship Id="rId132" Type="http://schemas.openxmlformats.org/officeDocument/2006/relationships/hyperlink" Target="http://www.sec.gov/Archives/edgar/data/1070423/000110465918060011/a18-36196_1ex3d1.htm" TargetMode="External"/><Relationship Id="rId133" Type="http://schemas.openxmlformats.org/officeDocument/2006/relationships/hyperlink" Target="http://www.sec.gov/Archives/edgar/data/1070423/000110465919032810/a19-10856_1ex3d1.htm" TargetMode="External"/><Relationship Id="rId134" Type="http://schemas.openxmlformats.org/officeDocument/2006/relationships/hyperlink" Target="http://www.sec.gov/Archives/edgar/data/1070423/000095012907001096/h43224exv3w10.htm" TargetMode="External"/><Relationship Id="rId135" Type="http://schemas.openxmlformats.org/officeDocument/2006/relationships/hyperlink" Target="http://www.sec.gov/Archives/edgar/data/1070423/000095012907001096/h43224exv3w11.htm" TargetMode="External"/><Relationship Id="rId136" Type="http://schemas.openxmlformats.org/officeDocument/2006/relationships/hyperlink" Target="http://www.sec.gov/Archives/edgar/data/1070423/000095012908000071/h52770exv3w3.htm" TargetMode="External"/><Relationship Id="rId137" Type="http://schemas.openxmlformats.org/officeDocument/2006/relationships/hyperlink" Target="http://www.sec.gov/Archives/edgar/data/1581990/000104746913007875/a2216069zex-3_1.htm" TargetMode="External"/><Relationship Id="rId138" Type="http://schemas.openxmlformats.org/officeDocument/2006/relationships/hyperlink" Target="http://www.sec.gov/Archives/edgar/data/1581990/000110465916158356/a16-21845_1ex3d2.htm" TargetMode="External"/><Relationship Id="rId139" Type="http://schemas.openxmlformats.org/officeDocument/2006/relationships/hyperlink" Target="http://www.sec.gov/Archives/edgar/data/1581990/000104746913007875/a2216069zex-3_3.htm" TargetMode="External"/><Relationship Id="rId140" Type="http://schemas.openxmlformats.org/officeDocument/2006/relationships/hyperlink" Target="http://www.sec.gov/Archives/edgar/data/1070423/000110465917010601/a17-6891_1ex3d1.htm" TargetMode="External"/><Relationship Id="rId142" Type="http://schemas.openxmlformats.org/officeDocument/2006/relationships/hyperlink" Target="http://www.sec.gov/Archives/edgar/data/1070423/000110465918052848/a18-18381_3ex3d1.htm" TargetMode="External"/><Relationship Id="rId143" Type="http://schemas.openxmlformats.org/officeDocument/2006/relationships/hyperlink" Target="http://www.sec.gov/Archives/edgar/data/1070423/000110465918072384/a18-41341_1ex3d1.htm" TargetMode="External"/><Relationship Id="rId144" Type="http://schemas.openxmlformats.org/officeDocument/2006/relationships/hyperlink" Target="http://www.sec.gov/Archives/edgar/data/1070423/000110465919067782/tm1923979d1_ex3-1.htm" TargetMode="External"/><Relationship Id="rId145" Type="http://schemas.openxmlformats.org/officeDocument/2006/relationships/hyperlink" Target="http://www.sec.gov/Archives/edgar/data/1070423/000089924302002834/dex41.txt" TargetMode="External"/><Relationship Id="rId146" Type="http://schemas.openxmlformats.org/officeDocument/2006/relationships/hyperlink" Target="http://www.sec.gov/Archives/edgar/data/1070423/000110465906034368/a06-11663_1ex4d1.htm" TargetMode="External"/><Relationship Id="rId147" Type="http://schemas.openxmlformats.org/officeDocument/2006/relationships/hyperlink" Target="http://www.sec.gov/Archives/edgar/data/1070423/000095012906009235/h40667exv4w2.htm" TargetMode="External"/><Relationship Id="rId148" Type="http://schemas.openxmlformats.org/officeDocument/2006/relationships/hyperlink" Target="http://www.sec.gov/Archives/edgar/data/1070423/000095012311002051/h78739exv4w1.htm" TargetMode="External"/><Relationship Id="rId149" Type="http://schemas.openxmlformats.org/officeDocument/2006/relationships/hyperlink" Target="http://www.sec.gov/Archives/edgar/data/1070423/000119312512132295/d321017dex41.htm" TargetMode="External"/><Relationship Id="rId150" Type="http://schemas.openxmlformats.org/officeDocument/2006/relationships/hyperlink" Target="http://www.sec.gov/Archives/edgar/data/1070423/000119312512132295/d321017dex43.htm" TargetMode="External"/><Relationship Id="rId151" Type="http://schemas.openxmlformats.org/officeDocument/2006/relationships/hyperlink" Target="http://www.sec.gov/Archives/edgar/data/1070423/000119312512499932/d453762dex41.htm" TargetMode="External"/><Relationship Id="rId152" Type="http://schemas.openxmlformats.org/officeDocument/2006/relationships/hyperlink" Target="http://www.sec.gov/Archives/edgar/data/1070423/000119312512499932/d453762dex43.htm" TargetMode="External"/><Relationship Id="rId153" Type="http://schemas.openxmlformats.org/officeDocument/2006/relationships/hyperlink" Target="http://www.sec.gov/Archives/edgar/data/1070423/000119312513336066/d581734dex41.htm" TargetMode="External"/><Relationship Id="rId154" Type="http://schemas.openxmlformats.org/officeDocument/2006/relationships/hyperlink" Target="http://www.sec.gov/Archives/edgar/data/1070423/000119312514164183/d713938dex41.htm" TargetMode="External"/><Relationship Id="rId155" Type="http://schemas.openxmlformats.org/officeDocument/2006/relationships/hyperlink" Target="http://www.sec.gov/Archives/edgar/data/1070423/000119312514338289/d787160dex41.htm" TargetMode="External"/><Relationship Id="rId157" Type="http://schemas.openxmlformats.org/officeDocument/2006/relationships/hyperlink" Target="http://www.sec.gov/Archives/edgar/data/1070423/000119312514440007/d833885dex43.htm" TargetMode="External"/><Relationship Id="rId158" Type="http://schemas.openxmlformats.org/officeDocument/2006/relationships/hyperlink" Target="http://www.sec.gov/Archives/edgar/data/1070423/000119312515302829/d45393dex41.htm" TargetMode="External"/><Relationship Id="rId159" Type="http://schemas.openxmlformats.org/officeDocument/2006/relationships/hyperlink" Target="http://www.sec.gov/Archives/edgar/data/1070423/000110465916159593/a16-22232_1ex4d1.htm" TargetMode="External"/><Relationship Id="rId160" Type="http://schemas.openxmlformats.org/officeDocument/2006/relationships/hyperlink" Target="http://www.sec.gov/Archives/edgar/data/1070423/000141057819001281/tv529555_ex4-1.htm" TargetMode="External"/><Relationship Id="rId161" Type="http://schemas.openxmlformats.org/officeDocument/2006/relationships/hyperlink" Target="http://www.sec.gov/Archives/edgar/data/1070423/000110465920072270/tm2022235d1_ex4-1.htm" TargetMode="External"/><Relationship Id="rId162" Type="http://schemas.openxmlformats.org/officeDocument/2006/relationships/hyperlink" Target="http://www.sec.gov/Archives/edgar/data/1070423/000095012309050401/h68193exv4w1.htm" TargetMode="External"/><Relationship Id="rId163" Type="http://schemas.openxmlformats.org/officeDocument/2006/relationships/hyperlink" Target="http://www.sec.gov/Archives/edgar/data/1070423/000110465916093299/a16-3362_1ex4d1.htm" TargetMode="External"/><Relationship Id="rId164" Type="http://schemas.openxmlformats.org/officeDocument/2006/relationships/hyperlink" Target="http://www.sec.gov/Archives/edgar/data/1070423/000110465916158355/a16-21841_1ex10d4.htm" TargetMode="External"/><Relationship Id="rId165" Type="http://schemas.openxmlformats.org/officeDocument/2006/relationships/hyperlink" Target="http://www.sec.gov/Archives/edgar/data/1070423/000107042320000004/paa201910-kexhibit4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2020-11-06T16:16:33Z</dcterms:created>
  <dcterms:modified xsi:type="dcterms:W3CDTF">2020-11-06T16:16:33Z</dcterms:modified>
</cp:coreProperties>
</file>