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820" w:right="1560" w:hanging="3812"/>
        <w:spacing w:after="0" w:line="409" w:lineRule="auto"/>
        <w:tabs>
          <w:tab w:leader="none" w:pos="47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sectPr>
          <w:pgSz w:w="11900" w:h="16838" w:orient="portrait"/>
          <w:cols w:equalWidth="0" w:num="2">
            <w:col w:w="7220" w:space="720"/>
            <w:col w:w="324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8"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8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8" w:lineRule="exact"/>
        <w:rPr>
          <w:sz w:val="24"/>
          <w:szCs w:val="24"/>
          <w:color w:val="auto"/>
        </w:rPr>
      </w:pPr>
    </w:p>
    <w:p>
      <w:pPr>
        <w:ind w:left="19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26" w:lineRule="exact"/>
        <w:rPr>
          <w:sz w:val="24"/>
          <w:szCs w:val="24"/>
          <w:color w:val="auto"/>
        </w:rPr>
      </w:pPr>
    </w:p>
    <w:p>
      <w:pPr>
        <w:sectPr>
          <w:pgSz w:w="11900" w:h="16838" w:orient="portrait"/>
          <w:cols w:equalWidth="0" w:num="2">
            <w:col w:w="6800" w:space="720"/>
            <w:col w:w="366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May 1, 2024, there were 701,071,031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4"/>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2024 and 2023</w:t>
            </w:r>
          </w:p>
        </w:tc>
        <w:tc>
          <w:tcPr>
            <w:tcW w:w="1520" w:type="dxa"/>
            <w:vAlign w:val="bottom"/>
            <w:gridSpan w:val="4"/>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three months ended March</w:t>
            </w: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20" w:type="dxa"/>
            <w:vAlign w:val="bottom"/>
            <w:tcBorders>
              <w:top w:val="single" w:sz="8" w:color="0000FF"/>
            </w:tcBorders>
            <w:gridSpan w:val="31"/>
          </w:tcPr>
          <w:p>
            <w:pPr>
              <w:spacing w:after="0" w:line="142" w:lineRule="exact"/>
              <w:rPr>
                <w:sz w:val="20"/>
                <w:szCs w:val="20"/>
                <w:color w:val="auto"/>
              </w:rPr>
            </w:pPr>
            <w:r>
              <w:rPr>
                <w:rFonts w:ascii="Times New Roman" w:cs="Times New Roman" w:eastAsia="Times New Roman" w:hAnsi="Times New Roman"/>
                <w:sz w:val="16"/>
                <w:szCs w:val="16"/>
                <w:color w:val="0000FF"/>
              </w:rPr>
              <w:t>31, 2024 and 2023</w:t>
            </w: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months ended March 31,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88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18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520" w:type="dxa"/>
            <w:vAlign w:val="bottom"/>
            <w:gridSpan w:val="11"/>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3. Net Income Per Common Unit</w:t>
            </w:r>
          </w:p>
        </w:tc>
        <w:tc>
          <w:tcPr>
            <w:tcW w:w="360" w:type="dxa"/>
            <w:vAlign w:val="bottom"/>
            <w:tcBorders>
              <w:top w:val="single" w:sz="8" w:color="0000FF"/>
            </w:tcBorders>
            <w:gridSpan w:val="5"/>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322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2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5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328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972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8"/>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4,913</w:t>
            </w:r>
          </w:p>
        </w:tc>
      </w:tr>
      <w:tr>
        <w:trPr>
          <w:trHeight w:val="132"/>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21,143</w:t>
            </w: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132"/>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9"/>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r>
      <w:tr>
        <w:trPr>
          <w:trHeight w:val="132"/>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8,620</w:t>
            </w:r>
          </w:p>
        </w:tc>
      </w:tr>
      <w:tr>
        <w:trPr>
          <w:trHeight w:val="92"/>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0"/>
        </w:trPr>
        <w:tc>
          <w:tcPr>
            <w:tcW w:w="8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unitholders (71,090,468 and 71,090,468 units outstanding, respectively)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unitholders (701,071,031 and 701,008,749 units outstanding, 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8,126</w:t>
            </w:r>
          </w:p>
        </w:tc>
      </w:tr>
      <w:tr>
        <w:trPr>
          <w:trHeight w:val="219"/>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partners’ capital excluding noncontrolling interests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5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162"/>
        </w:trPr>
        <w:tc>
          <w:tcPr>
            <w:tcW w:w="8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$2 and $2,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42"/>
        </w:trPr>
        <w:tc>
          <w:tcPr>
            <w:tcW w:w="8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42"/>
        </w:trPr>
        <w:tc>
          <w:tcPr>
            <w:tcW w:w="8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 (NOTE 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22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5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period activity</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24"/>
                <w:szCs w:val="24"/>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hedges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period activity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9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Preferred Distribution Rate Reset Option (Note 7)</w:t>
            </w:r>
          </w:p>
        </w:tc>
        <w:tc>
          <w:tcPr>
            <w:tcW w:w="9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9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1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w:t>
            </w:r>
          </w:p>
        </w:tc>
      </w:tr>
      <w:tr>
        <w:trPr>
          <w:trHeight w:val="200"/>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in connection with acquisitions, net of cash acquired</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to property, equipment and other</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purchases of linefill</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sales of assets</w:t>
            </w:r>
          </w:p>
        </w:tc>
        <w:tc>
          <w:tcPr>
            <w:tcW w:w="9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1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00"/>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borrowings under commercial paper program (Note 5)</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of senior notes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A preferred unitholders (Note 6)</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B preferred unitholders (Note 6)</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common unitholders (Note 6)</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noncontrolling interests (Note 6)</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from noncontrolling interests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146"/>
        </w:trPr>
        <w:tc>
          <w:tcPr>
            <w:tcW w:w="8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2"/>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5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paid/(received) for: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net of amounts refunded</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Distributions (Note 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1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spacing w:after="0" w:line="18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March 31, 2024, AAP also owned a limited partner interest in us through its ownership of approximately 232.7 million of our common units (approximately 30% of our total outstanding common units and Series A preferred units combined). Plains All American GP LLC (“GP LLC”), a Delaware limited liability company, is AAP’s general partner. Plains GP Holdings, L.P. (“PAGP”) is the sole and managing member of GP LLC, and, at March 31, 2024, owned an approximate 85% limited partner interest in AAP. PAA GP Holdings LLC (“PAGP GP”) is the general partner of PAGP.</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2023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2023 was derived from audited financial statements, but does not include all disclosures required by GAAP. The results of operations for the three months ended March 31, 2024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and Disclosure Rules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2023 Annual Report on Form 10-K, there have been no new accounting pronouncements that have become effective or have been issued during the three months ended March 31, 2024 that are of significance or potential significance to us.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Such disclosure requirements will begin phasing in for annual periods beginning in 2025. In April 2024, the SEC stayed the climate disclosure rules pending resolution of legal challenges. We are currently evaluating the climate disclosure rules to determine the impact on our related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See Note 3 to our Consolidated Financial Statements included in Part IV of our 2023 Annual Report on Form 10-K for additional information regarding our types of revenues and policies for revenue recognition.</w:t>
      </w:r>
    </w:p>
    <w:p>
      <w:pPr>
        <w:spacing w:after="0" w:line="1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2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 w:type="dxa"/>
            <w:vAlign w:val="bottom"/>
            <w:tcBorders>
              <w:bottom w:val="single" w:sz="8" w:color="CCEEFF"/>
            </w:tcBorders>
          </w:tcPr>
          <w:p>
            <w:pPr>
              <w:spacing w:after="0"/>
              <w:rPr>
                <w:sz w:val="17"/>
                <w:szCs w:val="17"/>
                <w:color w:val="auto"/>
              </w:rPr>
            </w:pPr>
          </w:p>
        </w:tc>
        <w:tc>
          <w:tcPr>
            <w:tcW w:w="84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r>
      <w:tr>
        <w:trPr>
          <w:trHeight w:val="216"/>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60" w:type="dxa"/>
            <w:vAlign w:val="bottom"/>
          </w:tcPr>
          <w:p>
            <w:pPr>
              <w:spacing w:after="0"/>
              <w:rPr>
                <w:sz w:val="19"/>
                <w:szCs w:val="19"/>
                <w:color w:val="auto"/>
              </w:rPr>
            </w:pPr>
          </w:p>
        </w:tc>
      </w:tr>
      <w:tr>
        <w:trPr>
          <w:trHeight w:val="229"/>
        </w:trPr>
        <w:tc>
          <w:tcPr>
            <w:tcW w:w="60" w:type="dxa"/>
            <w:vAlign w:val="bottom"/>
            <w:shd w:val="clear" w:color="auto" w:fill="CCEEFF"/>
          </w:tcPr>
          <w:p>
            <w:pPr>
              <w:spacing w:after="0"/>
              <w:rPr>
                <w:sz w:val="19"/>
                <w:szCs w:val="19"/>
                <w:color w:val="auto"/>
              </w:rPr>
            </w:pPr>
          </w:p>
        </w:tc>
        <w:tc>
          <w:tcPr>
            <w:tcW w:w="8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Transportation</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8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9"/>
                <w:szCs w:val="19"/>
                <w:color w:val="auto"/>
              </w:rPr>
            </w:pPr>
          </w:p>
        </w:tc>
      </w:tr>
      <w:tr>
        <w:trPr>
          <w:trHeight w:val="24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60" w:type="dxa"/>
            <w:vAlign w:val="bottom"/>
          </w:tcPr>
          <w:p>
            <w:pPr>
              <w:spacing w:after="0"/>
              <w:rPr>
                <w:sz w:val="21"/>
                <w:szCs w:val="2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3"/>
        </w:trPr>
        <w:tc>
          <w:tcPr>
            <w:tcW w:w="6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6"/>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bottom w:val="single" w:sz="8" w:color="auto"/>
            </w:tcBorders>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320" w:type="dxa"/>
            <w:vAlign w:val="bottom"/>
          </w:tcPr>
          <w:p>
            <w:pPr>
              <w:spacing w:after="0"/>
              <w:rPr>
                <w:sz w:val="13"/>
                <w:szCs w:val="13"/>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4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78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2024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1"/>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4,347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3,999</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8"/>
              </w:rPr>
              <w:t>8,284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7,535</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rPr>
              <w:t>(8,591)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(7,774)</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8"/>
              </w:rPr>
              <w:t>4,040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3,760</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00"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Per Common Unit</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and Note 17 to our Consolidated Financial Statements included in Part IV of our 2023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months ended March 31, 2024 and 2023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8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13335</wp:posOffset>
            </wp:positionV>
            <wp:extent cx="1680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 w:type="dxa"/>
            <w:vAlign w:val="bottom"/>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60" w:type="dxa"/>
            <w:vAlign w:val="bottom"/>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60" w:type="dxa"/>
            <w:vAlign w:val="bottom"/>
          </w:tcPr>
          <w:p>
            <w:pPr>
              <w:spacing w:after="0"/>
              <w:rPr>
                <w:sz w:val="19"/>
                <w:szCs w:val="19"/>
                <w:color w:val="auto"/>
              </w:rPr>
            </w:pPr>
          </w:p>
        </w:tc>
        <w:tc>
          <w:tcPr>
            <w:tcW w:w="8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0" w:type="dxa"/>
            <w:vAlign w:val="bottom"/>
          </w:tcPr>
          <w:p>
            <w:pPr>
              <w:spacing w:after="0"/>
              <w:rPr>
                <w:sz w:val="19"/>
                <w:szCs w:val="19"/>
                <w:color w:val="auto"/>
              </w:rPr>
            </w:pPr>
          </w:p>
        </w:tc>
        <w:tc>
          <w:tcPr>
            <w:tcW w:w="8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0" w:type="dxa"/>
            <w:vAlign w:val="bottom"/>
          </w:tcPr>
          <w:p>
            <w:pPr>
              <w:spacing w:after="0"/>
              <w:rPr>
                <w:sz w:val="19"/>
                <w:szCs w:val="19"/>
                <w:color w:val="auto"/>
              </w:rPr>
            </w:pPr>
          </w:p>
        </w:tc>
        <w:tc>
          <w:tcPr>
            <w:tcW w:w="8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0" w:type="dxa"/>
            <w:vAlign w:val="bottom"/>
          </w:tcPr>
          <w:p>
            <w:pPr>
              <w:spacing w:after="0"/>
              <w:rPr>
                <w:sz w:val="19"/>
                <w:szCs w:val="19"/>
                <w:color w:val="auto"/>
              </w:rPr>
            </w:pPr>
          </w:p>
        </w:tc>
        <w:tc>
          <w:tcPr>
            <w:tcW w:w="85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0" w:type="dxa"/>
            <w:vAlign w:val="bottom"/>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Net income allocated to common unitholders </w:t>
            </w:r>
            <w:r>
              <w:rPr>
                <w:rFonts w:ascii="Times New Roman" w:cs="Times New Roman" w:eastAsia="Times New Roman" w:hAnsi="Times New Roman"/>
                <w:sz w:val="23"/>
                <w:szCs w:val="23"/>
                <w:color w:val="auto"/>
                <w:vertAlign w:val="superscript"/>
              </w:rPr>
              <w:t>(1)</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0" w:type="dxa"/>
            <w:vAlign w:val="bottom"/>
          </w:tcPr>
          <w:p>
            <w:pPr>
              <w:spacing w:after="0"/>
              <w:rPr>
                <w:sz w:val="19"/>
                <w:szCs w:val="19"/>
                <w:color w:val="auto"/>
              </w:rPr>
            </w:pPr>
          </w:p>
        </w:tc>
        <w:tc>
          <w:tcPr>
            <w:tcW w:w="8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57"/>
        </w:trPr>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4"/>
        </w:trPr>
        <w:tc>
          <w:tcPr>
            <w:tcW w:w="60" w:type="dxa"/>
            <w:vAlign w:val="bottom"/>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4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117" w:lineRule="exact"/>
        <w:rPr>
          <w:sz w:val="20"/>
          <w:szCs w:val="20"/>
          <w:color w:val="auto"/>
        </w:rPr>
      </w:pPr>
    </w:p>
    <w:p>
      <w:pPr>
        <w:ind w:left="660" w:right="60" w:hanging="652"/>
        <w:spacing w:after="0" w:line="23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5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15,541</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4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20" w:hanging="652"/>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86" w:lineRule="exact"/>
        <w:rPr>
          <w:sz w:val="20"/>
          <w:szCs w:val="20"/>
          <w:color w:val="auto"/>
        </w:rPr>
      </w:pPr>
    </w:p>
    <w:p>
      <w:pPr>
        <w:jc w:val="right"/>
        <w:ind w:right="24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96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20"/>
          </w:cols>
          <w:pgMar w:left="320" w:top="121" w:right="359" w:bottom="1440" w:gutter="0" w:footer="0" w:header="0"/>
        </w:sectPr>
      </w:pP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-125095</wp:posOffset>
            </wp:positionV>
            <wp:extent cx="71062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Commercial paper notes, bearing a weighted-average interest rate of 5.7% and 5.8%, respectively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1" w:lineRule="exact"/>
        <w:rPr>
          <w:sz w:val="20"/>
          <w:szCs w:val="20"/>
          <w:color w:val="auto"/>
        </w:rPr>
      </w:pPr>
    </w:p>
    <w:p>
      <w:pPr>
        <w:ind w:left="40" w:right="620"/>
        <w:spacing w:after="0" w:line="233" w:lineRule="auto"/>
        <w:rPr>
          <w:sz w:val="20"/>
          <w:szCs w:val="20"/>
          <w:color w:val="auto"/>
        </w:rPr>
      </w:pPr>
      <w:r>
        <w:rPr>
          <w:rFonts w:ascii="Times New Roman" w:cs="Times New Roman" w:eastAsia="Times New Roman" w:hAnsi="Times New Roman"/>
          <w:sz w:val="18"/>
          <w:szCs w:val="18"/>
          <w:color w:val="auto"/>
        </w:rPr>
        <w:t xml:space="preserve">Senior notes, net of unamortized discounts and debt issuance costs of $39 and $41, respectively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4"/>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665"/>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4"/>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80"/>
          </w:cols>
          <w:pgMar w:left="320" w:top="121"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00" w:hanging="11"/>
        <w:spacing w:after="0" w:line="266" w:lineRule="auto"/>
        <w:rPr>
          <w:sz w:val="20"/>
          <w:szCs w:val="20"/>
          <w:color w:val="auto"/>
        </w:rPr>
      </w:pPr>
      <w:r>
        <w:rPr>
          <w:rFonts w:ascii="Times New Roman" w:cs="Times New Roman" w:eastAsia="Times New Roman" w:hAnsi="Times New Roman"/>
          <w:sz w:val="18"/>
          <w:szCs w:val="18"/>
          <w:color w:val="auto"/>
        </w:rPr>
        <w:t>We classified these commercial paper notes as short-term as of March 31, 2024 and December 31, 2023,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60" w:hanging="11"/>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we classified our $750 million, 3.60% senior notes due November 2024 as long-term based on our ability and intent to refinance these notes on a long-term basis.</w:t>
      </w:r>
    </w:p>
    <w:p>
      <w:pPr>
        <w:spacing w:after="0" w:line="54" w:lineRule="exact"/>
        <w:rPr>
          <w:sz w:val="20"/>
          <w:szCs w:val="20"/>
          <w:color w:val="auto"/>
        </w:rPr>
      </w:pPr>
    </w:p>
    <w:p>
      <w:pPr>
        <w:ind w:right="120" w:hanging="11"/>
        <w:spacing w:after="0" w:line="256" w:lineRule="auto"/>
        <w:rPr>
          <w:sz w:val="20"/>
          <w:szCs w:val="20"/>
          <w:color w:val="auto"/>
        </w:rPr>
      </w:pPr>
      <w:r>
        <w:rPr>
          <w:rFonts w:ascii="Times New Roman" w:cs="Times New Roman" w:eastAsia="Times New Roman" w:hAnsi="Times New Roman"/>
          <w:sz w:val="18"/>
          <w:szCs w:val="18"/>
          <w:color w:val="auto"/>
        </w:rPr>
        <w:t>Our fixed-rate senior notes had a face value of approximately $7.3 billion as of March 31, 2024 and December 31, 2023. We estimated the aggregate fair value of these notes as of March 31, 2024 and December 31, 2023 to be approximately $6.9 billion.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1" w:right="35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our credit facilities and commercial paper program for the three months ended March 31, 2024 and 2023 were approximately $9.1 billion and $1.5 billion, respectively. Total repayments under our credit facilities and commercial paper program were approximately $9.0 billion and $1.5 billion for the three months ended March 31, 2024 and 2023, respectively. The variance in total gross borrowings and repayments is impacted by various business and financial factors including, but not limited to, the timing, average term and method of general partnership borrowing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2024 and December 31, 2023, we had outstanding letters of credit of $161 million and $205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1"/>
                <w:szCs w:val="11"/>
                <w:color w:val="auto"/>
              </w:rPr>
            </w:pPr>
          </w:p>
        </w:tc>
        <w:tc>
          <w:tcPr>
            <w:tcW w:w="15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380" w:type="dxa"/>
            <w:vAlign w:val="bottom"/>
            <w:tcBorders>
              <w:top w:val="single" w:sz="8" w:color="CCEEFF"/>
              <w:bottom w:val="single" w:sz="8" w:color="CCEEFF"/>
            </w:tcBorders>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gridSpan w:val="2"/>
            <w:shd w:val="clear" w:color="auto" w:fill="CCEEFF"/>
          </w:tcPr>
          <w:p>
            <w:pPr>
              <w:jc w:val="right"/>
              <w:ind w:right="1"/>
              <w:spacing w:after="0" w:line="201"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701,008,749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1"/>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701,071,031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1"/>
                <w:szCs w:val="11"/>
                <w:color w:val="auto"/>
              </w:rPr>
            </w:pPr>
          </w:p>
        </w:tc>
        <w:tc>
          <w:tcPr>
            <w:tcW w:w="150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698,354,498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35,508</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698,390,006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Distributions on the Series A preferred units accumulate and are payable quarterly within 45 days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each quarter. See Note 11 to our Consolidated Financial Statements included in Part IV of our 2023 Annual Report on Form 10-K for additional information regarding Series A preferred unit distributions. The following table details distributions to our Series A preferred unitholders paid during or pertaining to the first three months of 2024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May 15, 2024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45" w:lineRule="exact"/>
        <w:rPr>
          <w:sz w:val="20"/>
          <w:szCs w:val="20"/>
          <w:color w:val="auto"/>
        </w:rPr>
      </w:pPr>
    </w:p>
    <w:p>
      <w:pPr>
        <w:ind w:left="660" w:right="220" w:hanging="652"/>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May 1, 2024 for the period from January 1, 2024 through March 31, 2024. At March 31, 2024, such amount was accrued as distributions payable in “Other current liabilities” on our Condensed Consolidated Balance Sheet.</w:t>
      </w:r>
    </w:p>
    <w:p>
      <w:pPr>
        <w:spacing w:after="0" w:line="223"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Series B Preferred Unit Distributions</w:t>
      </w:r>
      <w:r>
        <w:rPr>
          <w:rFonts w:ascii="Times New Roman" w:cs="Times New Roman" w:eastAsia="Times New Roman" w:hAnsi="Times New Roman"/>
          <w:sz w:val="17"/>
          <w:szCs w:val="17"/>
          <w:color w:val="auto"/>
        </w:rPr>
        <w:t>. Distributions on the Series B preferred units accumulate and are payable quarterly in arrears on the 15th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February, May, August and November. See Note 11 to our Consolidated Financial Statements included in Part IV of our 2023 Annual Report on Form</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additional information regarding Series B preferred unit distributions. The following table details distributions paid or to be paid to our Series B preferred unitholders (in millions, except per unit data):</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May 15,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660" w:right="180" w:hanging="652"/>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May 1, 2024 for the period from February 15, 2024 through May 14, 2024. At March 31, 2024, approximately $10 million of accrued distributions payable to our Series B preferred unitholders was included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 (in millions, except per unit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9"/>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Distribution per</w:t>
            </w:r>
          </w:p>
        </w:tc>
      </w:tr>
      <w:tr>
        <w:trPr>
          <w:trHeight w:val="19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c>
          <w:tcPr>
            <w:tcW w:w="200" w:type="dxa"/>
            <w:vAlign w:val="bottom"/>
          </w:tcPr>
          <w:p>
            <w:pPr>
              <w:spacing w:after="0"/>
              <w:rPr>
                <w:sz w:val="17"/>
                <w:szCs w:val="17"/>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228"/>
        </w:trPr>
        <w:tc>
          <w:tcPr>
            <w:tcW w:w="438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May 15,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2024</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4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May 1, 2024 for the period from January 1, 2024 through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noncontrolling interests in our subsidiaries consisted of (i) a 35% interest in Plains Oryx Permian Basin LLC (the “Permian JV”), (ii) a 30% interest in Cactus II Pipeline LLC (“Cactus II”) and (iii) a 33% interest in Red River Pipeline Company LLC (“Red River”).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noncontrolling interests during the periods presented (in millions):</w:t>
      </w:r>
    </w:p>
    <w:p>
      <w:pPr>
        <w:spacing w:after="0" w:line="28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98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jc w:val="both"/>
        <w:ind w:right="120" w:firstLine="607"/>
        <w:spacing w:after="0" w:line="289" w:lineRule="auto"/>
        <w:rPr>
          <w:sz w:val="20"/>
          <w:szCs w:val="20"/>
          <w:color w:val="auto"/>
        </w:rPr>
      </w:pPr>
      <w:r>
        <w:rPr>
          <w:rFonts w:ascii="Times New Roman" w:cs="Times New Roman" w:eastAsia="Times New Roman" w:hAnsi="Times New Roman"/>
          <w:sz w:val="17"/>
          <w:szCs w:val="17"/>
          <w:color w:val="auto"/>
        </w:rPr>
        <w:t>At March 31, 2024 and December 31,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to optimize profits. As of March 31, 2024, net derivative positions related to these activities included:</w:t>
      </w:r>
    </w:p>
    <w:p>
      <w:pPr>
        <w:spacing w:after="0" w:line="162" w:lineRule="exact"/>
        <w:rPr>
          <w:sz w:val="20"/>
          <w:szCs w:val="20"/>
          <w:color w:val="auto"/>
        </w:rPr>
      </w:pPr>
    </w:p>
    <w:p>
      <w:pPr>
        <w:ind w:left="980" w:right="3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5.6 million barrels associated with our crude oil purchases, which was unwound ratably during April 2024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4.8 million barrels, which hedges a portion of our anticipated crude oil lease gathering purchases through April 2025.</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2.8 million barrels at multiple locations through November 2025.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13.4 million barrels through March 2026 related to anticipated net sales of crude oil and NGL inventory.</w:t>
      </w:r>
    </w:p>
    <w:p>
      <w:pPr>
        <w:spacing w:after="0" w:line="25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2024:</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2180" w:type="dxa"/>
            <w:vAlign w:val="bottom"/>
          </w:tcPr>
          <w:p>
            <w:pPr>
              <w:spacing w:after="0"/>
              <w:rPr>
                <w:sz w:val="16"/>
                <w:szCs w:val="16"/>
                <w:color w:val="auto"/>
              </w:rPr>
            </w:pPr>
          </w:p>
        </w:tc>
      </w:tr>
      <w:tr>
        <w:trPr>
          <w:trHeight w:val="203"/>
        </w:trPr>
        <w:tc>
          <w:tcPr>
            <w:tcW w:w="6660" w:type="dxa"/>
            <w:vAlign w:val="bottom"/>
          </w:tcPr>
          <w:p>
            <w:pPr>
              <w:spacing w:after="0"/>
              <w:rPr>
                <w:sz w:val="17"/>
                <w:szCs w:val="17"/>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r>
      <w:tr>
        <w:trPr>
          <w:trHeight w:val="23"/>
        </w:trPr>
        <w:tc>
          <w:tcPr>
            <w:tcW w:w="6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68.5 Bcf</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Propane sales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(12.4)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(2.1) MMbls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Condensate sales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(2.8)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2025</w:t>
            </w:r>
          </w:p>
        </w:tc>
      </w:tr>
      <w:tr>
        <w:trPr>
          <w:trHeight w:val="230"/>
        </w:trPr>
        <w:tc>
          <w:tcPr>
            <w:tcW w:w="66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5.7 Bcf</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30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2.5 TWh</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9"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13335</wp:posOffset>
            </wp:positionV>
            <wp:extent cx="1680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9"/>
              </w:rPr>
              <w:t>77</w:t>
            </w:r>
          </w:p>
        </w:tc>
      </w:tr>
      <w:tr>
        <w:trPr>
          <w:trHeight w:val="28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(65)</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(25)</w:t>
            </w:r>
          </w:p>
        </w:tc>
      </w:tr>
      <w:tr>
        <w:trPr>
          <w:trHeight w:val="223"/>
        </w:trPr>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5"/>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4"/>
        </w:trPr>
        <w:tc>
          <w:tcPr>
            <w:tcW w:w="2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March 31, 2024 (notional amounts in millions):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6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2800" w:type="dxa"/>
            <w:vAlign w:val="bottom"/>
            <w:gridSpan w:val="2"/>
            <w:vMerge w:val="continue"/>
          </w:tcPr>
          <w:p>
            <w:pPr>
              <w:spacing w:after="0"/>
              <w:rPr>
                <w:sz w:val="16"/>
                <w:szCs w:val="16"/>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4"/>
        </w:trPr>
        <w:tc>
          <w:tcPr>
            <w:tcW w:w="27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3.09%</w:t>
            </w:r>
          </w:p>
        </w:tc>
        <w:tc>
          <w:tcPr>
            <w:tcW w:w="1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4 forward starting swaps</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6/14/2024</w:t>
            </w: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0.74%</w:t>
            </w:r>
          </w:p>
        </w:tc>
        <w:tc>
          <w:tcPr>
            <w:tcW w:w="12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there was a net loss of $66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March 31, 2024; thus, actual amounts to be reclassified will differ and could vary materially as a result of changes in market conditions.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8"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22225</wp:posOffset>
            </wp:positionV>
            <wp:extent cx="16802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7" w:lineRule="exact"/>
        <w:rPr>
          <w:sz w:val="20"/>
          <w:szCs w:val="20"/>
          <w:color w:val="auto"/>
        </w:rPr>
      </w:pPr>
    </w:p>
    <w:p>
      <w:pPr>
        <w:ind w:left="904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8" w:lineRule="exact"/>
        <w:rPr>
          <w:sz w:val="20"/>
          <w:szCs w:val="20"/>
          <w:color w:val="auto"/>
        </w:rPr>
      </w:pPr>
    </w:p>
    <w:p>
      <w:pPr>
        <w:ind w:left="80"/>
        <w:spacing w:after="0"/>
        <w:tabs>
          <w:tab w:leader="none" w:pos="8540" w:val="left"/>
          <w:tab w:leader="none" w:pos="9540" w:val="left"/>
          <w:tab w:leader="none" w:pos="9920" w:val="left"/>
          <w:tab w:leader="none" w:pos="10940" w:val="left"/>
        </w:tabs>
        <w:rPr>
          <w:sz w:val="20"/>
          <w:szCs w:val="20"/>
          <w:color w:val="auto"/>
        </w:rPr>
      </w:pPr>
      <w:r>
        <w:rPr>
          <w:rFonts w:ascii="Times New Roman" w:cs="Times New Roman" w:eastAsia="Times New Roman" w:hAnsi="Times New Roman"/>
          <w:sz w:val="18"/>
          <w:szCs w:val="18"/>
          <w:color w:val="auto"/>
        </w:rPr>
        <w:t>Interest rate derivatives,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w:t>
        <w:tab/>
        <w:t>$</w:t>
      </w:r>
      <w:r>
        <w:rPr>
          <w:sz w:val="20"/>
          <w:szCs w:val="20"/>
          <w:color w:val="auto"/>
        </w:rPr>
        <w:tab/>
      </w: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707199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3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 net fair value of our interest rate hedges, which were included in “Other current assets” and “Other long-term assets, net” on our Condensed Consolidated Balance Sheet, totaled $55 million and $13 million, respectively. At December 31, 2023, the net fair value of these hedges totaled $51 million and $4 million, which were included in “Other current assets” and “Other long-term assets, net”,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6"/>
                <w:szCs w:val="16"/>
                <w:color w:val="auto"/>
              </w:rPr>
            </w:pPr>
          </w:p>
        </w:tc>
        <w:tc>
          <w:tcPr>
            <w:tcW w:w="316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as of March 31, 2024</w:t>
            </w:r>
          </w:p>
        </w:tc>
        <w:tc>
          <w:tcPr>
            <w:tcW w:w="200" w:type="dxa"/>
            <w:vAlign w:val="bottom"/>
          </w:tcPr>
          <w:p>
            <w:pPr>
              <w:spacing w:after="0"/>
              <w:rPr>
                <w:sz w:val="16"/>
                <w:szCs w:val="16"/>
                <w:color w:val="auto"/>
              </w:rPr>
            </w:pPr>
          </w:p>
        </w:tc>
        <w:tc>
          <w:tcPr>
            <w:tcW w:w="2640" w:type="dxa"/>
            <w:vAlign w:val="bottom"/>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19"/>
                <w:szCs w:val="19"/>
                <w:color w:val="auto"/>
              </w:rPr>
            </w:pPr>
          </w:p>
        </w:tc>
        <w:tc>
          <w:tcPr>
            <w:tcW w:w="9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Preferred Distribution Rate Reset Option was accounted for as an embedded derivative that was bifurcated from the related host contract and recorded at fair value. The Preferred Distribution Rate Reset Option was settled in January 2023 when we received notice that the Series A preferred unitholders elected the Preferred Distribution Rate Reset Option, which resulted in a gain of $58 million recognized in “Other income/(expense), net” in our Condensed Consolidated Statement of Operations for the three months ended March 31, 2023. See Note 12 to our Consolidated Financial Statements included in Part IV of our 2023 Annual Report on Form 10-K for additional information regarding the Preferred Distribution Rate Reset Option.</w:t>
      </w:r>
    </w:p>
    <w:p>
      <w:pPr>
        <w:spacing w:after="0" w:line="21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the Preferred Distribution Rate Reset Option embedded derivative, which was classified as Level 3 in the fair value hierarchy (in millions):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gains/(losses) for the period included in earnings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9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8—Related Party Transactions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2023 Annual Report on Form 10-K for a complete discussion of related parties, including the determination of our related parties and nature of involvement with such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our General Partner</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March 2023, PAGP issued an unsecured promissory note to us with a face value of CAD$500 million (“related party note receivable”). Concurrently, we assigned PAGP our interest in an existing unsecured promissory note for the same face value amount due from a consolidated subsidiary (“related party note payable”). Both notes are due April 2027 and bear interest at a rate of 8.25% per annum, payable semi-annually.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unpaid interest receivable/payable was $3 million and $10 million as of March 31, 2024 and December 31,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income/expense on the related party notes totaled $8 million and $3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our outstanding related party note receivable and related party note payable balances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6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Related party note receivable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30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Related party note payable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55" w:lineRule="exact"/>
        <w:rPr>
          <w:sz w:val="20"/>
          <w:szCs w:val="20"/>
          <w:color w:val="auto"/>
        </w:rPr>
      </w:pPr>
    </w:p>
    <w:p>
      <w:pPr>
        <w:ind w:left="660" w:right="580" w:hanging="652"/>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elected to present our related party notes with the same counterparty on a net basis on our Condensed Consolidated Balance Sheet because there is a legal right to offset and we intend to offset with the counterparty.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28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5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8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37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5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6"/>
        </w:trPr>
        <w:tc>
          <w:tcPr>
            <w:tcW w:w="8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8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ind w:left="660" w:right="100" w:hanging="652"/>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2024, our estimated undiscounted reserve for environmental liabilities (excluding liabilities related to the Line 901 incident,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discussed further below) totaled $56 million, of which $11 million was classified as short-term and $45 million was classified as long-term. At</w:t>
      </w:r>
    </w:p>
    <w:p>
      <w:pPr>
        <w:spacing w:after="0" w:line="234" w:lineRule="auto"/>
        <w:rPr>
          <w:sz w:val="20"/>
          <w:szCs w:val="20"/>
          <w:color w:val="auto"/>
        </w:rPr>
      </w:pPr>
      <w:r>
        <w:rPr>
          <w:rFonts w:ascii="Times New Roman" w:cs="Times New Roman" w:eastAsia="Times New Roman" w:hAnsi="Times New Roman"/>
          <w:sz w:val="18"/>
          <w:szCs w:val="18"/>
          <w:color w:val="auto"/>
        </w:rPr>
        <w:t>December 31, 2023, our estimated undiscounted reserve for environmental liabilities (excluding liabilities related to the Line 901 incident) totaled</w:t>
      </w:r>
    </w:p>
    <w:p>
      <w:pPr>
        <w:spacing w:after="0" w:line="235" w:lineRule="auto"/>
        <w:rPr>
          <w:sz w:val="20"/>
          <w:szCs w:val="20"/>
          <w:color w:val="auto"/>
        </w:rPr>
      </w:pPr>
      <w:r>
        <w:rPr>
          <w:rFonts w:ascii="Times New Roman" w:cs="Times New Roman" w:eastAsia="Times New Roman" w:hAnsi="Times New Roman"/>
          <w:sz w:val="18"/>
          <w:szCs w:val="18"/>
          <w:color w:val="auto"/>
        </w:rPr>
        <w:t>$56 million, of which $10 million was classified as short-term and $46 million was classified as long-term. Such short-term liabilities are reflected in</w:t>
      </w:r>
    </w:p>
    <w:p>
      <w:pPr>
        <w:spacing w:after="0" w:line="235" w:lineRule="auto"/>
        <w:rPr>
          <w:sz w:val="20"/>
          <w:szCs w:val="20"/>
          <w:color w:val="auto"/>
        </w:rPr>
      </w:pPr>
      <w:r>
        <w:rPr>
          <w:rFonts w:ascii="Times New Roman" w:cs="Times New Roman" w:eastAsia="Times New Roman" w:hAnsi="Times New Roman"/>
          <w:sz w:val="18"/>
          <w:szCs w:val="18"/>
          <w:color w:val="auto"/>
        </w:rPr>
        <w:t>“Other current liabilities” and long-term liabilities are reflected in “Other long-term liabilities and deferred credits” on our Condensed Consolidated</w:t>
      </w:r>
    </w:p>
    <w:p>
      <w:pPr>
        <w:spacing w:after="0" w:line="235" w:lineRule="auto"/>
        <w:rPr>
          <w:sz w:val="20"/>
          <w:szCs w:val="20"/>
          <w:color w:val="auto"/>
        </w:rPr>
      </w:pPr>
      <w:r>
        <w:rPr>
          <w:rFonts w:ascii="Times New Roman" w:cs="Times New Roman" w:eastAsia="Times New Roman" w:hAnsi="Times New Roman"/>
          <w:sz w:val="18"/>
          <w:szCs w:val="18"/>
          <w:color w:val="auto"/>
        </w:rPr>
        <w:t>Balance Sheets. At both March 31, 2024 and December 31, 2023, we had recorded receivables (excluding receivables related to the Line 901 incident)</w:t>
      </w:r>
    </w:p>
    <w:p>
      <w:pPr>
        <w:spacing w:after="0" w:line="219" w:lineRule="auto"/>
        <w:rPr>
          <w:sz w:val="20"/>
          <w:szCs w:val="20"/>
          <w:color w:val="auto"/>
        </w:rPr>
      </w:pPr>
      <w:r>
        <w:rPr>
          <w:rFonts w:ascii="Times New Roman" w:cs="Times New Roman" w:eastAsia="Times New Roman" w:hAnsi="Times New Roman"/>
          <w:sz w:val="18"/>
          <w:szCs w:val="18"/>
          <w:color w:val="auto"/>
        </w:rPr>
        <w:t>totaling $4 million for amounts probable of recovery under insurance and from third parties under indemnification agreements, approximately $1 million of</w:t>
      </w:r>
    </w:p>
    <w:p>
      <w:pPr>
        <w:spacing w:after="0" w:line="235" w:lineRule="auto"/>
        <w:rPr>
          <w:sz w:val="20"/>
          <w:szCs w:val="20"/>
          <w:color w:val="auto"/>
        </w:rPr>
      </w:pPr>
      <w:r>
        <w:rPr>
          <w:rFonts w:ascii="Times New Roman" w:cs="Times New Roman" w:eastAsia="Times New Roman" w:hAnsi="Times New Roman"/>
          <w:sz w:val="18"/>
          <w:szCs w:val="18"/>
          <w:color w:val="auto"/>
        </w:rPr>
        <w:t>which for each period is reflected in “Other long-term assets, net” and the remainder is reflected in “Trade accounts receivable and other receivables, net”</w:t>
      </w:r>
    </w:p>
    <w:p>
      <w:pPr>
        <w:spacing w:after="0"/>
        <w:rPr>
          <w:sz w:val="20"/>
          <w:szCs w:val="20"/>
          <w:color w:val="auto"/>
        </w:rPr>
      </w:pPr>
      <w:r>
        <w:rPr>
          <w:rFonts w:ascii="Times New Roman" w:cs="Times New Roman" w:eastAsia="Times New Roman" w:hAnsi="Times New Roman"/>
          <w:sz w:val="18"/>
          <w:szCs w:val="18"/>
          <w:color w:val="auto"/>
        </w:rPr>
        <w:t>on our Condensed Consolidated Balance Sheets.</w:t>
      </w:r>
    </w:p>
    <w:p>
      <w:pPr>
        <w:spacing w:after="0" w:line="20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1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in California Superior Court in Santa Barbara County for lost revenue or profit asserted by a former oil producer that declared bankruptcy and shut in its offshore production platform following the Line 901 incident, which is currently scheduled for trial in July 2024; (ii) a lawsuit filed by the California State Land Commission in California Superior Court in Santa Barbara County seeking lost royalties following the shut-down of Line 901, as well as costs related to the decommissioning of such platform, which is currently scheduled for trial in October 2024, and (iii) lawsuits filed in California Superior Court in Santa Barbara County by various companies and individuals who provided labor, goods, or services associated with oil production activities they claim were disrupted following the Line 901 incident, which lawsuits have not yet been set for trial. We are vigorously defending these remaining lawsuits and believe we have strong defenses.</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trespass and the alleged diminished value of their properties due to the stigma of the oil spill. We are vigorously defending against these immaterial claims. This case is currently scheduled to go to trial in July 2024.</w:t>
      </w:r>
    </w:p>
    <w:p>
      <w:pPr>
        <w:spacing w:after="0" w:line="21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formally submitted claims for reimbursement of the Class Action Settlement to our insurance carriers on November 7, 2022. To date, we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received payment of approximately $3.6 million from one insurer, which represents the final payment obligation of such insurer and brings the total</w:t>
      </w:r>
    </w:p>
    <w:p>
      <w:pPr>
        <w:spacing w:after="0" w:line="234" w:lineRule="auto"/>
        <w:rPr>
          <w:sz w:val="20"/>
          <w:szCs w:val="20"/>
          <w:color w:val="auto"/>
        </w:rPr>
      </w:pPr>
      <w:r>
        <w:rPr>
          <w:rFonts w:ascii="Times New Roman" w:cs="Times New Roman" w:eastAsia="Times New Roman" w:hAnsi="Times New Roman"/>
          <w:sz w:val="18"/>
          <w:szCs w:val="18"/>
          <w:color w:val="auto"/>
        </w:rPr>
        <w:t>amount collected from all insurers under such program to $275 million of the $500 million policy limits as of March 31, 2024. Insurers responsible for</w:t>
      </w:r>
    </w:p>
    <w:p>
      <w:pPr>
        <w:spacing w:after="0" w:line="235" w:lineRule="auto"/>
        <w:rPr>
          <w:sz w:val="20"/>
          <w:szCs w:val="20"/>
          <w:color w:val="auto"/>
        </w:rPr>
      </w:pPr>
      <w:r>
        <w:rPr>
          <w:rFonts w:ascii="Times New Roman" w:cs="Times New Roman" w:eastAsia="Times New Roman" w:hAnsi="Times New Roman"/>
          <w:sz w:val="18"/>
          <w:szCs w:val="18"/>
          <w:color w:val="auto"/>
        </w:rPr>
        <w:t>$185 million of the remaining $225 million of coverage have formally communicated a denial of coverage for the Class Action Settlement, generally</w:t>
      </w:r>
    </w:p>
    <w:p>
      <w:pPr>
        <w:spacing w:after="0" w:line="235" w:lineRule="auto"/>
        <w:rPr>
          <w:sz w:val="20"/>
          <w:szCs w:val="20"/>
          <w:color w:val="auto"/>
        </w:rPr>
      </w:pPr>
      <w:r>
        <w:rPr>
          <w:rFonts w:ascii="Times New Roman" w:cs="Times New Roman" w:eastAsia="Times New Roman" w:hAnsi="Times New Roman"/>
          <w:sz w:val="18"/>
          <w:szCs w:val="18"/>
          <w:color w:val="auto"/>
        </w:rPr>
        <w:t>alleging that some or all damages encompassed by the Class Action Settlement are not covered by their policies and that all or some portion of the</w:t>
      </w:r>
    </w:p>
    <w:p>
      <w:pPr>
        <w:spacing w:after="0" w:line="235" w:lineRule="auto"/>
        <w:rPr>
          <w:sz w:val="20"/>
          <w:szCs w:val="20"/>
          <w:color w:val="auto"/>
        </w:rPr>
      </w:pPr>
      <w:r>
        <w:rPr>
          <w:rFonts w:ascii="Times New Roman" w:cs="Times New Roman" w:eastAsia="Times New Roman" w:hAnsi="Times New Roman"/>
          <w:sz w:val="18"/>
          <w:szCs w:val="18"/>
          <w:color w:val="auto"/>
        </w:rPr>
        <w:t>$275 million for which Plains has already received insurance reimbursement does not properly exhaust the underlying policies that paid those sums. The</w:t>
      </w:r>
    </w:p>
    <w:p>
      <w:pPr>
        <w:spacing w:after="0" w:line="219" w:lineRule="auto"/>
        <w:rPr>
          <w:sz w:val="20"/>
          <w:szCs w:val="20"/>
          <w:color w:val="auto"/>
        </w:rPr>
      </w:pPr>
      <w:r>
        <w:rPr>
          <w:rFonts w:ascii="Times New Roman" w:cs="Times New Roman" w:eastAsia="Times New Roman" w:hAnsi="Times New Roman"/>
          <w:sz w:val="18"/>
          <w:szCs w:val="18"/>
          <w:color w:val="auto"/>
        </w:rPr>
        <w:t>insurer responsible for the final $40 million of coverage under such insurance program has not yet accepted nor denied coverage. We have initiated final</w:t>
      </w:r>
    </w:p>
    <w:p>
      <w:pPr>
        <w:spacing w:after="0" w:line="235" w:lineRule="auto"/>
        <w:rPr>
          <w:sz w:val="20"/>
          <w:szCs w:val="20"/>
          <w:color w:val="auto"/>
        </w:rPr>
      </w:pPr>
      <w:r>
        <w:rPr>
          <w:rFonts w:ascii="Times New Roman" w:cs="Times New Roman" w:eastAsia="Times New Roman" w:hAnsi="Times New Roman"/>
          <w:sz w:val="18"/>
          <w:szCs w:val="18"/>
          <w:color w:val="auto"/>
        </w:rPr>
        <w:t>and binding arbitration proceedings against all of the insurers responsible for the remaining $225 million of coverage with respect to which we have not</w:t>
      </w:r>
    </w:p>
    <w:p>
      <w:pPr>
        <w:spacing w:after="0" w:line="234" w:lineRule="auto"/>
        <w:rPr>
          <w:sz w:val="20"/>
          <w:szCs w:val="20"/>
          <w:color w:val="auto"/>
        </w:rPr>
      </w:pPr>
      <w:r>
        <w:rPr>
          <w:rFonts w:ascii="Times New Roman" w:cs="Times New Roman" w:eastAsia="Times New Roman" w:hAnsi="Times New Roman"/>
          <w:sz w:val="18"/>
          <w:szCs w:val="18"/>
          <w:color w:val="auto"/>
        </w:rPr>
        <w:t>received reimbursement. We believe that our claim for reimbursement from our insurers of the Class Action Settlement payment is strong and that our</w:t>
      </w:r>
    </w:p>
    <w:p>
      <w:pPr>
        <w:spacing w:after="0" w:line="235" w:lineRule="auto"/>
        <w:rPr>
          <w:sz w:val="20"/>
          <w:szCs w:val="20"/>
          <w:color w:val="auto"/>
        </w:rPr>
      </w:pPr>
      <w:r>
        <w:rPr>
          <w:rFonts w:ascii="Times New Roman" w:cs="Times New Roman" w:eastAsia="Times New Roman" w:hAnsi="Times New Roman"/>
          <w:sz w:val="18"/>
          <w:szCs w:val="18"/>
          <w:color w:val="auto"/>
        </w:rPr>
        <w:t>ultimate recovery of such amounts is probable. Our belief is based on: (i) our analysis of the terms of the underlying insurance policies as applied to the</w:t>
      </w:r>
    </w:p>
    <w:p>
      <w:pPr>
        <w:spacing w:after="0" w:line="235" w:lineRule="auto"/>
        <w:rPr>
          <w:sz w:val="20"/>
          <w:szCs w:val="20"/>
          <w:color w:val="auto"/>
        </w:rPr>
      </w:pPr>
      <w:r>
        <w:rPr>
          <w:rFonts w:ascii="Times New Roman" w:cs="Times New Roman" w:eastAsia="Times New Roman" w:hAnsi="Times New Roman"/>
          <w:sz w:val="18"/>
          <w:szCs w:val="18"/>
          <w:color w:val="auto"/>
        </w:rPr>
        <w:t>facts and circumstances that comprise our claim for reimbursement, (ii) our experience with the cost submissions and timely collection of claims for the</w:t>
      </w:r>
    </w:p>
    <w:p>
      <w:pPr>
        <w:spacing w:after="0" w:line="235" w:lineRule="auto"/>
        <w:rPr>
          <w:sz w:val="20"/>
          <w:szCs w:val="20"/>
          <w:color w:val="auto"/>
        </w:rPr>
      </w:pPr>
      <w:r>
        <w:rPr>
          <w:rFonts w:ascii="Times New Roman" w:cs="Times New Roman" w:eastAsia="Times New Roman" w:hAnsi="Times New Roman"/>
          <w:sz w:val="18"/>
          <w:szCs w:val="18"/>
          <w:color w:val="auto"/>
        </w:rPr>
        <w:t>$275 million collected to date for this incident under the same insurance program as the denied claims, including from some of the same insurers who are</w:t>
      </w:r>
    </w:p>
    <w:p>
      <w:pPr>
        <w:spacing w:after="0" w:line="235" w:lineRule="auto"/>
        <w:rPr>
          <w:sz w:val="20"/>
          <w:szCs w:val="20"/>
          <w:color w:val="auto"/>
        </w:rPr>
      </w:pPr>
      <w:r>
        <w:rPr>
          <w:rFonts w:ascii="Times New Roman" w:cs="Times New Roman" w:eastAsia="Times New Roman" w:hAnsi="Times New Roman"/>
          <w:sz w:val="18"/>
          <w:szCs w:val="18"/>
          <w:color w:val="auto"/>
        </w:rPr>
        <w:t>now denying claims, (iii) our extensive legal review and assessment of the insurer’s claimed basis for denial of coverage, which review and assessment</w:t>
      </w:r>
    </w:p>
    <w:p>
      <w:pPr>
        <w:spacing w:after="0" w:line="234" w:lineRule="auto"/>
        <w:rPr>
          <w:sz w:val="20"/>
          <w:szCs w:val="20"/>
          <w:color w:val="auto"/>
        </w:rPr>
      </w:pPr>
      <w:r>
        <w:rPr>
          <w:rFonts w:ascii="Times New Roman" w:cs="Times New Roman" w:eastAsia="Times New Roman" w:hAnsi="Times New Roman"/>
          <w:sz w:val="18"/>
          <w:szCs w:val="18"/>
          <w:color w:val="auto"/>
        </w:rPr>
        <w:t>includes the advice of external legal counsel experienced in these type of matters and solidly supports our belief that our insurers are required to provide</w:t>
      </w:r>
    </w:p>
    <w:p>
      <w:pPr>
        <w:spacing w:after="0" w:line="235" w:lineRule="auto"/>
        <w:rPr>
          <w:sz w:val="20"/>
          <w:szCs w:val="20"/>
          <w:color w:val="auto"/>
        </w:rPr>
      </w:pPr>
      <w:r>
        <w:rPr>
          <w:rFonts w:ascii="Times New Roman" w:cs="Times New Roman" w:eastAsia="Times New Roman" w:hAnsi="Times New Roman"/>
          <w:sz w:val="18"/>
          <w:szCs w:val="18"/>
          <w:color w:val="auto"/>
        </w:rPr>
        <w:t>coverage based on the terms of the policies and the nature of our claims, and (iv) the financial strength of the insurance carriers as determined by an</w:t>
      </w:r>
    </w:p>
    <w:p>
      <w:pPr>
        <w:spacing w:after="0" w:line="235" w:lineRule="auto"/>
        <w:rPr>
          <w:sz w:val="20"/>
          <w:szCs w:val="20"/>
          <w:color w:val="auto"/>
        </w:rPr>
      </w:pPr>
      <w:r>
        <w:rPr>
          <w:rFonts w:ascii="Times New Roman" w:cs="Times New Roman" w:eastAsia="Times New Roman" w:hAnsi="Times New Roman"/>
          <w:sz w:val="18"/>
          <w:szCs w:val="18"/>
          <w:color w:val="auto"/>
        </w:rPr>
        <w:t>independent credit ratings agency. Various factors could impact the timing and amount of recovery of our insurance receivable, including future</w:t>
      </w:r>
    </w:p>
    <w:p>
      <w:pPr>
        <w:spacing w:after="0" w:line="235" w:lineRule="auto"/>
        <w:rPr>
          <w:sz w:val="20"/>
          <w:szCs w:val="20"/>
          <w:color w:val="auto"/>
        </w:rPr>
      </w:pPr>
      <w:r>
        <w:rPr>
          <w:rFonts w:ascii="Times New Roman" w:cs="Times New Roman" w:eastAsia="Times New Roman" w:hAnsi="Times New Roman"/>
          <w:sz w:val="18"/>
          <w:szCs w:val="18"/>
          <w:color w:val="auto"/>
        </w:rPr>
        <w:t>developments that adversely impact our assessment of the strength of our coverage claims, the outcome of any dispute resolution proceedings with respect</w:t>
      </w:r>
    </w:p>
    <w:p>
      <w:pPr>
        <w:spacing w:after="0" w:line="235" w:lineRule="auto"/>
        <w:rPr>
          <w:sz w:val="20"/>
          <w:szCs w:val="20"/>
          <w:color w:val="auto"/>
        </w:rPr>
      </w:pPr>
      <w:r>
        <w:rPr>
          <w:rFonts w:ascii="Times New Roman" w:cs="Times New Roman" w:eastAsia="Times New Roman" w:hAnsi="Times New Roman"/>
          <w:sz w:val="18"/>
          <w:szCs w:val="18"/>
          <w:color w:val="auto"/>
        </w:rPr>
        <w:t>to our coverage claims and the extent to which insurers may become insolvent in the future. An unfavorable resolution could have a material impact on our</w:t>
      </w: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connection with the foregoing, including the Class Action Settlement, we have made adjustments to our total estimated Line 901 costs and the portion of such costs that we believe are probable of recovery from insurance carriers, net of deductibles. Effective as of March 31, 2024,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did not recognize any costs, net of amounts probable of recovery from insurance carriers, during the three months ended March 31, 2024 and 2023. As of March 31, 2024, we had a remaining undiscounted gross liability of approximately $90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March 31, 2024, our incurred costs for the Line 901 incident have exceeded our insurance coverage limit of $500 million related to our 2015 insurance program applicable to the Line 901 incident by $250 million. Through March 31, 2024,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March 31, 2024,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w:t>
      </w:r>
    </w:p>
    <w:p>
      <w:pPr>
        <w:spacing w:after="0" w:line="2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w:t>
      </w:r>
      <w:r>
        <w:rPr>
          <w:rFonts w:ascii="Times New Roman" w:cs="Times New Roman" w:eastAsia="Times New Roman" w:hAnsi="Times New Roman"/>
          <w:sz w:val="18"/>
          <w:szCs w:val="18"/>
          <w:color w:val="auto"/>
        </w:rPr>
        <w:t>On July 19, 2022 Hartree Natural Gas Storage, LLC (“Hartree”) filed a lawsuit under seal in the Superior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 which is currently scheduled for trial in May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10—Segment Information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which are also our reportable segments: Crude Oil and NGL. See Note 19 to our Consolidated Financial Statements included in Part IV of our 2023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spacing w:after="0" w:line="20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(“Segment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40" w:hanging="652"/>
        <w:spacing w:after="0" w:line="23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PAA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(3)</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(5)</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54" w:lineRule="exact"/>
        <w:rPr>
          <w:sz w:val="20"/>
          <w:szCs w:val="20"/>
          <w:color w:val="auto"/>
        </w:rPr>
      </w:pPr>
    </w:p>
    <w:p>
      <w:pPr>
        <w:ind w:left="20"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0"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ind w:left="20" w:right="40"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2023 Annual Report on Form 10-K for a discussion regarding our equity-indexed compensation plans.</w:t>
      </w:r>
    </w:p>
    <w:p>
      <w:pPr>
        <w:spacing w:after="0" w:line="81" w:lineRule="exact"/>
        <w:rPr>
          <w:sz w:val="20"/>
          <w:szCs w:val="20"/>
          <w:color w:val="auto"/>
        </w:rPr>
      </w:pPr>
    </w:p>
    <w:p>
      <w:pPr>
        <w:ind w:left="20"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2024, we recognized net income attributable to PAA of $266 million compared to $422 million during the first three months of 2023. Net income for the 2023 period includes favorable impacts from gains on asset sales and the mark-to-market adjustment of the Preferred Distribution Rate Reset Option, contributing to the relative decrease in net income in 2024. For the first quarter of 2024 compared to 2023, more favorable results from our Crude Oil segment were substantially offset by less favorable results from our NGL segment.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Indicates that variance as a percentage is not meaningful.</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majority of our sales and purchases are indexed to the prompt month price of the NYMEX Light, Sweet crude oil futures contract (“NYMEX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The following table presents the range of the NYMEX Price over the last two years (in dollars per barrel):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00" w:lineRule="exact"/>
        <w:rPr>
          <w:sz w:val="20"/>
          <w:szCs w:val="20"/>
          <w:color w:val="auto"/>
        </w:rPr>
      </w:pPr>
    </w:p>
    <w:p>
      <w:pPr>
        <w:spacing w:after="0" w:line="3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and purchases for the three months ended March 31, 2024 were relatively in line with product sales revenues and purchases for the three months ended March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Revenues from services increased for the three months ended March 31, 2024 compared to the same period in 2023 primarily due to higher pipeline volumes and tariff escalations, as well as the impact of acquisitions.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our net revenues (revenues less purchases and related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2024 compared to the same period in 2023 was primarily due to (i) higher information systems costs due to ongoing systems integration work and (ii) higher employee-related costs, including an increase in equity-indexed compensation expense (a portion of which is excluded in the calculation of Adjusted EBITDA and Segment Adjusted EBITDA).</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Net</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net gain on asset sales for the three months ended March 31, 2023 was primarily comprised of a gain of approximately $140 million related to the sale of our Keyera Fort Saskatchewan facility in the first quarter of 2023. See Note 7 to our Consolidated Financial Statements included in Part IV of our 2023 Annual Report on Form 10-K for additional information.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8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mark-to-market adjustment of Preferred Distribution Rate Reset Option embedded derivative </w:t>
            </w:r>
            <w:r>
              <w:rPr>
                <w:rFonts w:ascii="Times New Roman" w:cs="Times New Roman" w:eastAsia="Times New Roman" w:hAnsi="Times New Roman"/>
                <w:sz w:val="23"/>
                <w:szCs w:val="23"/>
                <w:color w:val="auto"/>
                <w:vertAlign w:val="superscript"/>
              </w:rPr>
              <w:t>(2)</w:t>
            </w:r>
          </w:p>
        </w:tc>
        <w:tc>
          <w:tcPr>
            <w:tcW w:w="8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17" w:lineRule="exact"/>
        <w:rPr>
          <w:sz w:val="20"/>
          <w:szCs w:val="20"/>
          <w:color w:val="auto"/>
        </w:rPr>
      </w:pPr>
    </w:p>
    <w:p>
      <w:pPr>
        <w:ind w:left="660" w:right="120" w:hanging="652"/>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activity during the periods presented was primarily related to the impact from the change in the USD to CAD exchange rate on the portion of our intercompany net investment that is not long-term in nature.</w:t>
      </w:r>
    </w:p>
    <w:p>
      <w:pPr>
        <w:spacing w:after="0" w:line="6"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our Condensed Consolidated Financial Statements for additional information.</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Income Tax (Expense)/Benefit</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net favorable income tax variance for the three months ended March 31, 2024 compared to the same period in 2023 was primarily due to the tax impact of the Keyera Fort Saskatchewan divestiture in the first quarter of 2023 and lower year-over-year income within our Canadian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increase in amounts attributable to noncontrolling interests for the three months ended March 31, 2024 compared to the same period in 2023 was primarily due to higher income recognized by the Permian JV resulting from higher volumes and contributions from acquisitions.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taxes, depreciation and amortization (including our proportionate share of depreciation and amortization, including write-downs related to cancelled projects and impairments, of unconsolidated entities), gains and losses on asset sales and gains or losses on investments in unconsolidated entities, adjusted for certain selected items impacting comparability. Adjusted EBITDA attributable to PAA excludes the portion of Adjusted EBITDA that is attributable to noncontrolling interests.</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14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Segment Adjusted EBITDA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Mark-to-market adjustment of Preferred Distribution Rate Reset Option</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embedded derivative </w:t>
            </w:r>
            <w:r>
              <w:rPr>
                <w:rFonts w:ascii="Times New Roman" w:cs="Times New Roman" w:eastAsia="Times New Roman" w:hAnsi="Times New Roman"/>
                <w:sz w:val="23"/>
                <w:szCs w:val="23"/>
                <w:color w:val="auto"/>
                <w:vertAlign w:val="superscript"/>
              </w:rPr>
              <w:t>(3)</w:t>
            </w:r>
          </w:p>
        </w:tc>
        <w:tc>
          <w:tcPr>
            <w:tcW w:w="80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(4)</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(5)</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(6)</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(5) (7)</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non-cash items </w:t>
            </w:r>
            <w:r>
              <w:rPr>
                <w:rFonts w:ascii="Times New Roman" w:cs="Times New Roman" w:eastAsia="Times New Roman" w:hAnsi="Times New Roman"/>
                <w:sz w:val="23"/>
                <w:szCs w:val="23"/>
                <w:color w:val="auto"/>
                <w:vertAlign w:val="superscript"/>
              </w:rPr>
              <w:t>(8)</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(9)</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Investment capital of noncontrolling interests </w:t>
            </w:r>
            <w:r>
              <w:rPr>
                <w:rFonts w:ascii="Times New Roman" w:cs="Times New Roman" w:eastAsia="Times New Roman" w:hAnsi="Times New Roman"/>
                <w:sz w:val="23"/>
                <w:szCs w:val="23"/>
                <w:color w:val="auto"/>
                <w:vertAlign w:val="superscript"/>
              </w:rPr>
              <w:t>(10)</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 excess of/(less than) adjusted</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(11)</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(12)</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DCF</w:t>
            </w: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80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(12)</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DCF Available to Common Unitholders</w:t>
            </w:r>
          </w:p>
        </w:tc>
        <w:tc>
          <w:tcPr>
            <w:tcW w:w="8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(12)</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(13)</w:t>
            </w:r>
          </w:p>
        </w:tc>
        <w:tc>
          <w:tcPr>
            <w:tcW w:w="8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6" w:lineRule="exact"/>
        <w:rPr>
          <w:sz w:val="20"/>
          <w:szCs w:val="20"/>
          <w:color w:val="auto"/>
        </w:rPr>
      </w:pPr>
    </w:p>
    <w:p>
      <w:pPr>
        <w:ind w:left="660" w:right="640" w:hanging="652"/>
        <w:spacing w:after="0" w:line="21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89"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80" w:hanging="652"/>
        <w:spacing w:after="0" w:line="23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Preferred Distribution Rate Reset Option of our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91" w:lineRule="exact"/>
        <w:rPr>
          <w:rFonts w:ascii="Times New Roman" w:cs="Times New Roman" w:eastAsia="Times New Roman" w:hAnsi="Times New Roman"/>
          <w:sz w:val="23"/>
          <w:szCs w:val="23"/>
          <w:color w:val="auto"/>
          <w:vertAlign w:val="superscript"/>
        </w:rPr>
      </w:pPr>
    </w:p>
    <w:p>
      <w:pPr>
        <w:ind w:left="660" w:right="500" w:hanging="652"/>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income/(expense), net on our Condensed Consolidated Statements of Operations, adjusted for selected items impacting comparability (“Adjusted other income/(expense), net”) is included in Adjusted EBITDA and excluded from Segment Adjusted EBITDA.</w:t>
      </w:r>
    </w:p>
    <w:p>
      <w:pPr>
        <w:sectPr>
          <w:pgSz w:w="11900" w:h="16838" w:orient="portrait"/>
          <w:cols w:equalWidth="0" w:num="1">
            <w:col w:w="11220"/>
          </w:cols>
          <w:pgMar w:left="320" w:top="121" w:right="359" w:bottom="1440" w:gutter="0" w:footer="0" w:header="0"/>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 above for a reconciliation from Net Income to Adjusted EBITDA.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117" w:lineRule="exact"/>
        <w:rPr>
          <w:sz w:val="20"/>
          <w:szCs w:val="20"/>
          <w:color w:val="auto"/>
        </w:rPr>
      </w:pPr>
    </w:p>
    <w:p>
      <w:pPr>
        <w:ind w:left="20" w:right="320" w:hanging="11"/>
        <w:spacing w:after="0" w:line="282" w:lineRule="auto"/>
        <w:rPr>
          <w:sz w:val="20"/>
          <w:szCs w:val="20"/>
          <w:color w:val="auto"/>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23"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ind w:left="640" w:hanging="632"/>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89" w:lineRule="exact"/>
        <w:rPr>
          <w:rFonts w:ascii="Times New Roman" w:cs="Times New Roman" w:eastAsia="Times New Roman" w:hAnsi="Times New Roman"/>
          <w:sz w:val="23"/>
          <w:szCs w:val="23"/>
          <w:color w:val="auto"/>
          <w:vertAlign w:val="superscript"/>
        </w:rPr>
      </w:pPr>
    </w:p>
    <w:p>
      <w:pPr>
        <w:ind w:left="660" w:right="840" w:hanging="652"/>
        <w:spacing w:after="0" w:line="235"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160" w:hanging="652"/>
        <w:spacing w:after="0" w:line="229" w:lineRule="auto"/>
        <w:tabs>
          <w:tab w:leader="none" w:pos="65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equity repurchases, capital expenditures and other partnership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PAA. See Note 19 to our Consolidated Financial Statements included in Part IV of our 2023 Annual Report on Form 10-K for our definition of maintenance capital.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 risk and, at times, to provide upside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3"/>
                <w:szCs w:val="13"/>
                <w:color w:val="auto"/>
              </w:rPr>
            </w:pPr>
          </w:p>
        </w:tc>
        <w:tc>
          <w:tcPr>
            <w:tcW w:w="242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82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Segment amounts attributable to noncontrolling interests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280" w:type="dxa"/>
            <w:vAlign w:val="bottom"/>
          </w:tcPr>
          <w:p>
            <w:pPr>
              <w:spacing w:after="0"/>
              <w:rPr>
                <w:sz w:val="17"/>
                <w:szCs w:val="17"/>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(5)(6)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24599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79"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42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left="20" w:right="14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monthly capacity in millions of barrels per day calculated as total volumes for the period divided by the number of months in the period.</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40"/>
          </w:cols>
          <w:pgMar w:left="320" w:top="121" w:right="399" w:bottom="1440" w:gutter="0" w:footer="0" w:header="0"/>
          <w:type w:val="continuous"/>
        </w:sectPr>
      </w:pPr>
    </w:p>
    <w:p>
      <w:pPr>
        <w:spacing w:after="0" w:line="5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Crude Oil Segment Adjusted EBITDA increased for the three months ended March 31, 2024 compared to the same period in 2023 primarily due to higher tariff volumes on our pipelines, tariff escalations and contributions from acquisitions, partially offset by fewer market-based opportunities.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months ended March 31, 2024 compared to the same period in 2023.</w:t>
      </w:r>
    </w:p>
    <w:p>
      <w:pPr>
        <w:spacing w:after="0" w:line="187"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higher volumes across our pipeline systems driven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as well as increased movements from the Rocky Mountain region to Cushing, Oklahoma, (ii) tariff escalations and (iii) contributions from acquisitions.</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Additionally, our results for the three months ended March 31, 2024 compared to 2023 reflect fewer crude oil market-based opportunities.</w:t>
      </w:r>
    </w:p>
    <w:p>
      <w:pPr>
        <w:spacing w:after="0" w:line="25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months ended March 31, 2024 compared to the same period in 2023, we recognized higher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 employee-related costs primarily resulting from higher average headcount and salaries, (ii) property taxes due to the impact of adjustments received in 2023 and (iii) incremental consolidated operating costs in connection with acquisitions. The unfavorable variance for the three months ended March 31, 2024 compared to 2023 was partially offset by (iv) lower utilities-related costs as a result of lower prices, (v) a decrease in the amount of drag reducing agents used and (vi) decreased costs resulting from lower third-party trucked volumes.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increase in maintenance capital spending for the three months ended March 31, 2024 compared to the same period in 2023 was primarily due to timing of routine integrity maintenance.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volume of natural gas transported on third-party assets through our Empress straddle plant and (iv) our share of the NGL’s received from a third party straddle plant.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3"/>
                <w:szCs w:val="13"/>
                <w:color w:val="auto"/>
              </w:rPr>
            </w:pPr>
          </w:p>
        </w:tc>
        <w:tc>
          <w:tcPr>
            <w:tcW w:w="240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5800" w:type="dxa"/>
            <w:vAlign w:val="bottom"/>
            <w:gridSpan w:val="5"/>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5780" w:type="dxa"/>
            <w:vAlign w:val="bottom"/>
            <w:gridSpan w:val="4"/>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Average Volumes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5"/>
          </w:tcPr>
          <w:p>
            <w:pPr>
              <w:spacing w:after="0" w:line="243"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(4)</w:t>
            </w:r>
          </w:p>
        </w:tc>
        <w:tc>
          <w:tcPr>
            <w:tcW w:w="260" w:type="dxa"/>
            <w:vAlign w:val="bottom"/>
          </w:tcPr>
          <w:p>
            <w:pPr>
              <w:spacing w:after="0"/>
              <w:rPr>
                <w:sz w:val="21"/>
                <w:szCs w:val="21"/>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fractionation</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pipeline tariff</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and butane 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ind w:left="20" w:right="42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left="20" w:right="44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are calculated as total volumes (attributable to our interest for assets owned through undivided joint interests) for the period divided by the number of days in the period.</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40"/>
          </w:cols>
          <w:pgMar w:left="320" w:top="121" w:right="399" w:bottom="1440" w:gutter="0" w:footer="0" w:header="0"/>
          <w:type w:val="continuous"/>
        </w:sectPr>
      </w:pPr>
    </w:p>
    <w:p>
      <w:pPr>
        <w:spacing w:after="0" w:line="54" w:lineRule="exact"/>
        <w:rPr>
          <w:sz w:val="20"/>
          <w:szCs w:val="20"/>
          <w:color w:val="auto"/>
        </w:rPr>
      </w:pPr>
    </w:p>
    <w:p>
      <w:pPr>
        <w:jc w:val="both"/>
        <w:ind w:right="240" w:firstLine="648"/>
        <w:spacing w:after="0" w:line="282" w:lineRule="auto"/>
        <w:rPr>
          <w:sz w:val="20"/>
          <w:szCs w:val="20"/>
          <w:color w:val="auto"/>
        </w:rPr>
      </w:pPr>
      <w:r>
        <w:rPr>
          <w:rFonts w:ascii="Times New Roman" w:cs="Times New Roman" w:eastAsia="Times New Roman" w:hAnsi="Times New Roman"/>
          <w:sz w:val="18"/>
          <w:szCs w:val="18"/>
          <w:color w:val="auto"/>
        </w:rPr>
        <w:t>NGL Segment Adjusted EBITDA decreased for the three months ended March 31, 2024 compared to the same period in 2023 primarily due to lower realized frac spreads.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50"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include the impact of derivative activities and long-term inventory costing adjustments, which are excluded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Adjusted EBITDA and thus are reflected as an “Adjustment” in the table above. Excluding such impacts, net revenues decreased for the three months ended March 31, 2024 compared to the same period in 2023 primarily due to (i) lower realized frac spreads, (ii) lower propane and butane sales volumes, and (iii) lower field operating costs recoveries at our Empress straddle plants realized through our commercial agreements.</w:t>
      </w:r>
    </w:p>
    <w:p>
      <w:pPr>
        <w:spacing w:after="0" w:line="20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three months ended March 31, 2024 compared to the same period in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decreased utilities-related costs, largely as a result of lower prices. This decrease was partially offset by the lower benefit to net revenues of operating cost recoveries realized through commercial agreements.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three months ended March 31, 2024 compared to the same period in 2023 was primarily due to timing of equipment repairs and replacement projects for certain of our pipeline systems and fractionation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jc w:val="both"/>
        <w:ind w:right="200" w:firstLine="8"/>
        <w:spacing w:after="0" w:line="253"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although we had a working capital deficit of $143 million, we had approximately $2.4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-156210</wp:posOffset>
            </wp:positionV>
            <wp:extent cx="710628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4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30" w:lineRule="exact"/>
        <w:rPr>
          <w:sz w:val="20"/>
          <w:szCs w:val="20"/>
          <w:color w:val="auto"/>
        </w:rPr>
      </w:pPr>
    </w:p>
    <w:p>
      <w:pPr>
        <w:ind w:left="1163" w:hanging="1163"/>
        <w:spacing w:after="0"/>
        <w:tabs>
          <w:tab w:leader="none" w:pos="11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w:t>
      </w:r>
    </w:p>
    <w:p>
      <w:pPr>
        <w:spacing w:after="0" w:line="27" w:lineRule="exact"/>
        <w:rPr>
          <w:rFonts w:ascii="Times New Roman" w:cs="Times New Roman" w:eastAsia="Times New Roman" w:hAnsi="Times New Roman"/>
          <w:sz w:val="18"/>
          <w:szCs w:val="18"/>
          <w:color w:val="auto"/>
        </w:rPr>
      </w:pPr>
    </w:p>
    <w:p>
      <w:pPr>
        <w:ind w:left="11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1,323</w:t>
      </w:r>
    </w:p>
    <w:p>
      <w:pPr>
        <w:spacing w:after="0" w:line="22" w:lineRule="exact"/>
        <w:rPr>
          <w:rFonts w:ascii="Times New Roman" w:cs="Times New Roman" w:eastAsia="Times New Roman" w:hAnsi="Times New Roman"/>
          <w:sz w:val="18"/>
          <w:szCs w:val="18"/>
          <w:color w:val="auto"/>
        </w:rPr>
      </w:pPr>
    </w:p>
    <w:p>
      <w:pPr>
        <w:ind w:left="12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w:t>
      </w:r>
    </w:p>
    <w:p>
      <w:pPr>
        <w:spacing w:after="0" w:line="22" w:lineRule="exact"/>
        <w:rPr>
          <w:sz w:val="20"/>
          <w:szCs w:val="20"/>
          <w:color w:val="auto"/>
        </w:rPr>
      </w:pPr>
    </w:p>
    <w:p>
      <w:pPr>
        <w:sectPr>
          <w:pgSz w:w="11900" w:h="16838" w:orient="portrait"/>
          <w:cols w:equalWidth="0" w:num="2">
            <w:col w:w="8857" w:space="720"/>
            <w:col w:w="166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40" w:type="dxa"/>
            <w:vAlign w:val="bottom"/>
          </w:tcPr>
          <w:p>
            <w:pPr>
              <w:spacing w:after="0"/>
              <w:rPr>
                <w:sz w:val="19"/>
                <w:szCs w:val="19"/>
                <w:color w:val="auto"/>
              </w:rPr>
            </w:pPr>
          </w:p>
        </w:tc>
        <w:tc>
          <w:tcPr>
            <w:tcW w:w="9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36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our credit facilities.</w:t>
      </w:r>
    </w:p>
    <w:p>
      <w:pPr>
        <w:spacing w:after="0" w:line="54" w:lineRule="exact"/>
        <w:rPr>
          <w:sz w:val="20"/>
          <w:szCs w:val="20"/>
          <w:color w:val="auto"/>
        </w:rPr>
      </w:pPr>
    </w:p>
    <w:p>
      <w:pPr>
        <w:ind w:left="20" w:right="2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issued under these facilities of less than $1 million and $27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restricted cash of $15 million.</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March 31, 2024.</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2023 Annual Report on Form 10-K for further discussion regarding risks that may impact our 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Liquidity Measures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Adjusted Free Cash Flow and Adjusted Free Cash Flow after Distributions from Net Cash Provided by Operating Activities (in millions):</w:t>
      </w:r>
    </w:p>
    <w:p>
      <w:pPr>
        <w:spacing w:after="0" w:line="22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 after Distributions</w:t>
            </w:r>
          </w:p>
        </w:tc>
        <w:tc>
          <w:tcPr>
            <w:tcW w:w="9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4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2023 Annual Report on Form 10-K.</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first three months of 2024 and 2023 was $419 million and $743 million, respectively, and primarily resulted from earnings from our operations. Both periods were also impacted by changes in working capital items. The 2024 period was impacted unfavorably, primarily by margin requirements related to our hedging activities. The 2023 period was impacted favorably, largely associated with reducing inventory levels during the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w:t>
      </w:r>
    </w:p>
    <w:p>
      <w:pPr>
        <w:spacing w:after="0" w:line="23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jc w:val="both"/>
        <w:ind w:right="26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68" w:lineRule="exact"/>
        <w:rPr>
          <w:sz w:val="20"/>
          <w:szCs w:val="20"/>
          <w:color w:val="auto"/>
        </w:rPr>
      </w:pPr>
    </w:p>
    <w:p>
      <w:pPr>
        <w:ind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20" w:hanging="11"/>
        <w:spacing w:after="0" w:line="266" w:lineRule="auto"/>
        <w:rPr>
          <w:sz w:val="20"/>
          <w:szCs w:val="20"/>
          <w:color w:val="auto"/>
        </w:rPr>
      </w:pPr>
      <w:r>
        <w:rPr>
          <w:rFonts w:ascii="Times New Roman" w:cs="Times New Roman" w:eastAsia="Times New Roman" w:hAnsi="Times New Roman"/>
          <w:sz w:val="18"/>
          <w:szCs w:val="18"/>
          <w:color w:val="auto"/>
        </w:rPr>
        <w:t>Investment capital and maintenance capital, net to our 65% interest in the Permian JV, was approximately $79 million and $53 million, respectively, for the three months ended March 31, 2024, and approximately $58 million and $45 million, respectively, for the three months ended March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capital for the 2024 period primarily includes the acquisition of an additional ownership interest in an equity method investee.</w:t>
      </w:r>
    </w:p>
    <w:p>
      <w:pPr>
        <w:spacing w:after="0" w:line="200" w:lineRule="exact"/>
        <w:rPr>
          <w:sz w:val="20"/>
          <w:szCs w:val="20"/>
          <w:color w:val="auto"/>
        </w:rPr>
      </w:pPr>
    </w:p>
    <w:p>
      <w:pPr>
        <w:sectPr>
          <w:pgSz w:w="11900" w:h="16838" w:orient="portrait"/>
          <w:cols w:equalWidth="0" w:num="2">
            <w:col w:w="140" w:space="500"/>
            <w:col w:w="10560"/>
          </w:cols>
          <w:pgMar w:left="320" w:top="121" w:right="379" w:bottom="1440" w:gutter="0" w:footer="0" w:header="0"/>
          <w:type w:val="continuous"/>
        </w:sectPr>
      </w:pPr>
    </w:p>
    <w:p>
      <w:pPr>
        <w:spacing w:after="0" w:line="5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Investment and Maintenance Capital. </w:t>
      </w:r>
      <w:r>
        <w:rPr>
          <w:rFonts w:ascii="Times New Roman" w:cs="Times New Roman" w:eastAsia="Times New Roman" w:hAnsi="Times New Roman"/>
          <w:sz w:val="18"/>
          <w:szCs w:val="18"/>
          <w:color w:val="auto"/>
        </w:rPr>
        <w:t>Total investment capital for the year ending December 31, 2024 is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$465 million ($375 million net to our interest). Approximately half of our projected investment capital expenditures are expected to be invested in the Permian JV assets. Additionally, maintenance capital for 2024 is projected to be approximately $250 million ($230 million net to our interest). We expect to fund our 2024 investment and maintenance capital expenditures primarily with retained cash flow.</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assets have generally been used to fund our investment capital projects and reduce debt levels. The following table summarizes the proceeds received during the first three months of 2024 and 2023 from sales of assets (in millions):</w:t>
      </w:r>
    </w:p>
    <w:p>
      <w:pPr>
        <w:spacing w:after="0" w:line="22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 w:lineRule="exact"/>
        <w:rPr>
          <w:sz w:val="20"/>
          <w:szCs w:val="20"/>
          <w:color w:val="auto"/>
        </w:rPr>
      </w:pPr>
    </w:p>
    <w:p>
      <w:pPr>
        <w:ind w:left="908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8600" w:val="left"/>
          <w:tab w:leader="none" w:pos="9680" w:val="left"/>
          <w:tab w:leader="none" w:pos="9960" w:val="left"/>
          <w:tab w:leader="none" w:pos="10880" w:val="left"/>
        </w:tabs>
        <w:rPr>
          <w:sz w:val="20"/>
          <w:szCs w:val="20"/>
          <w:color w:val="auto"/>
        </w:rPr>
      </w:pPr>
      <w:r>
        <w:rPr>
          <w:rFonts w:ascii="Times New Roman" w:cs="Times New Roman" w:eastAsia="Times New Roman" w:hAnsi="Times New Roman"/>
          <w:sz w:val="18"/>
          <w:szCs w:val="18"/>
          <w:color w:val="auto"/>
        </w:rPr>
        <w:t xml:space="preserve">Proceeds from divestitures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w:t>
        <w:tab/>
        <w:t>$</w:t>
      </w:r>
      <w:r>
        <w:rPr>
          <w:sz w:val="20"/>
          <w:szCs w:val="20"/>
          <w:color w:val="auto"/>
        </w:rPr>
        <w:tab/>
      </w:r>
      <w:r>
        <w:rPr>
          <w:rFonts w:ascii="Times New Roman" w:cs="Times New Roman" w:eastAsia="Times New Roman" w:hAnsi="Times New Roman"/>
          <w:sz w:val="17"/>
          <w:szCs w:val="17"/>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p>
      <w:pPr>
        <w:ind w:left="660" w:right="80" w:hanging="652"/>
        <w:spacing w:after="0" w:line="239" w:lineRule="auto"/>
        <w:tabs>
          <w:tab w:leader="none" w:pos="64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proceeds, including working capital adjustments, net of transaction costs. The proceeds from divestitures for the three months ended March 31, 2023 were primarily from the sale of our 21% non-operated/undivided joint interest in the Keyera Fort Saskatchewan facility in February 2023. See Note 7 to our Consolidated Financial Statements included in Part IV of our 2023 Annual Report on Form 10-K for additional discussion of this transaction.</w:t>
      </w:r>
    </w:p>
    <w:p>
      <w:pPr>
        <w:spacing w:after="0" w:line="22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2023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had net borrowings under our commercial paper program of $107 million. The net borrowings resulted primarily from borrowings during the period related to funding needs for capital investments, inventory purchases and other general partnership purposes.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no net borrowings or repayments under our credit facilities or commercial paper program during the three months ended March 31, 2023.</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Common Equity Repurchase Program (the “Program”) during the three months ended March 31, 2024 or 2023. The remaining available capacity under the Program as of March 31, 2024 was $198 million.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March 31, 2024.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2024.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unitholders. </w:t>
      </w:r>
      <w:r>
        <w:rPr>
          <w:rFonts w:ascii="Times New Roman" w:cs="Times New Roman" w:eastAsia="Times New Roman" w:hAnsi="Times New Roman"/>
          <w:sz w:val="18"/>
          <w:szCs w:val="18"/>
          <w:color w:val="auto"/>
        </w:rPr>
        <w:t>On May 15, 2024, we will pay a quarterly cash distribution of approximately $0.615 per unit to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at the close of business on May 1, 2024 for the period from January 1, 2024 through March 31, 2024.</w:t>
      </w:r>
    </w:p>
    <w:p>
      <w:pPr>
        <w:spacing w:after="0" w:line="18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unitholders. </w:t>
      </w:r>
      <w:r>
        <w:rPr>
          <w:rFonts w:ascii="Times New Roman" w:cs="Times New Roman" w:eastAsia="Times New Roman" w:hAnsi="Times New Roman"/>
          <w:sz w:val="18"/>
          <w:szCs w:val="18"/>
          <w:color w:val="auto"/>
        </w:rPr>
        <w:t>On May 15, 2024, we will pay a quarterly cash distribution of approximately $24.20 per unit to Series B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at the close of business on May 1, 2024 for the period from February 15, 2024 through May 14, 2024.</w:t>
      </w:r>
    </w:p>
    <w:p>
      <w:pPr>
        <w:spacing w:after="0" w:line="185"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Common Unitholders</w:t>
      </w:r>
      <w:r>
        <w:rPr>
          <w:rFonts w:ascii="Times New Roman" w:cs="Times New Roman" w:eastAsia="Times New Roman" w:hAnsi="Times New Roman"/>
          <w:sz w:val="18"/>
          <w:szCs w:val="18"/>
          <w:color w:val="auto"/>
        </w:rPr>
        <w:t>. On May 15, 2024, we will pay a quarterly cash distribution of $0.3175 per common unit ($1.27 per unit on an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common unitholders of record at the close of business on May 1, 2024 for the period from January 1, 2024 through March 31, 2024, which is unchanged from the distribution per unit paid in February of 2024.</w:t>
      </w:r>
    </w:p>
    <w:p>
      <w:pPr>
        <w:spacing w:after="0" w:line="20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See Note 6 to our Condensed Consolidated Financial Statements for details of distributions paid during or pertaining to the first three months of 2024, including distributions to our preferred unitholders.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March 31, 2024,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three months ended 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March 31, 2024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22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20,135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21,649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19,624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17,031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34,178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126,531</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March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March 31, 2024 and December 31, 2023, we had outstanding letters of credit of approximately $161 million and $205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40" w:hanging="324"/>
        <w:spacing w:after="0" w:line="258"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80" w:hanging="324"/>
        <w:spacing w:after="0" w:line="25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4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expenditures, third-party claims or other factors;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2023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1300" w:right="38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rFonts w:ascii="Times New Roman" w:cs="Times New Roman" w:eastAsia="Times New Roman" w:hAnsi="Times New Roman"/>
          <w:sz w:val="18"/>
          <w:szCs w:val="18"/>
          <w:i w:val="1"/>
          <w:iCs w:val="1"/>
          <w:color w:val="auto"/>
        </w:rPr>
      </w:pPr>
    </w:p>
    <w:p>
      <w:pPr>
        <w:ind w:left="1300" w:right="3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77"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 and other</w:t>
      </w:r>
    </w:p>
    <w:p>
      <w:pPr>
        <w:spacing w:after="0" w:line="227" w:lineRule="exact"/>
        <w:rPr>
          <w:rFonts w:ascii="Times New Roman" w:cs="Times New Roman" w:eastAsia="Times New Roman" w:hAnsi="Times New Roman"/>
          <w:sz w:val="18"/>
          <w:szCs w:val="18"/>
          <w:color w:val="auto"/>
        </w:rPr>
      </w:pPr>
    </w:p>
    <w:p>
      <w:pPr>
        <w:ind w:left="1300" w:right="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Condensed Consolidated Financial Statements for further discussion regarding our hedging strategies and objectives.</w:t>
      </w:r>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March 31, 2024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837"/>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2024, approximately $540 million, was subject to interest rate resets that generally range from less than one week to approximately one month. The average interest rate on variable rate debt that was outstanding during the three months ended March 31, 2024 was 5.8%, based upon rates in effect during such period. The fair value of our interest rate derivatives was a net asset of $68 million as of March 31, 2024. A 10% increase in the forward SOFR curve as of March 31, 2024 would have resulted in an increase of $18 million to the fair value of our interest rate derivatives. A 10% decrease in the forward SOFR curve as of March 31, 2024 would have resulted in a decrease of $18 million to the fair value of our interest rate derivatives. See Note 7 to our Condensed Consolidated Financial Statements for a discussion of our interest rate risk hedging activities.</w:t>
      </w:r>
    </w:p>
    <w:p>
      <w:pPr>
        <w:spacing w:after="0" w:line="21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the Series B preferred units accumulate and are payable quarterly in arrears on the 15th day of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August and November. Distributions on the Series B preferred units accumulate based on the applicable three-month SOFR, plus certain adjustments. Based upon the Series B preferred units outstanding at March 31, 2024 and the liquidation preference of $1,000 per unit, a change of 100 basis points in interest rates would increase or decrease the annual distributions on the Series B preferred units by approximately $8 million. See Note 11 to our Consolidated Financial Statements included in Part IV of our 2023 Annual Report on Form 10-K for additional information regarding our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March 31, 2024,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2" w:lineRule="exact"/>
        <w:rPr>
          <w:sz w:val="20"/>
          <w:szCs w:val="20"/>
          <w:color w:val="auto"/>
        </w:rPr>
      </w:pPr>
    </w:p>
    <w:p>
      <w:pPr>
        <w:ind w:left="48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6">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76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2017 (incorporated by reference to Exhibit 3.1 to our Current Report on Form 8-K filed October 12, 2017).</w:t>
        </w:r>
      </w:hyperlink>
    </w:p>
    <w:p>
      <w:pPr>
        <w:spacing w:after="0" w:line="124" w:lineRule="exact"/>
        <w:rPr>
          <w:sz w:val="20"/>
          <w:szCs w:val="20"/>
          <w:color w:val="auto"/>
        </w:rPr>
      </w:pPr>
    </w:p>
    <w:p>
      <w:pPr>
        <w:ind w:left="1380" w:right="6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Third Amended and Restated Agreement of Limited Partnership of Plains Marketing, L.P. dated as of April 1, 2004 (incorporated</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by reference to Exhibit 3.2 to our Quarterly Report on Form 10-Q for the quarter ended March 31, 2004).</w:t>
        </w:r>
      </w:hyperlink>
    </w:p>
    <w:p>
      <w:pPr>
        <w:spacing w:after="0" w:line="118"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Amendment No. 1 dated December 31, 2010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Marketing, L.P. (incorporated by reference to Exhibit 3.9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1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Amendment No. 2 dated January 1,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Marketing,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Amendment No. 3 dated June 30,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2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Amendment No. 4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Marketing, L.P (incorporated by reference to Exhibit 3.8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1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Amendment No. 5 dated December 1, 2019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2019).</w:t>
        </w:r>
      </w:hyperlink>
    </w:p>
    <w:p>
      <w:pPr>
        <w:spacing w:after="0" w:line="111" w:lineRule="exact"/>
        <w:rPr>
          <w:sz w:val="20"/>
          <w:szCs w:val="20"/>
          <w:color w:val="auto"/>
        </w:rPr>
      </w:pPr>
    </w:p>
    <w:p>
      <w:pPr>
        <w:ind w:left="138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Third Amended and Restated Agreement of Limited Partnership of Plains Pipeline, L.P. dated as of April 1, 2004 (incorporated by</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reference to Exhibit 3.3 to our Quarterly Report on Form 10-Q for the quarter ended March 31, 2004).</w:t>
        </w:r>
      </w:hyperlink>
    </w:p>
    <w:p>
      <w:pPr>
        <w:spacing w:after="0" w:line="118" w:lineRule="exact"/>
        <w:rPr>
          <w:sz w:val="20"/>
          <w:szCs w:val="20"/>
          <w:color w:val="auto"/>
        </w:rPr>
      </w:pPr>
    </w:p>
    <w:p>
      <w:pPr>
        <w:ind w:left="1380" w:right="30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Amendment No. 1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Pipeline,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2013).</w:t>
        </w:r>
      </w:hyperlink>
    </w:p>
    <w:p>
      <w:pPr>
        <w:spacing w:after="0" w:line="99"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5">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7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380" w:right="280" w:hanging="1305"/>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L.P. (incorporated by reference to Exhibit 3.1 to our Current Report on Form 8-K filed October 2, 2018).</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8">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7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380" w:right="26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380" w:right="1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Finance Corp.)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2006).</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440" w:right="8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3.16       —  </w:t>
      </w:r>
      <w:hyperlink r:id="rId102">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 our</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Current Report on Form 8-K filed January 4, 2008).</w:t>
        </w:r>
      </w:hyperlink>
    </w:p>
    <w:p>
      <w:pPr>
        <w:spacing w:after="0" w:line="118" w:lineRule="exact"/>
        <w:rPr>
          <w:sz w:val="20"/>
          <w:szCs w:val="20"/>
          <w:color w:val="auto"/>
        </w:rPr>
      </w:pPr>
    </w:p>
    <w:p>
      <w:pPr>
        <w:ind w:left="1380" w:right="2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380" w:right="6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18" w:lineRule="exact"/>
        <w:rPr>
          <w:sz w:val="20"/>
          <w:szCs w:val="20"/>
          <w:color w:val="auto"/>
        </w:rPr>
      </w:pPr>
    </w:p>
    <w:p>
      <w:pPr>
        <w:ind w:left="1380" w:right="40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Holdings, L.P. (incorporated by reference to Exhibit 3.1 to PAGP’s Current Report on Form 8-K filed April 9, 2020).</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8">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76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2021 (incorporated by reference to Exhibit 3.21 to our Annual Report on Form 10-K for the year ended December 31, 2021).</w:t>
        </w:r>
      </w:hyperlink>
    </w:p>
    <w:p>
      <w:pPr>
        <w:spacing w:after="0" w:line="124"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as trustee (incorporated by reference to Exhibit 4.1 to our Current Report on Form 8-K filed May 12, 2006).</w:t>
        </w:r>
      </w:hyperlink>
    </w:p>
    <w:p>
      <w:pPr>
        <w:spacing w:after="0" w:line="111" w:lineRule="exact"/>
        <w:rPr>
          <w:sz w:val="20"/>
          <w:szCs w:val="20"/>
          <w:color w:val="auto"/>
        </w:rPr>
      </w:pPr>
    </w:p>
    <w:p>
      <w:pPr>
        <w:ind w:left="1380" w:right="1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trustee (incorporated by reference to Exhibit 4.2 to our Current Report on Form 8-K filed October 30, 2006).</w:t>
        </w:r>
      </w:hyperlink>
    </w:p>
    <w:p>
      <w:pPr>
        <w:spacing w:after="0" w:line="111"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our Current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Exhibit 4.3 to our Current Report on Form 8-K filed December 12, 2012).</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u w:val="single" w:color="auto"/>
            <w:color w:val="0000FF"/>
          </w:rPr>
          <w:t>Current Report on Form 8-K filed April 29, 2014)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jc w:val="right"/>
        <w:ind w:left="480" w:righ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  </w:t>
      </w:r>
      <w:hyperlink r:id="rId115">
        <w:r>
          <w:rPr>
            <w:rFonts w:ascii="Times New Roman" w:cs="Times New Roman" w:eastAsia="Times New Roman" w:hAnsi="Times New Roman"/>
            <w:sz w:val="18"/>
            <w:szCs w:val="18"/>
            <w:u w:val="single" w:color="auto"/>
            <w:color w:val="0000FF"/>
          </w:rPr>
          <w:t>Twenty-Sixth Supplemental Indenture (3.60% Senior Notes due 2024) dated September 9, 2014, by and among Plains All</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Exhibit 4.1 to our Current Report on Form 8-K filed September 11, 2014).</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4.9</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0000FF"/>
                </w:rPr>
                <w:t>Twenty-Ninth Supplemental Indenture (4.65% Senior Notes due 2025) dated August 24, 2015, by and among Plains All American</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Pipeline, L.P., PAA Finance Corp. and U.S. Bank National Association, as trustee (incorporated by reference to Exhibit 4.1 to our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Current Report on Form 8-K filed August 26, 2015).</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4.10</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1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Current Report on Form 8-K filed November 29, 2016)</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4.11</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0000FF"/>
                </w:rPr>
                <w:t>Thirty-First Supplemental Indenture (3.55% Senior Notes due 2029) dated September 16, 2019, by and among Plains All</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18"/>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American Pipeline, L.P., PAA Finance Corp. and U.S. Bank National Association, as trustee (incorporated by reference to Exhibit</w:t>
              </w:r>
            </w:hyperlink>
          </w:p>
        </w:tc>
      </w:tr>
      <w:tr>
        <w:trPr>
          <w:trHeight w:val="169"/>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Current Report on Form 8-K filed September 17, 2019).</w:t>
              </w:r>
            </w:hyperlink>
          </w:p>
        </w:tc>
        <w:tc>
          <w:tcPr>
            <w:tcW w:w="4560" w:type="dxa"/>
            <w:vAlign w:val="bottom"/>
            <w:tcBorders>
              <w:top w:val="single" w:sz="8" w:color="0000FF"/>
            </w:tcBorders>
            <w:gridSpan w:val="10"/>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17"/>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4.12</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1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Current Report on Form 8-K filed June 11, 2020).</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4.13</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0000FF"/>
                </w:rPr>
                <w:t>Registration Rights Agreement dated September 3, 2009 by and between Plains All American Pipeline, L.P. and Vulcan Gas</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Storage LLC (incorporated by reference to Exhibit 4.1 to our Registration Statement on Form S-3, File No. 333-162477).</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4.14</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480" w:type="dxa"/>
            <w:vAlign w:val="bottom"/>
            <w:tcBorders>
              <w:top w:val="single" w:sz="8" w:color="0000FF"/>
            </w:tcBorders>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4.15</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Registration Rights Agreement by and among Plains All American Pipeline, L.P. and the Holders defined therein, dated November</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15, 2016 (incorporated by reference to Exhibit 10.4 to our Current Report on Form 8-K filed November 21, 2016).</w:t>
              </w:r>
            </w:hyperlink>
          </w:p>
        </w:tc>
        <w:tc>
          <w:tcPr>
            <w:tcW w:w="1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4.16</w:t>
            </w:r>
          </w:p>
        </w:tc>
        <w:tc>
          <w:tcPr>
            <w:tcW w:w="10020" w:type="dxa"/>
            <w:vAlign w:val="bottom"/>
            <w:gridSpan w:val="19"/>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Description of Our Securities (incorporated by reference to Exhibit 4.16 to our Annual Report on Form 10-K for the year ended</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December 31, 2023).</w:t>
              </w:r>
            </w:hyperlink>
          </w:p>
        </w:tc>
        <w:tc>
          <w:tcPr>
            <w:tcW w:w="7700" w:type="dxa"/>
            <w:vAlign w:val="bottom"/>
            <w:tcBorders>
              <w:top w:val="single" w:sz="8" w:color="0000FF"/>
            </w:tcBorders>
            <w:gridSpan w:val="11"/>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331"/>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31.1 †</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left w:val="single" w:sz="8" w:color="0000FF"/>
            </w:tcBorders>
            <w:gridSpan w:val="11"/>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31.2 †</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32.1 ††</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20" w:type="dxa"/>
            <w:vAlign w:val="bottom"/>
            <w:tcBorders>
              <w:left w:val="single" w:sz="8" w:color="0000FF"/>
            </w:tcBorders>
            <w:gridSpan w:val="12"/>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32.2 ††</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20" w:type="dxa"/>
            <w:vAlign w:val="bottom"/>
            <w:gridSpan w:val="12"/>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101.INS†</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101.CAL†</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83"/>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101.LAB†</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101.PRE†</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gridSpan w:val="19"/>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21"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2024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9, 2024</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2024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9,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3"/>
    </w:lvl>
  </w:abstractNum>
  <w:abstractNum w:abstractNumId="21">
    <w:nsid w:val="22221A70"/>
    <w:multiLevelType w:val="hybridMultilevel"/>
    <w:lvl w:ilvl="0">
      <w:lvlJc w:val="left"/>
      <w:lvlText w:val="(%1)"/>
      <w:numFmt w:val="decimal"/>
      <w:start w:val="10"/>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lowerRoman"/>
      <w:start w:val="5"/>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1" Type="http://schemas.openxmlformats.org/officeDocument/2006/relationships/image" Target="media/image79.png"/><Relationship Id="rId117"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86" Type="http://schemas.openxmlformats.org/officeDocument/2006/relationships/hyperlink" Target="https://www.sec.gov/Archives/edgar/data/1070423/000110465917061889/a17-22685_5ex3d1.htm#Exhibit3_1_122228" TargetMode="External"/><Relationship Id="rId87" Type="http://schemas.openxmlformats.org/officeDocument/2006/relationships/hyperlink" Target="https://www.sec.gov/Archives/edgar/data/1070423/000104746904016502/a2135501zex-3_2.htm" TargetMode="External"/><Relationship Id="rId88" Type="http://schemas.openxmlformats.org/officeDocument/2006/relationships/hyperlink" Target="https://www.sec.gov/Archives/edgar/data/1070423/000110465911010359/a11-2319_1ex3d9.htm" TargetMode="External"/><Relationship Id="rId89" Type="http://schemas.openxmlformats.org/officeDocument/2006/relationships/hyperlink" Target="https://www.sec.gov/Archives/edgar/data/1070423/000110465911010359/a11-2319_1ex3d10.htm" TargetMode="External"/><Relationship Id="rId90" Type="http://schemas.openxmlformats.org/officeDocument/2006/relationships/hyperlink" Target="https://www.sec.gov/Archives/edgar/data/1070423/000110465914014322/a13-25941_1ex3d7.htm" TargetMode="External"/><Relationship Id="rId91" Type="http://schemas.openxmlformats.org/officeDocument/2006/relationships/hyperlink" Target="https://www.sec.gov/Archives/edgar/data/1070423/000110465914014322/a13-25941_1ex3d8.htm" TargetMode="External"/><Relationship Id="rId92" Type="http://schemas.openxmlformats.org/officeDocument/2006/relationships/hyperlink" Target="https://www.sec.gov/Archives/edgar/data/1070423/000107042320000004/paa201910-kexhibit37.htm" TargetMode="External"/><Relationship Id="rId93" Type="http://schemas.openxmlformats.org/officeDocument/2006/relationships/hyperlink" Target="https://www.sec.gov/Archives/edgar/data/1070423/000104746904016502/a2135501zex-3_3.htm" TargetMode="External"/><Relationship Id="rId94" Type="http://schemas.openxmlformats.org/officeDocument/2006/relationships/hyperlink" Target="https://www.sec.gov/Archives/edgar/data/1070423/000110465914014322/a13-25941_1ex3d10.htm" TargetMode="External"/><Relationship Id="rId95" Type="http://schemas.openxmlformats.org/officeDocument/2006/relationships/hyperlink" Target="https://www.sec.gov/Archives/edgar/data/1070423/000110465916158355/a16-21841_1ex3d3.htm" TargetMode="External"/><Relationship Id="rId96" Type="http://schemas.openxmlformats.org/officeDocument/2006/relationships/hyperlink" Target="https://www.sec.gov/Archives/edgar/data/1070423/000110465916158355/a16-21841_1ex3d4.htm" TargetMode="External"/><Relationship Id="rId97" Type="http://schemas.openxmlformats.org/officeDocument/2006/relationships/hyperlink" Target="https://www.sec.gov/Archives/edgar/data/1070423/000110465918060011/a18-36196_1ex3d1.htm" TargetMode="External"/><Relationship Id="rId98" Type="http://schemas.openxmlformats.org/officeDocument/2006/relationships/hyperlink" Target="https://www.sec.gov/Archives/edgar/data/1070423/000110465919032810/a19-10856_1ex3d1.htm" TargetMode="External"/><Relationship Id="rId99" Type="http://schemas.openxmlformats.org/officeDocument/2006/relationships/hyperlink" Target="https://www.sec.gov/Archives/edgar/data/1070423/000110465923093997/tm2324104d2_ex3-1.htm" TargetMode="External"/><Relationship Id="rId100" Type="http://schemas.openxmlformats.org/officeDocument/2006/relationships/hyperlink" Target="https://www.sec.gov/Archives/edgar/data/1070423/000095012907001096/h43224exv3w10.htm" TargetMode="External"/><Relationship Id="rId102" Type="http://schemas.openxmlformats.org/officeDocument/2006/relationships/hyperlink" Target="https://www.sec.gov/Archives/edgar/data/1070423/000095012907001096/h43224exv3w11.htm" TargetMode="External"/><Relationship Id="rId103" Type="http://schemas.openxmlformats.org/officeDocument/2006/relationships/hyperlink" Target="https://www.sec.gov/Archives/edgar/data/1070423/000095012908000071/h52770exv3w3.htm" TargetMode="External"/><Relationship Id="rId104" Type="http://schemas.openxmlformats.org/officeDocument/2006/relationships/hyperlink" Target="https://www.sec.gov/Archives/edgar/data/1581990/000104746913007875/a2216069zex-3_1.htm" TargetMode="External"/><Relationship Id="rId105" Type="http://schemas.openxmlformats.org/officeDocument/2006/relationships/hyperlink" Target="https://www.sec.gov/Archives/edgar/data/1581990/000110465916158356/a16-21845_1ex3d2.htm" TargetMode="External"/><Relationship Id="rId106" Type="http://schemas.openxmlformats.org/officeDocument/2006/relationships/hyperlink" Target="https://www.sec.gov/Archives/edgar/data/1581990/000158199020000012/exhibit31.htm" TargetMode="External"/><Relationship Id="rId107" Type="http://schemas.openxmlformats.org/officeDocument/2006/relationships/hyperlink" Target="https://www.sec.gov/Archives/edgar/data/1581990/000104746913007875/a2216069zex-3_3.htm" TargetMode="External"/><Relationship Id="rId108" Type="http://schemas.openxmlformats.org/officeDocument/2006/relationships/hyperlink" Target="https://www.sec.gov/Archives/edgar/data/1070423/000107042322000006/paa202110-kexhibite69.htm" TargetMode="External"/><Relationship Id="rId109" Type="http://schemas.openxmlformats.org/officeDocument/2006/relationships/hyperlink" Target="https://www.sec.gov/Archives/edgar/data/1070423/000089924302002834/dex41.txt" TargetMode="External"/><Relationship Id="rId110" Type="http://schemas.openxmlformats.org/officeDocument/2006/relationships/hyperlink" Target="https://www.sec.gov/Archives/edgar/data/1070423/000110465906034368/a06-11663_1ex4d1.htm" TargetMode="External"/><Relationship Id="rId111" Type="http://schemas.openxmlformats.org/officeDocument/2006/relationships/hyperlink" Target="https://www.sec.gov/Archives/edgar/data/1070423/000095012906009235/h40667exv4w2.htm" TargetMode="External"/><Relationship Id="rId112" Type="http://schemas.openxmlformats.org/officeDocument/2006/relationships/hyperlink" Target="https://www.sec.gov/Archives/edgar/data/1070423/000119312512132295/d321017dex43.htm" TargetMode="External"/><Relationship Id="rId113" Type="http://schemas.openxmlformats.org/officeDocument/2006/relationships/hyperlink" Target="https://www.sec.gov/Archives/edgar/data/1070423/000119312512499932/d453762dex43.htm" TargetMode="External"/><Relationship Id="rId114" Type="http://schemas.openxmlformats.org/officeDocument/2006/relationships/hyperlink" Target="https://www.sec.gov/Archives/edgar/data/1070423/000119312514164183/d713938dex41.htm" TargetMode="External"/><Relationship Id="rId115" Type="http://schemas.openxmlformats.org/officeDocument/2006/relationships/hyperlink" Target="https://www.sec.gov/Archives/edgar/data/1070423/000119312514338289/d787160dex41.htm" TargetMode="External"/><Relationship Id="rId116" Type="http://schemas.openxmlformats.org/officeDocument/2006/relationships/hyperlink" Target="https://www.sec.gov/Archives/edgar/data/1070423/000119312514440007/d833885dex43.htm" TargetMode="External"/><Relationship Id="rId118" Type="http://schemas.openxmlformats.org/officeDocument/2006/relationships/hyperlink" Target="https://www.sec.gov/Archives/edgar/data/1070423/000119312515302829/d45393dex41.htm" TargetMode="External"/><Relationship Id="rId119" Type="http://schemas.openxmlformats.org/officeDocument/2006/relationships/hyperlink" Target="https://www.sec.gov/Archives/edgar/data/1070423/000110465916159593/a16-22232_1ex4d1.htm" TargetMode="External"/><Relationship Id="rId120" Type="http://schemas.openxmlformats.org/officeDocument/2006/relationships/hyperlink" Target="https://www.sec.gov/Archives/edgar/data/1070423/000141057819001281/tv529555_ex4-1.htm" TargetMode="External"/><Relationship Id="rId121" Type="http://schemas.openxmlformats.org/officeDocument/2006/relationships/hyperlink" Target="https://www.sec.gov/Archives/edgar/data/1070423/000110465920072270/tm2022235d1_ex4-1.htm" TargetMode="External"/><Relationship Id="rId122" Type="http://schemas.openxmlformats.org/officeDocument/2006/relationships/hyperlink" Target="https://www.sec.gov/Archives/edgar/data/1070423/000095012309050401/h68193exv4w1.htm" TargetMode="External"/><Relationship Id="rId123" Type="http://schemas.openxmlformats.org/officeDocument/2006/relationships/hyperlink" Target="https://www.sec.gov/Archives/edgar/data/1070423/000110465916093299/a16-3362_1ex4d1.htm" TargetMode="External"/><Relationship Id="rId124" Type="http://schemas.openxmlformats.org/officeDocument/2006/relationships/hyperlink" Target="https://www.sec.gov/Archives/edgar/data/1070423/000110465916158355/a16-21841_1ex10d4.htm" TargetMode="External"/><Relationship Id="rId125" Type="http://schemas.openxmlformats.org/officeDocument/2006/relationships/hyperlink" Target="https://www.sec.gov/Archives/edgar/data/1070423/000107042324000008/paa202310-kexhibit4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2024-05-10T05:31:51Z</dcterms:created>
  <dcterms:modified xsi:type="dcterms:W3CDTF">2024-05-10T05:31:51Z</dcterms:modified>
</cp:coreProperties>
</file>