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80" w:right="1560" w:hanging="3872"/>
        <w:spacing w:after="0" w:line="402" w:lineRule="auto"/>
        <w:tabs>
          <w:tab w:leader="none" w:pos="46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43"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95" w:lineRule="exact"/>
        <w:rPr>
          <w:sz w:val="24"/>
          <w:szCs w:val="24"/>
          <w:color w:val="auto"/>
        </w:rPr>
      </w:pPr>
    </w:p>
    <w:p>
      <w:pPr>
        <w:sectPr>
          <w:pgSz w:w="11900" w:h="16838" w:orient="portrait"/>
          <w:cols w:equalWidth="0" w:num="2">
            <w:col w:w="6940" w:space="720"/>
            <w:col w:w="3520"/>
          </w:cols>
          <w:pgMar w:left="320" w:top="233" w:right="399" w:bottom="1440" w:gutter="0" w:footer="0" w:header="0"/>
          <w:type w:val="continuous"/>
        </w:sect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200" w:space="720"/>
            <w:col w:w="4260"/>
          </w:cols>
          <w:pgMar w:left="320" w:top="233" w:right="399" w:bottom="1440" w:gutter="0" w:footer="0" w:header="0"/>
          <w:type w:val="continuous"/>
        </w:sectPr>
      </w:pP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56"/>
        </w:trPr>
        <w:tc>
          <w:tcPr>
            <w:tcW w:w="3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37"/>
        </w:trPr>
        <w:tc>
          <w:tcPr>
            <w:tcW w:w="3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PAA</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80"/>
          </w:cols>
          <w:pgMar w:left="320" w:top="233" w:right="399" w:bottom="1440" w:gutter="0" w:footer="0" w:header="0"/>
          <w:type w:val="continuous"/>
        </w:sectPr>
      </w:pPr>
    </w:p>
    <w:p>
      <w:pPr>
        <w:spacing w:after="0" w:line="1" w:lineRule="exact"/>
        <w:rPr>
          <w:sz w:val="24"/>
          <w:szCs w:val="24"/>
          <w:color w:val="auto"/>
        </w:rPr>
      </w:pPr>
    </w:p>
    <w:p>
      <w:pPr>
        <w:ind w:left="1880"/>
        <w:spacing w:after="0" w:line="21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0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120" w:lineRule="exact"/>
        <w:rPr>
          <w:sz w:val="24"/>
          <w:szCs w:val="24"/>
          <w:color w:val="auto"/>
        </w:rPr>
      </w:pPr>
    </w:p>
    <w:p>
      <w:pPr>
        <w:sectPr>
          <w:pgSz w:w="11900" w:h="16838" w:orient="portrait"/>
          <w:cols w:equalWidth="0" w:num="2">
            <w:col w:w="7560" w:space="720"/>
            <w:col w:w="2900"/>
          </w:cols>
          <w:pgMar w:left="320" w:top="233" w:right="399" w:bottom="1440" w:gutter="0" w:footer="0" w:header="0"/>
          <w:type w:val="continuous"/>
        </w:sectPr>
      </w:pPr>
    </w:p>
    <w:p>
      <w:pPr>
        <w:ind w:left="1960"/>
        <w:spacing w:after="0" w:line="21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92" w:lineRule="exact"/>
        <w:rPr>
          <w:sz w:val="24"/>
          <w:szCs w:val="24"/>
          <w:color w:val="auto"/>
        </w:rPr>
      </w:pPr>
    </w:p>
    <w:p>
      <w:pPr>
        <w:sectPr>
          <w:pgSz w:w="11900" w:h="16838" w:orient="portrait"/>
          <w:cols w:equalWidth="0" w:num="2">
            <w:col w:w="6800" w:space="720"/>
            <w:col w:w="3660"/>
          </w:cols>
          <w:pgMar w:left="320" w:top="233" w:right="399" w:bottom="1440" w:gutter="0" w:footer="0" w:header="0"/>
          <w:type w:val="continuous"/>
        </w:sectPr>
      </w:pPr>
    </w:p>
    <w:p>
      <w:pPr>
        <w:ind w:left="752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ectPr>
          <w:pgSz w:w="11900" w:h="16838" w:orient="portrait"/>
          <w:cols w:equalWidth="0" w:num="1">
            <w:col w:w="11180"/>
          </w:cols>
          <w:pgMar w:left="320" w:top="233" w:right="399" w:bottom="1440" w:gutter="0" w:footer="0" w:header="0"/>
          <w:type w:val="continuous"/>
        </w:sectPr>
      </w:pPr>
    </w:p>
    <w:p>
      <w:pPr>
        <w:spacing w:after="0" w:line="179"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July 31, 2020, there were 728,100,398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15"/>
        </w:trPr>
        <w:tc>
          <w:tcPr>
            <w:tcW w:w="10240" w:type="dxa"/>
            <w:vAlign w:val="bottom"/>
            <w:gridSpan w:val="15"/>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980" w:type="dxa"/>
            <w:vAlign w:val="bottom"/>
          </w:tcPr>
          <w:p>
            <w:pPr>
              <w:spacing w:after="0"/>
              <w:rPr>
                <w:sz w:val="18"/>
                <w:szCs w:val="18"/>
                <w:color w:val="auto"/>
              </w:rPr>
            </w:pPr>
          </w:p>
        </w:tc>
      </w:tr>
      <w:tr>
        <w:trPr>
          <w:trHeight w:val="230"/>
        </w:trPr>
        <w:tc>
          <w:tcPr>
            <w:tcW w:w="10240" w:type="dxa"/>
            <w:vAlign w:val="bottom"/>
            <w:gridSpan w:val="15"/>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UNAUDITED CONDENSED CONSOLIDATED FINANCIAL STATEMENTS:</w:t>
              </w:r>
            </w:hyperlink>
          </w:p>
        </w:tc>
        <w:tc>
          <w:tcPr>
            <w:tcW w:w="98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10120" w:type="dxa"/>
            <w:vAlign w:val="bottom"/>
            <w:gridSpan w:val="14"/>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June 30, </w:t>
              </w:r>
              <w:r>
                <w:rPr>
                  <w:rFonts w:ascii="Arial" w:cs="Arial" w:eastAsia="Arial" w:hAnsi="Arial"/>
                  <w:sz w:val="18"/>
                  <w:szCs w:val="18"/>
                  <w:u w:val="single" w:color="auto"/>
                  <w:color w:val="0000FF"/>
                </w:rPr>
                <w:t>2020 and December 31, 2019</w:t>
              </w:r>
            </w:hyperlink>
          </w:p>
        </w:tc>
        <w:tc>
          <w:tcPr>
            <w:tcW w:w="98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For the three</w:t>
              </w:r>
              <w:r>
                <w:rPr>
                  <w:rFonts w:ascii="Arial" w:cs="Arial" w:eastAsia="Arial" w:hAnsi="Arial"/>
                  <w:sz w:val="18"/>
                  <w:szCs w:val="18"/>
                  <w:color w:val="0000FF"/>
                </w:rPr>
                <w:t xml:space="preserve"> and six months ended June 30, </w:t>
              </w:r>
              <w:r>
                <w:rPr>
                  <w:rFonts w:ascii="Arial" w:cs="Arial" w:eastAsia="Arial" w:hAnsi="Arial"/>
                  <w:sz w:val="18"/>
                  <w:szCs w:val="18"/>
                  <w:u w:val="single" w:color="auto"/>
                  <w:color w:val="0000FF"/>
                </w:rPr>
                <w:t>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14"/>
          </w:tcPr>
          <w:p>
            <w:pPr>
              <w:spacing w:after="0"/>
              <w:rPr>
                <w:rFonts w:ascii="Arial" w:cs="Arial" w:eastAsia="Arial" w:hAnsi="Arial"/>
                <w:sz w:val="18"/>
                <w:szCs w:val="18"/>
                <w:color w:val="0000FF"/>
                <w:w w:val="95"/>
              </w:rPr>
            </w:pPr>
            <w:hyperlink w:anchor="page4">
              <w:r>
                <w:rPr>
                  <w:rFonts w:ascii="Arial" w:cs="Arial" w:eastAsia="Arial" w:hAnsi="Arial"/>
                  <w:sz w:val="18"/>
                  <w:szCs w:val="18"/>
                  <w:u w:val="single" w:color="auto"/>
                  <w:color w:val="0000FF"/>
                  <w:w w:val="95"/>
                </w:rPr>
                <w:t>Condensed Consolidated Statements of Comprehensive Income/(Loss): For the three</w:t>
              </w:r>
              <w:r>
                <w:rPr>
                  <w:rFonts w:ascii="Arial" w:cs="Arial" w:eastAsia="Arial" w:hAnsi="Arial"/>
                  <w:sz w:val="18"/>
                  <w:szCs w:val="18"/>
                  <w:color w:val="0000FF"/>
                  <w:w w:val="95"/>
                </w:rPr>
                <w:t xml:space="preserve"> and six months ended June 30, </w:t>
              </w:r>
              <w:r>
                <w:rPr>
                  <w:rFonts w:ascii="Arial" w:cs="Arial" w:eastAsia="Arial" w:hAnsi="Arial"/>
                  <w:sz w:val="18"/>
                  <w:szCs w:val="18"/>
                  <w:u w:val="single" w:color="auto"/>
                  <w:color w:val="0000FF"/>
                  <w:w w:val="95"/>
                </w:rPr>
                <w:t>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14"/>
          </w:tcPr>
          <w:p>
            <w:pPr>
              <w:spacing w:after="0"/>
              <w:rPr>
                <w:rFonts w:ascii="Arial" w:cs="Arial" w:eastAsia="Arial" w:hAnsi="Arial"/>
                <w:sz w:val="18"/>
                <w:szCs w:val="18"/>
                <w:color w:val="0000FF"/>
                <w:w w:val="90"/>
              </w:rPr>
            </w:pPr>
            <w:hyperlink w:anchor="page5">
              <w:r>
                <w:rPr>
                  <w:rFonts w:ascii="Arial" w:cs="Arial" w:eastAsia="Arial" w:hAnsi="Arial"/>
                  <w:sz w:val="18"/>
                  <w:szCs w:val="18"/>
                  <w:u w:val="single" w:color="auto"/>
                  <w:color w:val="0000FF"/>
                  <w:w w:val="90"/>
                </w:rPr>
                <w:t>Condensed Consolidated Statements of Changes in Accumulated Other Comprehensive Income/(Loss): For the</w:t>
              </w:r>
              <w:r>
                <w:rPr>
                  <w:rFonts w:ascii="Arial" w:cs="Arial" w:eastAsia="Arial" w:hAnsi="Arial"/>
                  <w:sz w:val="18"/>
                  <w:szCs w:val="18"/>
                  <w:color w:val="0000FF"/>
                  <w:w w:val="90"/>
                </w:rPr>
                <w:t xml:space="preserve"> six months ended June 30,</w:t>
              </w:r>
            </w:hyperlink>
          </w:p>
        </w:tc>
        <w:tc>
          <w:tcPr>
            <w:tcW w:w="980" w:type="dxa"/>
            <w:vAlign w:val="bottom"/>
          </w:tcPr>
          <w:p>
            <w:pPr>
              <w:spacing w:after="0"/>
              <w:rPr>
                <w:sz w:val="18"/>
                <w:szCs w:val="18"/>
                <w:color w:val="auto"/>
              </w:rPr>
            </w:pPr>
          </w:p>
        </w:tc>
      </w:tr>
      <w:tr>
        <w:trPr>
          <w:trHeight w:val="156"/>
        </w:trPr>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2020 and 2019</w:t>
              </w:r>
            </w:hyperlink>
          </w:p>
        </w:tc>
        <w:tc>
          <w:tcPr>
            <w:tcW w:w="6820" w:type="dxa"/>
            <w:vAlign w:val="bottom"/>
            <w:gridSpan w:val="7"/>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09"/>
        </w:trPr>
        <w:tc>
          <w:tcPr>
            <w:tcW w:w="120" w:type="dxa"/>
            <w:vAlign w:val="bottom"/>
          </w:tcPr>
          <w:p>
            <w:pPr>
              <w:spacing w:after="0"/>
              <w:rPr>
                <w:sz w:val="18"/>
                <w:szCs w:val="18"/>
                <w:color w:val="auto"/>
              </w:rPr>
            </w:pPr>
          </w:p>
        </w:tc>
        <w:tc>
          <w:tcPr>
            <w:tcW w:w="1012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six months ended June 30, </w:t>
              </w:r>
              <w:r>
                <w:rPr>
                  <w:rFonts w:ascii="Arial" w:cs="Arial" w:eastAsia="Arial" w:hAnsi="Arial"/>
                  <w:sz w:val="18"/>
                  <w:szCs w:val="18"/>
                  <w:u w:val="single" w:color="auto"/>
                  <w:color w:val="0000FF"/>
                </w:rPr>
                <w:t>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
        </w:trPr>
        <w:tc>
          <w:tcPr>
            <w:tcW w:w="120" w:type="dxa"/>
            <w:vAlign w:val="bottom"/>
          </w:tcPr>
          <w:p>
            <w:pPr>
              <w:spacing w:after="0" w:line="20" w:lineRule="exact"/>
              <w:rPr>
                <w:sz w:val="1"/>
                <w:szCs w:val="1"/>
                <w:color w:val="auto"/>
              </w:rPr>
            </w:pPr>
          </w:p>
        </w:tc>
        <w:tc>
          <w:tcPr>
            <w:tcW w:w="60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14"/>
          </w:tcPr>
          <w:p>
            <w:pPr>
              <w:spacing w:after="0"/>
              <w:rPr>
                <w:rFonts w:ascii="Arial" w:cs="Arial" w:eastAsia="Arial" w:hAnsi="Arial"/>
                <w:sz w:val="18"/>
                <w:szCs w:val="18"/>
                <w:color w:val="0000FF"/>
                <w:w w:val="96"/>
              </w:rPr>
            </w:pPr>
            <w:hyperlink w:anchor="page6">
              <w:r>
                <w:rPr>
                  <w:rFonts w:ascii="Arial" w:cs="Arial" w:eastAsia="Arial" w:hAnsi="Arial"/>
                  <w:sz w:val="18"/>
                  <w:szCs w:val="18"/>
                  <w:u w:val="single" w:color="auto"/>
                  <w:color w:val="0000FF"/>
                  <w:w w:val="96"/>
                </w:rPr>
                <w:t>Condensed Consolidated Statements of Changes in Partners’ Capital: For the three</w:t>
              </w:r>
              <w:r>
                <w:rPr>
                  <w:rFonts w:ascii="Arial" w:cs="Arial" w:eastAsia="Arial" w:hAnsi="Arial"/>
                  <w:sz w:val="18"/>
                  <w:szCs w:val="18"/>
                  <w:color w:val="0000FF"/>
                  <w:w w:val="96"/>
                </w:rPr>
                <w:t xml:space="preserve"> and six months ended June 30, </w:t>
              </w:r>
              <w:r>
                <w:rPr>
                  <w:rFonts w:ascii="Arial" w:cs="Arial" w:eastAsia="Arial" w:hAnsi="Arial"/>
                  <w:sz w:val="18"/>
                  <w:szCs w:val="18"/>
                  <w:u w:val="single" w:color="auto"/>
                  <w:color w:val="0000FF"/>
                  <w:w w:val="96"/>
                </w:rPr>
                <w:t>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49"/>
        </w:trPr>
        <w:tc>
          <w:tcPr>
            <w:tcW w:w="120" w:type="dxa"/>
            <w:vAlign w:val="bottom"/>
          </w:tcPr>
          <w:p>
            <w:pPr>
              <w:spacing w:after="0"/>
              <w:rPr>
                <w:sz w:val="21"/>
                <w:szCs w:val="21"/>
                <w:color w:val="auto"/>
              </w:rPr>
            </w:pPr>
          </w:p>
        </w:tc>
        <w:tc>
          <w:tcPr>
            <w:tcW w:w="6000" w:type="dxa"/>
            <w:vAlign w:val="bottom"/>
            <w:gridSpan w:val="6"/>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Condensed Consolidated Financial Statements:</w:t>
              </w:r>
            </w:hyperlink>
          </w:p>
        </w:tc>
        <w:tc>
          <w:tcPr>
            <w:tcW w:w="2160" w:type="dxa"/>
            <w:vAlign w:val="bottom"/>
            <w:tcBorders>
              <w:top w:val="single" w:sz="8" w:color="0000FF"/>
            </w:tcBorders>
            <w:gridSpan w:val="5"/>
          </w:tcPr>
          <w:p>
            <w:pPr>
              <w:spacing w:after="0"/>
              <w:rPr>
                <w:sz w:val="21"/>
                <w:szCs w:val="21"/>
                <w:color w:val="auto"/>
              </w:rPr>
            </w:pPr>
          </w:p>
        </w:tc>
        <w:tc>
          <w:tcPr>
            <w:tcW w:w="196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1.</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Organization and Basis of Consolidation and Presentation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r>
      <w:tr>
        <w:trPr>
          <w:trHeight w:val="230"/>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2.</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Summary of Significant Accounting Policies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2">
              <w:r>
                <w:rPr>
                  <w:rFonts w:ascii="Arial" w:cs="Arial" w:eastAsia="Arial" w:hAnsi="Arial"/>
                  <w:sz w:val="18"/>
                  <w:szCs w:val="18"/>
                  <w:u w:val="single" w:color="auto"/>
                  <w:color w:val="0000FF"/>
                  <w:w w:val="79"/>
                </w:rPr>
                <w:t>3.</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Revenues and Accounts Receivable</w:t>
              </w:r>
            </w:hyperlink>
          </w:p>
        </w:tc>
        <w:tc>
          <w:tcPr>
            <w:tcW w:w="98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12</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5">
              <w:r>
                <w:rPr>
                  <w:rFonts w:ascii="Arial" w:cs="Arial" w:eastAsia="Arial" w:hAnsi="Arial"/>
                  <w:sz w:val="18"/>
                  <w:szCs w:val="18"/>
                  <w:u w:val="single" w:color="auto"/>
                  <w:color w:val="0000FF"/>
                  <w:w w:val="79"/>
                </w:rPr>
                <w:t>4.</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Net Income/(Loss) Per Common Unit</w:t>
              </w:r>
            </w:hyperlink>
          </w:p>
        </w:tc>
        <w:tc>
          <w:tcPr>
            <w:tcW w:w="98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15</w:t>
              </w:r>
            </w:hyperlink>
          </w:p>
        </w:tc>
      </w:tr>
      <w:tr>
        <w:trPr>
          <w:trHeight w:val="230"/>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7">
              <w:r>
                <w:rPr>
                  <w:rFonts w:ascii="Arial" w:cs="Arial" w:eastAsia="Arial" w:hAnsi="Arial"/>
                  <w:sz w:val="18"/>
                  <w:szCs w:val="18"/>
                  <w:u w:val="single" w:color="auto"/>
                  <w:color w:val="0000FF"/>
                  <w:w w:val="79"/>
                </w:rPr>
                <w:t>5.</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Inventory, Linefill and Base Gas and Long-term Inventory</w:t>
              </w:r>
            </w:hyperlink>
          </w:p>
        </w:tc>
        <w:tc>
          <w:tcPr>
            <w:tcW w:w="98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17</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7">
              <w:r>
                <w:rPr>
                  <w:rFonts w:ascii="Arial" w:cs="Arial" w:eastAsia="Arial" w:hAnsi="Arial"/>
                  <w:sz w:val="18"/>
                  <w:szCs w:val="18"/>
                  <w:u w:val="single" w:color="auto"/>
                  <w:color w:val="0000FF"/>
                  <w:w w:val="79"/>
                </w:rPr>
                <w:t>6.</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Goodwill</w:t>
              </w:r>
            </w:hyperlink>
          </w:p>
        </w:tc>
        <w:tc>
          <w:tcPr>
            <w:tcW w:w="98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18</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8">
              <w:r>
                <w:rPr>
                  <w:rFonts w:ascii="Arial" w:cs="Arial" w:eastAsia="Arial" w:hAnsi="Arial"/>
                  <w:sz w:val="18"/>
                  <w:szCs w:val="18"/>
                  <w:u w:val="single" w:color="auto"/>
                  <w:color w:val="0000FF"/>
                  <w:w w:val="79"/>
                </w:rPr>
                <w:t>7.</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Investments in Unconsolidated Entities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r>
      <w:tr>
        <w:trPr>
          <w:trHeight w:val="230"/>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9">
              <w:r>
                <w:rPr>
                  <w:rFonts w:ascii="Arial" w:cs="Arial" w:eastAsia="Arial" w:hAnsi="Arial"/>
                  <w:sz w:val="18"/>
                  <w:szCs w:val="18"/>
                  <w:u w:val="single" w:color="auto"/>
                  <w:color w:val="0000FF"/>
                  <w:w w:val="79"/>
                </w:rPr>
                <w:t>8.</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Debt</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21">
              <w:r>
                <w:rPr>
                  <w:rFonts w:ascii="Arial" w:cs="Arial" w:eastAsia="Arial" w:hAnsi="Arial"/>
                  <w:sz w:val="18"/>
                  <w:szCs w:val="18"/>
                  <w:u w:val="single" w:color="auto"/>
                  <w:color w:val="0000FF"/>
                  <w:w w:val="79"/>
                </w:rPr>
                <w:t>9.</w:t>
              </w:r>
            </w:hyperlink>
          </w:p>
        </w:tc>
        <w:tc>
          <w:tcPr>
            <w:tcW w:w="9760" w:type="dxa"/>
            <w:vAlign w:val="bottom"/>
            <w:gridSpan w:val="12"/>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Partners’ Capital and Distributions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r>
      <w:tr>
        <w:trPr>
          <w:trHeight w:val="230"/>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13"/>
          </w:tcPr>
          <w:p>
            <w:pPr>
              <w:ind w:left="6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10. Derivatives and Risk Management Activities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r>
      <w:tr>
        <w:trPr>
          <w:trHeight w:val="229"/>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13"/>
          </w:tcPr>
          <w:p>
            <w:pPr>
              <w:ind w:left="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11. Related Party Transactions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30"/>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13"/>
          </w:tcPr>
          <w:p>
            <w:pPr>
              <w:ind w:left="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12. Commitments and Contingencies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229"/>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13"/>
          </w:tcPr>
          <w:p>
            <w:pPr>
              <w:ind w:left="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13. Operating Segments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r>
      <w:tr>
        <w:trPr>
          <w:trHeight w:val="230"/>
        </w:trPr>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60" w:type="dxa"/>
            <w:vAlign w:val="bottom"/>
            <w:gridSpan w:val="13"/>
          </w:tcPr>
          <w:p>
            <w:pPr>
              <w:ind w:left="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14. Acquisitions, Divestitures and Asset Impairments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499"/>
        </w:trPr>
        <w:tc>
          <w:tcPr>
            <w:tcW w:w="10240" w:type="dxa"/>
            <w:vAlign w:val="bottom"/>
            <w:gridSpan w:val="15"/>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2. 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r>
      <w:tr>
        <w:trPr>
          <w:trHeight w:val="230"/>
        </w:trPr>
        <w:tc>
          <w:tcPr>
            <w:tcW w:w="10240" w:type="dxa"/>
            <w:vAlign w:val="bottom"/>
            <w:gridSpan w:val="15"/>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3. 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65</w:t>
              </w:r>
            </w:hyperlink>
          </w:p>
        </w:tc>
      </w:tr>
      <w:tr>
        <w:trPr>
          <w:trHeight w:val="230"/>
        </w:trPr>
        <w:tc>
          <w:tcPr>
            <w:tcW w:w="10240" w:type="dxa"/>
            <w:vAlign w:val="bottom"/>
            <w:gridSpan w:val="15"/>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4. 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499"/>
        </w:trPr>
        <w:tc>
          <w:tcPr>
            <w:tcW w:w="10240" w:type="dxa"/>
            <w:vAlign w:val="bottom"/>
            <w:gridSpan w:val="15"/>
          </w:tcPr>
          <w:p>
            <w:pPr>
              <w:spacing w:after="0"/>
              <w:rPr>
                <w:rFonts w:ascii="Arial" w:cs="Arial" w:eastAsia="Arial" w:hAnsi="Arial"/>
                <w:sz w:val="18"/>
                <w:szCs w:val="18"/>
                <w:b w:val="1"/>
                <w:bCs w:val="1"/>
                <w:u w:val="single" w:color="auto"/>
                <w:color w:val="0000FF"/>
              </w:rPr>
            </w:pPr>
            <w:hyperlink w:anchor="page67">
              <w:r>
                <w:rPr>
                  <w:rFonts w:ascii="Arial" w:cs="Arial" w:eastAsia="Arial" w:hAnsi="Arial"/>
                  <w:sz w:val="18"/>
                  <w:szCs w:val="18"/>
                  <w:b w:val="1"/>
                  <w:bCs w:val="1"/>
                  <w:u w:val="single" w:color="auto"/>
                  <w:color w:val="0000FF"/>
                </w:rPr>
                <w:t>PART II. OTHER INFORMATION</w:t>
              </w:r>
            </w:hyperlink>
          </w:p>
        </w:tc>
        <w:tc>
          <w:tcPr>
            <w:tcW w:w="980" w:type="dxa"/>
            <w:vAlign w:val="bottom"/>
          </w:tcPr>
          <w:p>
            <w:pPr>
              <w:spacing w:after="0"/>
              <w:rPr>
                <w:sz w:val="24"/>
                <w:szCs w:val="24"/>
                <w:color w:val="auto"/>
              </w:rPr>
            </w:pPr>
          </w:p>
        </w:tc>
      </w:tr>
      <w:tr>
        <w:trPr>
          <w:trHeight w:val="230"/>
        </w:trPr>
        <w:tc>
          <w:tcPr>
            <w:tcW w:w="10240" w:type="dxa"/>
            <w:vAlign w:val="bottom"/>
            <w:gridSpan w:val="15"/>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 LEGAL PROCEEDINGS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10240" w:type="dxa"/>
            <w:vAlign w:val="bottom"/>
            <w:gridSpan w:val="15"/>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1A. 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29"/>
        </w:trPr>
        <w:tc>
          <w:tcPr>
            <w:tcW w:w="10240" w:type="dxa"/>
            <w:vAlign w:val="bottom"/>
            <w:gridSpan w:val="15"/>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2. UNREGISTERED SALES OF EQUITY SECURITIES AND USE OF PROCEEDS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10240" w:type="dxa"/>
            <w:vAlign w:val="bottom"/>
            <w:gridSpan w:val="15"/>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3. DEFAULTS UPON SENIOR SECURITIES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10240" w:type="dxa"/>
            <w:vAlign w:val="bottom"/>
            <w:gridSpan w:val="15"/>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4. MINE SAFETY DISCLOSURES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10240" w:type="dxa"/>
            <w:vAlign w:val="bottom"/>
            <w:gridSpan w:val="15"/>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5. 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29"/>
        </w:trPr>
        <w:tc>
          <w:tcPr>
            <w:tcW w:w="10240" w:type="dxa"/>
            <w:vAlign w:val="bottom"/>
            <w:gridSpan w:val="15"/>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6. EXHIBITS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10240" w:type="dxa"/>
            <w:vAlign w:val="bottom"/>
            <w:gridSpan w:val="15"/>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SIGNATURES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36"/>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1055"/>
              <w:spacing w:after="0"/>
              <w:rPr>
                <w:sz w:val="20"/>
                <w:szCs w:val="20"/>
                <w:color w:val="auto"/>
              </w:rPr>
            </w:pPr>
            <w:r>
              <w:rPr>
                <w:rFonts w:ascii="Arial" w:cs="Arial" w:eastAsia="Arial" w:hAnsi="Arial"/>
                <w:sz w:val="14"/>
                <w:szCs w:val="14"/>
                <w:b w:val="1"/>
                <w:bCs w:val="1"/>
                <w:color w:val="auto"/>
              </w:rPr>
              <w:t>(unaudited)</w:t>
            </w: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108"/>
        </w:trPr>
        <w:tc>
          <w:tcPr>
            <w:tcW w:w="8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45</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1,919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3,614</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604</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312</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4,612</w:t>
            </w:r>
          </w:p>
        </w:tc>
      </w:tr>
      <w:tr>
        <w:trPr>
          <w:trHeight w:val="88"/>
        </w:trPr>
        <w:tc>
          <w:tcPr>
            <w:tcW w:w="8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18,269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18,948</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28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(3,669)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(3,593)</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14,600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15,355</w:t>
            </w:r>
          </w:p>
        </w:tc>
      </w:tr>
      <w:tr>
        <w:trPr>
          <w:trHeight w:val="88"/>
        </w:trPr>
        <w:tc>
          <w:tcPr>
            <w:tcW w:w="8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3,781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3,683</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2,540</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981</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466</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182</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992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858</w:t>
            </w:r>
          </w:p>
        </w:tc>
      </w:tr>
      <w:tr>
        <w:trPr>
          <w:trHeight w:val="248"/>
        </w:trPr>
        <w:tc>
          <w:tcPr>
            <w:tcW w:w="824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24,037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28,677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7"/>
        </w:trPr>
        <w:tc>
          <w:tcPr>
            <w:tcW w:w="82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9"/>
        </w:trPr>
        <w:tc>
          <w:tcPr>
            <w:tcW w:w="8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2,141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3,686</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504</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827</w:t>
            </w:r>
          </w:p>
        </w:tc>
      </w:tr>
      <w:tr>
        <w:trPr>
          <w:trHeight w:val="219"/>
        </w:trPr>
        <w:tc>
          <w:tcPr>
            <w:tcW w:w="8240" w:type="dxa"/>
            <w:vAlign w:val="bottom"/>
          </w:tcPr>
          <w:p>
            <w:pPr>
              <w:ind w:left="12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3,633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5,017</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88"/>
        </w:trPr>
        <w:tc>
          <w:tcPr>
            <w:tcW w:w="8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9,067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8,939</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248</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387</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891</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10,602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10,465</w:t>
            </w:r>
          </w:p>
        </w:tc>
      </w:tr>
      <w:tr>
        <w:trPr>
          <w:trHeight w:val="88"/>
        </w:trPr>
        <w:tc>
          <w:tcPr>
            <w:tcW w:w="8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12)</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108"/>
        </w:trPr>
        <w:tc>
          <w:tcPr>
            <w:tcW w:w="8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54"/>
        </w:trPr>
        <w:tc>
          <w:tcPr>
            <w:tcW w:w="8240" w:type="dxa"/>
            <w:vAlign w:val="bottom"/>
          </w:tcPr>
          <w:p>
            <w:pPr>
              <w:ind w:left="20"/>
              <w:spacing w:after="0"/>
              <w:rPr>
                <w:sz w:val="20"/>
                <w:szCs w:val="20"/>
                <w:color w:val="auto"/>
              </w:rPr>
            </w:pPr>
            <w:r>
              <w:rPr>
                <w:rFonts w:ascii="Arial" w:cs="Arial" w:eastAsia="Arial" w:hAnsi="Arial"/>
                <w:sz w:val="17"/>
                <w:szCs w:val="17"/>
                <w:color w:val="auto"/>
              </w:rPr>
              <w:t>Series A preferred unitholders (71,090,468 and 71,090,468 units outstanding, respectively)</w:t>
            </w:r>
          </w:p>
        </w:tc>
        <w:tc>
          <w:tcPr>
            <w:tcW w:w="280" w:type="dxa"/>
            <w:vAlign w:val="bottom"/>
          </w:tcPr>
          <w:p>
            <w:pPr>
              <w:spacing w:after="0"/>
              <w:rPr>
                <w:sz w:val="22"/>
                <w:szCs w:val="22"/>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1,505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1,505</w:t>
            </w:r>
          </w:p>
        </w:tc>
      </w:tr>
      <w:tr>
        <w:trPr>
          <w:trHeight w:val="25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B preferred unitholders (800,000 and 800,000 units outstanding, respectively)</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787</w:t>
            </w:r>
          </w:p>
        </w:tc>
      </w:tr>
      <w:tr>
        <w:trPr>
          <w:trHeight w:val="25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unitholders (728,100,398 and 728,028,576 units outstanding, respectively)</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7,367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10,770</w:t>
            </w:r>
          </w:p>
        </w:tc>
      </w:tr>
      <w:tr>
        <w:trPr>
          <w:trHeight w:val="232"/>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partners’ capital excluding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9,659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13,062</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133</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9,802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13,195</w:t>
            </w:r>
          </w:p>
        </w:tc>
      </w:tr>
      <w:tr>
        <w:trPr>
          <w:trHeight w:val="248"/>
        </w:trPr>
        <w:tc>
          <w:tcPr>
            <w:tcW w:w="8240" w:type="dxa"/>
            <w:vAlign w:val="bottom"/>
          </w:tcPr>
          <w:p>
            <w:pPr>
              <w:ind w:left="12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24,037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28,677</w:t>
            </w:r>
          </w:p>
        </w:tc>
      </w:tr>
      <w:tr>
        <w:trPr>
          <w:trHeight w:val="23"/>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7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744"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7,914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10,833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15,936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9,893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 (Note 14)</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losses (Note 6)</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1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3,015</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14,057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w w:val="96"/>
              </w:rPr>
              <w:t>Gain on/(impairment of) investments in unconsolidated entities, net (Note 7)</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expense (net of capitalized interest of $5, $11, $11 and $22,</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PER COMMON UNIT (NOTE 4):</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0"/>
        </w:trPr>
        <w:tc>
          <w:tcPr>
            <w:tcW w:w="5840" w:type="dxa"/>
            <w:vAlign w:val="bottom"/>
          </w:tcPr>
          <w:p>
            <w:pPr>
              <w:ind w:left="14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95"/>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net income/(loss)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70"/>
        </w:trPr>
        <w:tc>
          <w:tcPr>
            <w:tcW w:w="5840" w:type="dxa"/>
            <w:vAlign w:val="bottom"/>
          </w:tcPr>
          <w:p>
            <w:pPr>
              <w:ind w:left="14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95"/>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net income/(loss)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8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58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96"/>
        </w:trPr>
        <w:tc>
          <w:tcPr>
            <w:tcW w:w="5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7"/>
                <w:szCs w:val="17"/>
                <w:color w:val="auto"/>
              </w:rPr>
            </w:pPr>
          </w:p>
        </w:tc>
      </w:tr>
      <w:tr>
        <w:trPr>
          <w:trHeight w:val="256"/>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3"/>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448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1,418</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820" w:type="dxa"/>
            <w:vAlign w:val="bottom"/>
          </w:tcPr>
          <w:p>
            <w:pPr>
              <w:spacing w:after="0"/>
              <w:rPr>
                <w:sz w:val="21"/>
                <w:szCs w:val="21"/>
                <w:color w:val="auto"/>
              </w:rPr>
            </w:pPr>
          </w:p>
        </w:tc>
        <w:tc>
          <w:tcPr>
            <w:tcW w:w="440" w:type="dxa"/>
            <w:vAlign w:val="bottom"/>
          </w:tcPr>
          <w:p>
            <w:pPr>
              <w:jc w:val="right"/>
              <w:ind w:right="55"/>
              <w:spacing w:after="0"/>
              <w:rPr>
                <w:sz w:val="20"/>
                <w:szCs w:val="20"/>
                <w:color w:val="auto"/>
              </w:rPr>
            </w:pPr>
            <w:r>
              <w:rPr>
                <w:rFonts w:ascii="Arial" w:cs="Arial" w:eastAsia="Arial" w:hAnsi="Arial"/>
                <w:sz w:val="18"/>
                <w:szCs w:val="18"/>
                <w:color w:val="auto"/>
                <w:w w:val="93"/>
              </w:rPr>
              <w:t>116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109</w:t>
            </w:r>
          </w:p>
        </w:tc>
      </w:tr>
      <w:tr>
        <w:trPr>
          <w:trHeight w:val="27"/>
        </w:trPr>
        <w:tc>
          <w:tcPr>
            <w:tcW w:w="5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3"/>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1,527</w:t>
            </w:r>
          </w:p>
        </w:tc>
      </w:tr>
      <w:tr>
        <w:trPr>
          <w:trHeight w:val="270"/>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8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PAA</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3"/>
              </w:rPr>
              <w:t>258</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497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1,525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9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Instruments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64"/>
        </w:trPr>
        <w:tc>
          <w:tcPr>
            <w:tcW w:w="528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9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Instruments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4"/>
        </w:trPr>
        <w:tc>
          <w:tcPr>
            <w:tcW w:w="5280" w:type="dxa"/>
            <w:vAlign w:val="bottom"/>
          </w:tcPr>
          <w:p>
            <w:pPr>
              <w:ind w:left="20"/>
              <w:spacing w:after="0"/>
              <w:rPr>
                <w:sz w:val="20"/>
                <w:szCs w:val="20"/>
                <w:color w:val="auto"/>
              </w:rPr>
            </w:pPr>
            <w:r>
              <w:rPr>
                <w:rFonts w:ascii="Arial" w:cs="Arial" w:eastAsia="Arial" w:hAnsi="Arial"/>
                <w:sz w:val="18"/>
                <w:szCs w:val="18"/>
                <w:color w:val="auto"/>
              </w:rPr>
              <w:t>Balance at June 30,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Net income/(loss)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(2,701)</w:t>
            </w:r>
          </w:p>
        </w:tc>
        <w:tc>
          <w:tcPr>
            <w:tcW w:w="10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1,418</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net income/(loss)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6"/>
        </w:trPr>
        <w:tc>
          <w:tcPr>
            <w:tcW w:w="824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283</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(Gains)/losses on asset sales and asset impairments, net (Note 14)</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5"/>
        </w:trPr>
        <w:tc>
          <w:tcPr>
            <w:tcW w:w="8240" w:type="dxa"/>
            <w:vAlign w:val="bottom"/>
          </w:tcPr>
          <w:p>
            <w:pPr>
              <w:ind w:left="120"/>
              <w:spacing w:after="0"/>
              <w:rPr>
                <w:sz w:val="20"/>
                <w:szCs w:val="20"/>
                <w:color w:val="auto"/>
              </w:rPr>
            </w:pPr>
            <w:r>
              <w:rPr>
                <w:rFonts w:ascii="Arial" w:cs="Arial" w:eastAsia="Arial" w:hAnsi="Arial"/>
                <w:sz w:val="17"/>
                <w:szCs w:val="17"/>
                <w:color w:val="auto"/>
              </w:rPr>
              <w:t>Goodwill impairment losses (Note 6)</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2,515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Equity-indexed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w:t>
            </w:r>
          </w:p>
        </w:tc>
      </w:tr>
      <w:tr>
        <w:trPr>
          <w:trHeight w:val="226"/>
        </w:trPr>
        <w:tc>
          <w:tcPr>
            <w:tcW w:w="8240" w:type="dxa"/>
            <w:vAlign w:val="bottom"/>
          </w:tcPr>
          <w:p>
            <w:pPr>
              <w:ind w:left="120"/>
              <w:spacing w:after="0"/>
              <w:rPr>
                <w:sz w:val="20"/>
                <w:szCs w:val="20"/>
                <w:color w:val="auto"/>
              </w:rPr>
            </w:pPr>
            <w:r>
              <w:rPr>
                <w:rFonts w:ascii="Arial" w:cs="Arial" w:eastAsia="Arial" w:hAnsi="Arial"/>
                <w:sz w:val="17"/>
                <w:szCs w:val="17"/>
                <w:color w:val="auto"/>
              </w:rPr>
              <w:t>Inventory valuation adjustments</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Deferred income tax benefit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w:t>
            </w:r>
          </w:p>
        </w:tc>
      </w:tr>
      <w:tr>
        <w:trPr>
          <w:trHeight w:val="226"/>
        </w:trPr>
        <w:tc>
          <w:tcPr>
            <w:tcW w:w="8240" w:type="dxa"/>
            <w:vAlign w:val="bottom"/>
          </w:tcPr>
          <w:p>
            <w:pPr>
              <w:ind w:left="120"/>
              <w:spacing w:after="0"/>
              <w:rPr>
                <w:sz w:val="20"/>
                <w:szCs w:val="20"/>
                <w:color w:val="auto"/>
              </w:rPr>
            </w:pPr>
            <w:r>
              <w:rPr>
                <w:rFonts w:ascii="Arial" w:cs="Arial" w:eastAsia="Arial" w:hAnsi="Arial"/>
                <w:sz w:val="17"/>
                <w:szCs w:val="17"/>
                <w:color w:val="auto"/>
              </w:rPr>
              <w:t>Loss on foreign currency revaluation</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12</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Settlement of terminated interest rate hedging instruments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w:t>
            </w:r>
          </w:p>
        </w:tc>
      </w:tr>
      <w:tr>
        <w:trPr>
          <w:trHeight w:val="225"/>
        </w:trPr>
        <w:tc>
          <w:tcPr>
            <w:tcW w:w="8240" w:type="dxa"/>
            <w:vAlign w:val="bottom"/>
          </w:tcPr>
          <w:p>
            <w:pPr>
              <w:ind w:left="120"/>
              <w:spacing w:after="0"/>
              <w:rPr>
                <w:sz w:val="20"/>
                <w:szCs w:val="20"/>
                <w:color w:val="auto"/>
              </w:rPr>
            </w:pPr>
            <w:r>
              <w:rPr>
                <w:rFonts w:ascii="Arial" w:cs="Arial" w:eastAsia="Arial" w:hAnsi="Arial"/>
                <w:sz w:val="17"/>
                <w:szCs w:val="17"/>
                <w:color w:val="auto"/>
              </w:rPr>
              <w:t>Change in fair value of Preferred Distribution Rate Reset Option (Note 10)</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(16)</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Equity earnings in unconsolidated entities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(172)</w:t>
            </w:r>
          </w:p>
        </w:tc>
      </w:tr>
      <w:tr>
        <w:trPr>
          <w:trHeight w:val="226"/>
        </w:trPr>
        <w:tc>
          <w:tcPr>
            <w:tcW w:w="8240" w:type="dxa"/>
            <w:vAlign w:val="bottom"/>
          </w:tcPr>
          <w:p>
            <w:pPr>
              <w:ind w:left="120"/>
              <w:spacing w:after="0"/>
              <w:rPr>
                <w:sz w:val="20"/>
                <w:szCs w:val="20"/>
                <w:color w:val="auto"/>
              </w:rPr>
            </w:pPr>
            <w:r>
              <w:rPr>
                <w:rFonts w:ascii="Arial" w:cs="Arial" w:eastAsia="Arial" w:hAnsi="Arial"/>
                <w:sz w:val="17"/>
                <w:szCs w:val="17"/>
                <w:color w:val="auto"/>
              </w:rPr>
              <w:t>Distributions on earnings from unconsolidated entities</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200</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(Gain on)/impairment of investments in unconsolidated entities, net (Note 7)</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(267)</w:t>
            </w:r>
          </w:p>
        </w:tc>
      </w:tr>
      <w:tr>
        <w:trPr>
          <w:trHeight w:val="225"/>
        </w:trPr>
        <w:tc>
          <w:tcPr>
            <w:tcW w:w="8240" w:type="dxa"/>
            <w:vAlign w:val="bottom"/>
          </w:tcPr>
          <w:p>
            <w:pPr>
              <w:ind w:left="1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12</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assets and liabilities, net of acquisitions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w:t>
            </w:r>
          </w:p>
        </w:tc>
      </w:tr>
      <w:tr>
        <w:trPr>
          <w:trHeight w:val="219"/>
        </w:trPr>
        <w:tc>
          <w:tcPr>
            <w:tcW w:w="8240" w:type="dxa"/>
            <w:vAlign w:val="bottom"/>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974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1,464</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Cash paid in connection with acquisitions, net of cash acquired (Note 14)</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(47)</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(259)</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Additions to property, equipment and other</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(642)</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sales of assets (Note 14)</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Cash paid for purchases of linefill and base gas</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(24)</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w:t>
            </w:r>
          </w:p>
        </w:tc>
      </w:tr>
      <w:tr>
        <w:trPr>
          <w:trHeight w:val="219"/>
        </w:trPr>
        <w:tc>
          <w:tcPr>
            <w:tcW w:w="8240" w:type="dxa"/>
            <w:vAlign w:val="bottom"/>
          </w:tcPr>
          <w:p>
            <w:pPr>
              <w:ind w:left="34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(858)</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(978)</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Net borrowings/(repayments) under commercial paper program (Note 8)</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218</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borrowings/(repayments) under senior secured hedged inventory facility (Note 8)</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Proceeds from the issuance of senior notes (Note 8)</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Repayments of senior notes (Note 8)</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Distributions paid to Series A preferred unitholders (Note 9)</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(74)</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Distributions paid to Series B preferred unitholders (Note 9)</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Distributions paid to common unitholders (Note 9)</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(480)</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 of noncontrolling interest in a subsidiary</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128</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Other financing activities</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45</w:t>
            </w:r>
          </w:p>
        </w:tc>
      </w:tr>
      <w:tr>
        <w:trPr>
          <w:trHeight w:val="31"/>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(88)</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Effect of translation adjustment</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(3)</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395</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34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66</w:t>
            </w:r>
          </w:p>
        </w:tc>
      </w:tr>
      <w:tr>
        <w:trPr>
          <w:trHeight w:val="31"/>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and restricted cash, end of period</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461</w:t>
            </w:r>
          </w:p>
        </w:tc>
      </w:tr>
      <w:tr>
        <w:trPr>
          <w:trHeight w:val="21"/>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6"/>
        </w:trPr>
        <w:tc>
          <w:tcPr>
            <w:tcW w:w="8240" w:type="dxa"/>
            <w:vAlign w:val="bottom"/>
          </w:tcPr>
          <w:p>
            <w:pPr>
              <w:ind w:left="120"/>
              <w:spacing w:after="0"/>
              <w:rPr>
                <w:sz w:val="20"/>
                <w:szCs w:val="20"/>
                <w:color w:val="auto"/>
              </w:rPr>
            </w:pPr>
            <w:r>
              <w:rPr>
                <w:rFonts w:ascii="Arial" w:cs="Arial" w:eastAsia="Arial" w:hAnsi="Arial"/>
                <w:sz w:val="17"/>
                <w:szCs w:val="17"/>
                <w:color w:val="auto"/>
              </w:rPr>
              <w:t>Interest, net of amounts capitalized</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188</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taxes, net of amounts refunded</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86</w:t>
            </w:r>
          </w:p>
        </w:tc>
      </w:tr>
      <w:tr>
        <w:trPr>
          <w:trHeight w:val="31"/>
        </w:trPr>
        <w:tc>
          <w:tcPr>
            <w:tcW w:w="8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8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852"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80" w:right="194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30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restart"/>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9"/>
        </w:trPr>
        <w:tc>
          <w:tcPr>
            <w:tcW w:w="3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38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Preferred Unitholders</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rPr>
              <w:t>Common</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Noncontrolling</w:t>
            </w:r>
          </w:p>
        </w:tc>
        <w:tc>
          <w:tcPr>
            <w:tcW w:w="220" w:type="dxa"/>
            <w:vAlign w:val="bottom"/>
          </w:tcPr>
          <w:p>
            <w:pPr>
              <w:spacing w:after="0"/>
              <w:rPr>
                <w:sz w:val="9"/>
                <w:szCs w:val="9"/>
                <w:color w:val="auto"/>
              </w:rPr>
            </w:pPr>
          </w:p>
        </w:tc>
        <w:tc>
          <w:tcPr>
            <w:tcW w:w="1040" w:type="dxa"/>
            <w:vAlign w:val="bottom"/>
          </w:tcPr>
          <w:p>
            <w:pPr>
              <w:jc w:val="center"/>
              <w:ind w:right="136"/>
              <w:spacing w:after="0" w:line="111" w:lineRule="exact"/>
              <w:rPr>
                <w:sz w:val="20"/>
                <w:szCs w:val="20"/>
                <w:color w:val="auto"/>
              </w:rPr>
            </w:pPr>
            <w:r>
              <w:rPr>
                <w:rFonts w:ascii="Arial" w:cs="Arial" w:eastAsia="Arial" w:hAnsi="Arial"/>
                <w:sz w:val="12"/>
                <w:szCs w:val="12"/>
                <w:b w:val="1"/>
                <w:bCs w:val="1"/>
                <w:color w:val="auto"/>
              </w:rPr>
              <w:t>Partners’</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Series 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Series B</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10,770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13,062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80" w:type="dxa"/>
            <w:vAlign w:val="bottom"/>
          </w:tcPr>
          <w:p>
            <w:pPr>
              <w:ind w:left="120"/>
              <w:spacing w:after="0"/>
              <w:rPr>
                <w:sz w:val="20"/>
                <w:szCs w:val="20"/>
                <w:color w:val="auto"/>
              </w:rPr>
            </w:pPr>
            <w:r>
              <w:rPr>
                <w:rFonts w:ascii="Arial" w:cs="Arial" w:eastAsia="Arial" w:hAnsi="Arial"/>
                <w:sz w:val="18"/>
                <w:szCs w:val="18"/>
                <w:color w:val="auto"/>
              </w:rPr>
              <w:t>Net income/(loss)</w:t>
            </w:r>
          </w:p>
        </w:tc>
        <w:tc>
          <w:tcPr>
            <w:tcW w:w="24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 (Note 9)</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interests (Note 9)</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7,367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9,659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30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restart"/>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9"/>
        </w:trPr>
        <w:tc>
          <w:tcPr>
            <w:tcW w:w="3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38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Preferred Unitholders</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rPr>
              <w:t>Common</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Noncontrolling</w:t>
            </w:r>
          </w:p>
        </w:tc>
        <w:tc>
          <w:tcPr>
            <w:tcW w:w="220" w:type="dxa"/>
            <w:vAlign w:val="bottom"/>
          </w:tcPr>
          <w:p>
            <w:pPr>
              <w:spacing w:after="0"/>
              <w:rPr>
                <w:sz w:val="9"/>
                <w:szCs w:val="9"/>
                <w:color w:val="auto"/>
              </w:rPr>
            </w:pPr>
          </w:p>
        </w:tc>
        <w:tc>
          <w:tcPr>
            <w:tcW w:w="1040" w:type="dxa"/>
            <w:vAlign w:val="bottom"/>
          </w:tcPr>
          <w:p>
            <w:pPr>
              <w:jc w:val="center"/>
              <w:ind w:right="136"/>
              <w:spacing w:after="0" w:line="111" w:lineRule="exact"/>
              <w:rPr>
                <w:sz w:val="20"/>
                <w:szCs w:val="20"/>
                <w:color w:val="auto"/>
              </w:rPr>
            </w:pPr>
            <w:r>
              <w:rPr>
                <w:rFonts w:ascii="Arial" w:cs="Arial" w:eastAsia="Arial" w:hAnsi="Arial"/>
                <w:sz w:val="12"/>
                <w:szCs w:val="12"/>
                <w:b w:val="1"/>
                <w:bCs w:val="1"/>
                <w:color w:val="auto"/>
              </w:rPr>
              <w:t>Partners’</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Series 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Series B</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 (Note 9)</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interests (Note 9)</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7,367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9,659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30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restart"/>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9"/>
        </w:trPr>
        <w:tc>
          <w:tcPr>
            <w:tcW w:w="3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38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Preferred Unitholders</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rPr>
              <w:t>Common</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Noncontrolling</w:t>
            </w:r>
          </w:p>
        </w:tc>
        <w:tc>
          <w:tcPr>
            <w:tcW w:w="220" w:type="dxa"/>
            <w:vAlign w:val="bottom"/>
          </w:tcPr>
          <w:p>
            <w:pPr>
              <w:spacing w:after="0"/>
              <w:rPr>
                <w:sz w:val="9"/>
                <w:szCs w:val="9"/>
                <w:color w:val="auto"/>
              </w:rPr>
            </w:pPr>
          </w:p>
        </w:tc>
        <w:tc>
          <w:tcPr>
            <w:tcW w:w="1040" w:type="dxa"/>
            <w:vAlign w:val="bottom"/>
          </w:tcPr>
          <w:p>
            <w:pPr>
              <w:jc w:val="center"/>
              <w:ind w:right="136"/>
              <w:spacing w:after="0" w:line="111" w:lineRule="exact"/>
              <w:rPr>
                <w:sz w:val="20"/>
                <w:szCs w:val="20"/>
                <w:color w:val="auto"/>
              </w:rPr>
            </w:pPr>
            <w:r>
              <w:rPr>
                <w:rFonts w:ascii="Arial" w:cs="Arial" w:eastAsia="Arial" w:hAnsi="Arial"/>
                <w:sz w:val="12"/>
                <w:szCs w:val="12"/>
                <w:b w:val="1"/>
                <w:bCs w:val="1"/>
                <w:color w:val="auto"/>
              </w:rPr>
              <w:t>Partners’</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Series 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Series B</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9,710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 of noncontrolling interest in a</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subsidiary</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10,649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12,941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30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restart"/>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9"/>
        </w:trPr>
        <w:tc>
          <w:tcPr>
            <w:tcW w:w="3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38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Preferred Unitholders</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rPr>
              <w:t>Common</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Noncontrolling</w:t>
            </w:r>
          </w:p>
        </w:tc>
        <w:tc>
          <w:tcPr>
            <w:tcW w:w="220" w:type="dxa"/>
            <w:vAlign w:val="bottom"/>
          </w:tcPr>
          <w:p>
            <w:pPr>
              <w:spacing w:after="0"/>
              <w:rPr>
                <w:sz w:val="9"/>
                <w:szCs w:val="9"/>
                <w:color w:val="auto"/>
              </w:rPr>
            </w:pPr>
          </w:p>
        </w:tc>
        <w:tc>
          <w:tcPr>
            <w:tcW w:w="1040" w:type="dxa"/>
            <w:vAlign w:val="bottom"/>
          </w:tcPr>
          <w:p>
            <w:pPr>
              <w:jc w:val="center"/>
              <w:ind w:right="136"/>
              <w:spacing w:after="0" w:line="111" w:lineRule="exact"/>
              <w:rPr>
                <w:sz w:val="20"/>
                <w:szCs w:val="20"/>
                <w:color w:val="auto"/>
              </w:rPr>
            </w:pPr>
            <w:r>
              <w:rPr>
                <w:rFonts w:ascii="Arial" w:cs="Arial" w:eastAsia="Arial" w:hAnsi="Arial"/>
                <w:sz w:val="12"/>
                <w:szCs w:val="12"/>
                <w:b w:val="1"/>
                <w:bCs w:val="1"/>
                <w:color w:val="auto"/>
              </w:rPr>
              <w:t>Partners’</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Series A</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Series B</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10,470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12,762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12,762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 of noncontrolling interest in a</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subsidiary</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308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10,649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12,941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7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June 30, 2020, AAP also owned a limited partner interest in us through its ownership of approximately 248.4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June 30, 2020, owned an approximate 75% limited partner interest in AAP. PAA GP Holdings LLC (“PAGP GP”) is the general partner of PAGP.</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ISDA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MMbls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TWh</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2019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2019 was derived from audited financial statements, but does not include all disclosures required by GAAP. The results of operations for the three and six months ended June 30, 2020 should not be taken as indicative of results to be expected for the entire year.</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first quarter of 2020, the novel coronavirus (“COVID-19”) pandemic resulted in a swift and material decline in global crude oil demand, which contributed to an oversupply of crude oil that was exacerbated by increases in production from certain suppliers in the global oil markets. These macroeconomic and industry specific challenges resulted in a number of impairment charges recognized during the first half of 2020. See Note 6 and Note 14 for further discussion of these impairments.</w:t>
      </w:r>
    </w:p>
    <w:p>
      <w:pPr>
        <w:spacing w:after="0" w:line="21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Many uncertainties remain with respect to COVID-19, including uncertainty regarding the length of time the pandemic will continue, as well as the timing, pace and extent of an economic recovery in the United States, Canada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45</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37</w:t>
            </w:r>
          </w:p>
        </w:tc>
      </w:tr>
      <w:tr>
        <w:trPr>
          <w:trHeight w:val="27"/>
        </w:trPr>
        <w:tc>
          <w:tcPr>
            <w:tcW w:w="8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right="140" w:firstLine="648"/>
        <w:spacing w:after="0" w:line="308" w:lineRule="auto"/>
        <w:rPr>
          <w:sz w:val="20"/>
          <w:szCs w:val="20"/>
          <w:color w:val="auto"/>
        </w:rPr>
      </w:pPr>
      <w:r>
        <w:rPr>
          <w:rFonts w:ascii="Arial" w:cs="Arial" w:eastAsia="Arial" w:hAnsi="Arial"/>
          <w:sz w:val="17"/>
          <w:szCs w:val="17"/>
          <w:color w:val="auto"/>
        </w:rPr>
        <w:t>Except as discussed below and in our 2019 Annual Report on Form 10-K, there have been no new accounting pronouncements that have become effective or have been issued during the six months ended June 30, 2020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adopted the ASUs listed below effective January 1, 2020 and our adoption did not have a material impact on our financial position, results of operations or cash flows (see Note 2 to our Consolidated Financial Statements included in Part IV of our 2019 Annual Report on Form 10-K for additional information regarding these ASUs):</w:t>
      </w:r>
    </w:p>
    <w:p>
      <w:pPr>
        <w:spacing w:after="0" w:line="211" w:lineRule="exact"/>
        <w:rPr>
          <w:sz w:val="20"/>
          <w:szCs w:val="20"/>
          <w:color w:val="auto"/>
        </w:rPr>
      </w:pPr>
    </w:p>
    <w:p>
      <w:pPr>
        <w:ind w:left="820" w:right="80" w:hanging="164"/>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2019-04, Codification Improvements to Topic 326, Financial Instruments—Credit Losses, Topic 815, Derivatives and Hedging, and Topic 825, Financial Instruments;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2018-17, Consolidation (Topic 810): Targeted Improvements to Related Party Guidance for Variable Interest Entities;</w:t>
      </w:r>
    </w:p>
    <w:p>
      <w:pPr>
        <w:spacing w:after="0" w:line="117" w:lineRule="exact"/>
        <w:rPr>
          <w:rFonts w:ascii="Arial" w:cs="Arial" w:eastAsia="Arial" w:hAnsi="Arial"/>
          <w:sz w:val="18"/>
          <w:szCs w:val="18"/>
          <w:color w:val="auto"/>
        </w:rPr>
      </w:pPr>
    </w:p>
    <w:p>
      <w:pPr>
        <w:ind w:left="820" w:right="100" w:hanging="164"/>
        <w:spacing w:after="0" w:line="308" w:lineRule="auto"/>
        <w:tabs>
          <w:tab w:leader="none" w:pos="815" w:val="left"/>
        </w:tabs>
        <w:numPr>
          <w:ilvl w:val="0"/>
          <w:numId w:val="3"/>
        </w:numPr>
        <w:rPr>
          <w:rFonts w:ascii="Arial" w:cs="Arial" w:eastAsia="Arial" w:hAnsi="Arial"/>
          <w:sz w:val="17"/>
          <w:szCs w:val="17"/>
          <w:color w:val="auto"/>
        </w:rPr>
      </w:pPr>
      <w:r>
        <w:rPr>
          <w:rFonts w:ascii="Arial" w:cs="Arial" w:eastAsia="Arial" w:hAnsi="Arial"/>
          <w:sz w:val="17"/>
          <w:szCs w:val="17"/>
          <w:color w:val="auto"/>
        </w:rPr>
        <w:t>ASU 2018-15, Intangibles—Goodwill and Other—Internal-Use Software (Subtopic 350-40): Customer’s Accounting for Implementation Costs Incurred in a Cloud Computing Arrangement That Is a Service Contract (a consensus of the FASB Emerging Issues Task Force);</w:t>
      </w:r>
    </w:p>
    <w:p>
      <w:pPr>
        <w:spacing w:after="0" w:line="38" w:lineRule="exact"/>
        <w:rPr>
          <w:rFonts w:ascii="Arial" w:cs="Arial" w:eastAsia="Arial" w:hAnsi="Arial"/>
          <w:sz w:val="17"/>
          <w:szCs w:val="17"/>
          <w:color w:val="auto"/>
        </w:rPr>
      </w:pPr>
    </w:p>
    <w:p>
      <w:pPr>
        <w:ind w:left="820" w:right="780" w:hanging="164"/>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2018-13, Fair Value Measurement (Topic 820): Disclosure Framework—Changes to the Disclosure Requirements for Fair Value Measurement; and</w:t>
      </w:r>
    </w:p>
    <w:p>
      <w:pPr>
        <w:spacing w:after="0" w:line="62" w:lineRule="exact"/>
        <w:rPr>
          <w:rFonts w:ascii="Arial" w:cs="Arial" w:eastAsia="Arial" w:hAnsi="Arial"/>
          <w:sz w:val="18"/>
          <w:szCs w:val="18"/>
          <w:color w:val="auto"/>
        </w:rPr>
      </w:pPr>
    </w:p>
    <w:p>
      <w:pPr>
        <w:ind w:left="820" w:right="140" w:hanging="164"/>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2016-13, Financial Instruments—Credit Losses (Topic 326): Measurement of Credit Losses on Financial Instruments (along with a series of related ASUs).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Issued During the Period</w:t>
      </w:r>
    </w:p>
    <w:p>
      <w:pPr>
        <w:spacing w:after="0" w:line="25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 xml:space="preserve">In March 2020, the FASB issued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GAAP to contracts, hedging relationships and other transactions that 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LIBOR or another reference rate expected to be discontinued because of reference rate reform. This guidance is effective prospectively upon issuance through December 31, 2022 and may be applied from the beginning of an interim period that includes the issuance date of this ASU. We are currently evaluating the effect that this guidance will have on our financial position,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2019 Annual Report on Form 10-K for additional information regarding our types of revenues and policies for revenue recognition.</w:t>
      </w:r>
    </w:p>
    <w:p>
      <w:pPr>
        <w:spacing w:after="0" w:line="214"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Supply and Logistics segment revenues from contracts with customers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7,595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14,532</w:t>
            </w: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1,178</w:t>
            </w:r>
          </w:p>
        </w:tc>
      </w:tr>
      <w:tr>
        <w:trPr>
          <w:trHeight w:val="263"/>
        </w:trPr>
        <w:tc>
          <w:tcPr>
            <w:tcW w:w="5840" w:type="dxa"/>
            <w:vAlign w:val="bottom"/>
          </w:tcPr>
          <w:p>
            <w:pPr>
              <w:ind w:left="20"/>
              <w:spacing w:after="0"/>
              <w:rPr>
                <w:sz w:val="20"/>
                <w:szCs w:val="20"/>
                <w:color w:val="auto"/>
              </w:rPr>
            </w:pPr>
            <w:r>
              <w:rPr>
                <w:rFonts w:ascii="Arial" w:cs="Arial" w:eastAsia="Arial" w:hAnsi="Arial"/>
                <w:sz w:val="18"/>
                <w:szCs w:val="18"/>
                <w:color w:val="auto"/>
                <w:w w:val="95"/>
              </w:rPr>
              <w:t>Total Supply and Logistics segment revenues from contracts with customers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7,864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10,806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15,710</w:t>
            </w: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24"/>
        </w:trPr>
        <w:tc>
          <w:tcPr>
            <w:tcW w:w="5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971</w:t>
            </w:r>
          </w:p>
        </w:tc>
      </w:tr>
      <w:tr>
        <w:trPr>
          <w:trHeight w:val="243"/>
        </w:trPr>
        <w:tc>
          <w:tcPr>
            <w:tcW w:w="5840" w:type="dxa"/>
            <w:vAlign w:val="bottom"/>
          </w:tcPr>
          <w:p>
            <w:pPr>
              <w:ind w:left="220"/>
              <w:spacing w:after="0"/>
              <w:rPr>
                <w:sz w:val="20"/>
                <w:szCs w:val="20"/>
                <w:color w:val="auto"/>
              </w:rPr>
            </w:pPr>
            <w:r>
              <w:rPr>
                <w:rFonts w:ascii="Arial" w:cs="Arial" w:eastAsia="Arial" w:hAnsi="Arial"/>
                <w:sz w:val="18"/>
                <w:szCs w:val="18"/>
                <w:color w:val="auto"/>
              </w:rPr>
              <w:t>NGL pipelines</w:t>
            </w:r>
          </w:p>
        </w:tc>
        <w:tc>
          <w:tcPr>
            <w:tcW w:w="300" w:type="dxa"/>
            <w:vAlign w:val="bottom"/>
          </w:tcPr>
          <w:p>
            <w:pPr>
              <w:spacing w:after="0"/>
              <w:rPr>
                <w:sz w:val="21"/>
                <w:szCs w:val="21"/>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50</w:t>
            </w: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tariff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1,021</w:t>
            </w: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Trucking</w:t>
            </w:r>
          </w:p>
        </w:tc>
        <w:tc>
          <w:tcPr>
            <w:tcW w:w="300" w:type="dxa"/>
            <w:vAlign w:val="bottom"/>
          </w:tcPr>
          <w:p>
            <w:pPr>
              <w:spacing w:after="0"/>
              <w:rPr>
                <w:sz w:val="21"/>
                <w:szCs w:val="21"/>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74</w:t>
            </w: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1,095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5"/>
        </w:trPr>
        <w:tc>
          <w:tcPr>
            <w:tcW w:w="5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Crude oil, NGL and other terminalling and storage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349</w:t>
            </w: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natural gas processing and fractionation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175</w:t>
            </w: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Rail load / unload</w:t>
            </w:r>
          </w:p>
        </w:tc>
        <w:tc>
          <w:tcPr>
            <w:tcW w:w="300" w:type="dxa"/>
            <w:vAlign w:val="bottom"/>
          </w:tcPr>
          <w:p>
            <w:pPr>
              <w:spacing w:after="0"/>
              <w:rPr>
                <w:sz w:val="21"/>
                <w:szCs w:val="21"/>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39</w:t>
            </w: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563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tables present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2020</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7,915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10,806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12,401</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17,368</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June 30, 2020 and December 31, 2019, counterparty deficiencies associated with contracts with customers and buy/sell arrangements that include minimum volume commitments for which we have remaining performance obligations and the customers still have the ability to meet their obligations totaled $50 million and $42 million, respectively. Billed counterparty deficiencies of $19 million and $22 million at June 30, 2020 and December 31, 2019, respectively, were recorded as a liability. Unbilled counterparty deficiencies of $31 million and $20 million at June 30, 2020 and December 31, 2019, respectively, were not reflected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Topic 606 contract liability balance during the six months ended June 30, 2020 (in millions):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Contract Liabilities</w:t>
            </w:r>
          </w:p>
        </w:tc>
      </w:tr>
      <w:tr>
        <w:trPr>
          <w:trHeight w:val="295"/>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center"/>
              <w:ind w:left="1054"/>
              <w:spacing w:after="0"/>
              <w:rPr>
                <w:sz w:val="20"/>
                <w:szCs w:val="20"/>
                <w:color w:val="auto"/>
              </w:rPr>
            </w:pPr>
            <w:r>
              <w:rPr>
                <w:rFonts w:ascii="Arial" w:cs="Arial" w:eastAsia="Arial" w:hAnsi="Arial"/>
                <w:sz w:val="18"/>
                <w:szCs w:val="18"/>
                <w:color w:val="auto"/>
                <w:w w:val="86"/>
              </w:rPr>
              <w:t>354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20" w:type="dxa"/>
            <w:vAlign w:val="bottom"/>
          </w:tcPr>
          <w:p>
            <w:pPr>
              <w:ind w:left="100"/>
              <w:spacing w:after="0"/>
              <w:rPr>
                <w:sz w:val="20"/>
                <w:szCs w:val="20"/>
                <w:color w:val="auto"/>
              </w:rPr>
            </w:pPr>
            <w:r>
              <w:rPr>
                <w:rFonts w:ascii="Arial" w:cs="Arial" w:eastAsia="Arial" w:hAnsi="Arial"/>
                <w:sz w:val="18"/>
                <w:szCs w:val="18"/>
                <w:color w:val="auto"/>
              </w:rPr>
              <w:t>Amounts recognized as revenue</w:t>
            </w:r>
          </w:p>
        </w:tc>
        <w:tc>
          <w:tcPr>
            <w:tcW w:w="240" w:type="dxa"/>
            <w:vAlign w:val="bottom"/>
          </w:tcPr>
          <w:p>
            <w:pPr>
              <w:spacing w:after="0"/>
              <w:rPr>
                <w:sz w:val="18"/>
                <w:szCs w:val="18"/>
                <w:color w:val="auto"/>
              </w:rPr>
            </w:pPr>
          </w:p>
        </w:tc>
        <w:tc>
          <w:tcPr>
            <w:tcW w:w="1720" w:type="dxa"/>
            <w:vAlign w:val="bottom"/>
          </w:tcPr>
          <w:p>
            <w:pPr>
              <w:jc w:val="center"/>
              <w:ind w:left="1034"/>
              <w:spacing w:after="0"/>
              <w:rPr>
                <w:sz w:val="20"/>
                <w:szCs w:val="20"/>
                <w:color w:val="auto"/>
              </w:rPr>
            </w:pPr>
            <w:r>
              <w:rPr>
                <w:rFonts w:ascii="Arial" w:cs="Arial" w:eastAsia="Arial" w:hAnsi="Arial"/>
                <w:sz w:val="18"/>
                <w:szCs w:val="18"/>
                <w:color w:val="auto"/>
                <w:w w:val="95"/>
              </w:rPr>
              <w:t>(245)</w:t>
            </w:r>
          </w:p>
        </w:tc>
      </w:tr>
      <w:tr>
        <w:trPr>
          <w:trHeight w:val="27"/>
        </w:trPr>
        <w:tc>
          <w:tcPr>
            <w:tcW w:w="9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center"/>
              <w:ind w:left="1054"/>
              <w:spacing w:after="0"/>
              <w:rPr>
                <w:sz w:val="20"/>
                <w:szCs w:val="20"/>
                <w:color w:val="auto"/>
              </w:rPr>
            </w:pPr>
            <w:r>
              <w:rPr>
                <w:rFonts w:ascii="Arial" w:cs="Arial" w:eastAsia="Arial" w:hAnsi="Arial"/>
                <w:sz w:val="18"/>
                <w:szCs w:val="18"/>
                <w:color w:val="auto"/>
                <w:w w:val="86"/>
              </w:rPr>
              <w:t>193</w:t>
            </w:r>
          </w:p>
        </w:tc>
      </w:tr>
      <w:tr>
        <w:trPr>
          <w:trHeight w:val="264"/>
        </w:trPr>
        <w:tc>
          <w:tcPr>
            <w:tcW w:w="92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center"/>
              <w:ind w:left="1054"/>
              <w:spacing w:after="0"/>
              <w:rPr>
                <w:sz w:val="20"/>
                <w:szCs w:val="20"/>
                <w:color w:val="auto"/>
              </w:rPr>
            </w:pPr>
            <w:r>
              <w:rPr>
                <w:rFonts w:ascii="Arial" w:cs="Arial" w:eastAsia="Arial" w:hAnsi="Arial"/>
                <w:sz w:val="18"/>
                <w:szCs w:val="18"/>
                <w:color w:val="auto"/>
                <w:w w:val="86"/>
              </w:rPr>
              <w:t>302</w:t>
            </w: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$155 million associated with crude oil sales agreements that are entered into in conjunction with storage arrangements and future inventory exchanges. Such amount is expected to be recognized as revenue in the third quarter of 2020.</w:t>
      </w:r>
    </w:p>
    <w:p>
      <w:pPr>
        <w:spacing w:after="0" w:line="28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June 30, 2020 (in millions):</w:t>
      </w:r>
    </w:p>
    <w:p>
      <w:pPr>
        <w:spacing w:after="0" w:line="237" w:lineRule="exact"/>
        <w:rPr>
          <w:sz w:val="20"/>
          <w:szCs w:val="20"/>
          <w:color w:val="auto"/>
        </w:rPr>
      </w:pPr>
    </w:p>
    <w:tbl>
      <w:tblPr>
        <w:tblLayout w:type="fixed"/>
        <w:tblInd w:w="4380" w:type="dxa"/>
        <w:tblCellMar>
          <w:top w:w="0" w:type="dxa"/>
          <w:left w:w="0" w:type="dxa"/>
          <w:bottom w:w="0" w:type="dxa"/>
          <w:right w:w="0" w:type="dxa"/>
        </w:tblCellMar>
      </w:tblPr>
      <w:tr>
        <w:trPr>
          <w:trHeight w:val="161"/>
        </w:trPr>
        <w:tc>
          <w:tcPr>
            <w:tcW w:w="1140" w:type="dxa"/>
            <w:vAlign w:val="bottom"/>
          </w:tcPr>
          <w:p>
            <w:pPr>
              <w:jc w:val="center"/>
              <w:ind w:right="228"/>
              <w:spacing w:after="0"/>
              <w:rPr>
                <w:sz w:val="20"/>
                <w:szCs w:val="20"/>
                <w:color w:val="auto"/>
              </w:rPr>
            </w:pPr>
            <w:r>
              <w:rPr>
                <w:rFonts w:ascii="Arial" w:cs="Arial" w:eastAsia="Arial" w:hAnsi="Arial"/>
                <w:sz w:val="14"/>
                <w:szCs w:val="14"/>
                <w:b w:val="1"/>
                <w:bCs w:val="1"/>
                <w:color w:val="auto"/>
                <w:w w:val="93"/>
              </w:rPr>
              <w:t>Remainder of</w:t>
            </w: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1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1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2025 and</w:t>
            </w:r>
          </w:p>
        </w:tc>
        <w:tc>
          <w:tcPr>
            <w:tcW w:w="0" w:type="dxa"/>
            <w:vAlign w:val="bottom"/>
          </w:tcPr>
          <w:p>
            <w:pPr>
              <w:spacing w:after="0"/>
              <w:rPr>
                <w:sz w:val="1"/>
                <w:szCs w:val="1"/>
                <w:color w:val="auto"/>
              </w:rPr>
            </w:pPr>
          </w:p>
        </w:tc>
      </w:tr>
      <w:tr>
        <w:trPr>
          <w:trHeight w:val="186"/>
        </w:trPr>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5" w:right="359" w:bottom="1440" w:gutter="0" w:footer="0" w:header="0"/>
        </w:sectPr>
      </w:pPr>
    </w:p>
    <w:tbl>
      <w:tblPr>
        <w:tblLayout w:type="fixed"/>
        <w:tblInd w:w="80" w:type="dxa"/>
        <w:tblCellMar>
          <w:top w:w="0" w:type="dxa"/>
          <w:left w:w="0" w:type="dxa"/>
          <w:bottom w:w="0" w:type="dxa"/>
          <w:right w:w="0" w:type="dxa"/>
        </w:tblCellMar>
      </w:tblPr>
      <w:tr>
        <w:trPr>
          <w:trHeight w:val="187"/>
        </w:trPr>
        <w:tc>
          <w:tcPr>
            <w:tcW w:w="4160" w:type="dxa"/>
            <w:vAlign w:val="bottom"/>
          </w:tcPr>
          <w:p>
            <w:pPr>
              <w:spacing w:after="0" w:line="188"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9"/>
        </w:trPr>
        <w:tc>
          <w:tcPr>
            <w:tcW w:w="4160" w:type="dxa"/>
            <w:vAlign w:val="bottom"/>
          </w:tcPr>
          <w:p>
            <w:pPr>
              <w:ind w:left="160"/>
              <w:spacing w:after="0"/>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89"/>
              </w:rPr>
              <w:t>Storage, terminalling and throughput agreement revenues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16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459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580</w:t>
            </w:r>
          </w:p>
        </w:tc>
      </w:tr>
      <w:tr>
        <w:trPr>
          <w:trHeight w:val="270"/>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216</w:t>
            </w:r>
          </w:p>
        </w:tc>
        <w:tc>
          <w:tcPr>
            <w:tcW w:w="36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416</w:t>
            </w:r>
          </w:p>
        </w:tc>
      </w:tr>
      <w:tr>
        <w:trPr>
          <w:trHeight w:val="27"/>
        </w:trPr>
        <w:tc>
          <w:tcPr>
            <w:tcW w:w="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294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996</w:t>
            </w:r>
          </w:p>
        </w:tc>
      </w:tr>
      <w:tr>
        <w:trPr>
          <w:trHeight w:val="27"/>
        </w:trPr>
        <w:tc>
          <w:tcPr>
            <w:tcW w:w="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
        </w:trPr>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-213995</wp:posOffset>
            </wp:positionV>
            <wp:extent cx="706374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3740" cy="21463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-642620</wp:posOffset>
            </wp:positionV>
            <wp:extent cx="706374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540"/>
            <w:col w:w="6320"/>
          </w:cols>
          <w:pgMar w:left="320" w:top="125" w:right="35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88"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During the first quarter of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June 30, 2020 and December 31, 2019, substantially all of our trade accounts receivable were less than 30 days past their scheduled invoice date. Our expected credit losses are immaterial. Although we consider our credit procedures to be adequate to mitigate any significant credit losses, given the sharp decline in demand for crude oil and the drop in prices, the actual amount of current and future credit losses could vary significantly from estimated amounts.</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2"/>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93"/>
              </w:rPr>
              <w:t>1,588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3,381</w:t>
            </w: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020" w:type="dxa"/>
            <w:vAlign w:val="bottom"/>
          </w:tcPr>
          <w:p>
            <w:pPr>
              <w:jc w:val="center"/>
              <w:ind w:left="236"/>
              <w:spacing w:after="0"/>
              <w:rPr>
                <w:sz w:val="20"/>
                <w:szCs w:val="20"/>
                <w:color w:val="auto"/>
              </w:rPr>
            </w:pPr>
            <w:r>
              <w:rPr>
                <w:rFonts w:ascii="Arial" w:cs="Arial" w:eastAsia="Arial" w:hAnsi="Arial"/>
                <w:sz w:val="18"/>
                <w:szCs w:val="18"/>
                <w:color w:val="auto"/>
                <w:w w:val="93"/>
              </w:rPr>
              <w:t>1,891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left="90"/>
              <w:spacing w:after="0"/>
              <w:rPr>
                <w:sz w:val="20"/>
                <w:szCs w:val="20"/>
                <w:color w:val="auto"/>
              </w:rPr>
            </w:pPr>
            <w:r>
              <w:rPr>
                <w:rFonts w:ascii="Arial" w:cs="Arial" w:eastAsia="Arial" w:hAnsi="Arial"/>
                <w:sz w:val="18"/>
                <w:szCs w:val="18"/>
                <w:color w:val="auto"/>
                <w:w w:val="88"/>
              </w:rPr>
              <w:t>3,576</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91"/>
              </w:rPr>
              <w:t>(1,560)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(3,343)</w:t>
            </w:r>
          </w:p>
        </w:tc>
        <w:tc>
          <w:tcPr>
            <w:tcW w:w="0" w:type="dxa"/>
            <w:vAlign w:val="bottom"/>
          </w:tcPr>
          <w:p>
            <w:pPr>
              <w:spacing w:after="0"/>
              <w:rPr>
                <w:sz w:val="1"/>
                <w:szCs w:val="1"/>
                <w:color w:val="auto"/>
              </w:rPr>
            </w:pPr>
          </w:p>
        </w:tc>
      </w:tr>
      <w:tr>
        <w:trPr>
          <w:trHeight w:val="263"/>
        </w:trPr>
        <w:tc>
          <w:tcPr>
            <w:tcW w:w="8600" w:type="dxa"/>
            <w:vAlign w:val="bottom"/>
          </w:tcPr>
          <w:p>
            <w:pPr>
              <w:ind w:left="120"/>
              <w:spacing w:after="0"/>
              <w:rPr>
                <w:sz w:val="20"/>
                <w:szCs w:val="20"/>
                <w:color w:val="auto"/>
              </w:rPr>
            </w:pPr>
            <w:r>
              <w:rPr>
                <w:rFonts w:ascii="Arial" w:cs="Arial" w:eastAsia="Arial" w:hAnsi="Arial"/>
                <w:sz w:val="18"/>
                <w:szCs w:val="18"/>
                <w:color w:val="auto"/>
              </w:rPr>
              <w:t>Trade accounts receivable and other receivables,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center"/>
              <w:ind w:left="236"/>
              <w:spacing w:after="0"/>
              <w:rPr>
                <w:sz w:val="20"/>
                <w:szCs w:val="20"/>
                <w:color w:val="auto"/>
              </w:rPr>
            </w:pPr>
            <w:r>
              <w:rPr>
                <w:rFonts w:ascii="Arial" w:cs="Arial" w:eastAsia="Arial" w:hAnsi="Arial"/>
                <w:sz w:val="18"/>
                <w:szCs w:val="18"/>
                <w:color w:val="auto"/>
                <w:w w:val="93"/>
              </w:rPr>
              <w:t>1,919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3,614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Common Unit</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calculate basic and diluted net income/(loss) per common unit by dividing net income/(loss) attributable to PAA (after deducting amounts allocated to preferred unitholders and participating securities) by the basic and diluted weighted average number of common units outstanding during the period. Participating securities include LTIP awards that have vested distribution equivalent rights, which entitle the grantee to a cash payment equal to the cash distribution paid on our outstanding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When applying the if-converted method prescribed by FASB guidance, the possible conversion of approximately 71 million Series A preferred units, on a weighted-average basis, were excluded from the calculation of diluted net income/(loss) per common unit for the three and six months ended June 30, 2020 as the effect was antidilutive for each period. 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were deemed to be dilutive during the three and six months ended June 30, 2020 and 2019 were reduced by a hypothetical common unit repurchase based on the remaining unamortized fair value, as prescribed by the treasury stock method in guidance issued by the FASB. For the three months ended June 30, 2020, such LTIP awards were dilutive; however, the approximately 0.1 million dilutive LTIP awards, on a weighted-average basis, did not change the presentation of diluted weighted average common units outstanding or diluted net income per common unit. Potentially dilutive LTIP awards of approximately 0.5 million, on a weighted-average basis, were excluded from the computation of diluted net loss per common unit for the six months ended June 30, 2020 as the effect was antidilutive. See Note 18 to our Consolidated Financial Statements included in Part IV of our 2019 Annual Report on Form 10-K for a complete discussion of our equity-indexed compensation plan awards.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common unit (in millions, except per unit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50"/>
        </w:trPr>
        <w:tc>
          <w:tcPr>
            <w:tcW w:w="3880" w:type="dxa"/>
            <w:vAlign w:val="bottom"/>
            <w:tcBorders>
              <w:bottom w:val="single" w:sz="8" w:color="CCEEFF"/>
            </w:tcBorders>
          </w:tcPr>
          <w:p>
            <w:pPr>
              <w:spacing w:after="0"/>
              <w:rPr>
                <w:sz w:val="21"/>
                <w:szCs w:val="21"/>
                <w:color w:val="auto"/>
              </w:rPr>
            </w:pPr>
          </w:p>
        </w:tc>
        <w:tc>
          <w:tcPr>
            <w:tcW w:w="19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36"/>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Common Unit</w:t>
            </w: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income/(loss) attributable to PAA</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1,416</w:t>
            </w:r>
          </w:p>
        </w:tc>
      </w:tr>
      <w:tr>
        <w:trPr>
          <w:trHeight w:val="27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70"/>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780" w:type="dxa"/>
            <w:vAlign w:val="bottom"/>
          </w:tcPr>
          <w:p>
            <w:pPr>
              <w:spacing w:after="0"/>
              <w:rPr>
                <w:sz w:val="23"/>
                <w:szCs w:val="23"/>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89"/>
        </w:trPr>
        <w:tc>
          <w:tcPr>
            <w:tcW w:w="58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78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(2,805)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1,311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727</w:t>
            </w:r>
          </w:p>
        </w:tc>
      </w:tr>
      <w:tr>
        <w:trPr>
          <w:trHeight w:val="257"/>
        </w:trPr>
        <w:tc>
          <w:tcPr>
            <w:tcW w:w="38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95"/>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net income/(loss) per common unit</w:t>
            </w: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1"/>
              </w:rPr>
              <w:t>0.13</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0.54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Common Unit</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income/(loss) attributable to PAA</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1,416</w:t>
            </w:r>
          </w:p>
        </w:tc>
      </w:tr>
      <w:tr>
        <w:trPr>
          <w:trHeight w:val="270"/>
        </w:trPr>
        <w:tc>
          <w:tcPr>
            <w:tcW w:w="5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Distributions to Series A preferred unitholders</w:t>
            </w: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gridSpan w:val="2"/>
          </w:tcPr>
          <w:p>
            <w:pPr>
              <w:ind w:left="400"/>
              <w:spacing w:after="0"/>
              <w:rPr>
                <w:sz w:val="20"/>
                <w:szCs w:val="20"/>
                <w:color w:val="auto"/>
              </w:rPr>
            </w:pPr>
            <w:r>
              <w:rPr>
                <w:rFonts w:ascii="Arial" w:cs="Arial" w:eastAsia="Arial" w:hAnsi="Arial"/>
                <w:sz w:val="18"/>
                <w:szCs w:val="18"/>
                <w:color w:val="auto"/>
              </w:rPr>
              <w:t>Distributions to Series B preferred unitholders</w:t>
            </w:r>
          </w:p>
        </w:tc>
        <w:tc>
          <w:tcPr>
            <w:tcW w:w="780" w:type="dxa"/>
            <w:vAlign w:val="bottom"/>
          </w:tcPr>
          <w:p>
            <w:pPr>
              <w:spacing w:after="0"/>
              <w:rPr>
                <w:sz w:val="23"/>
                <w:szCs w:val="23"/>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5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Distributions to participating securities</w:t>
            </w:r>
          </w:p>
        </w:tc>
        <w:tc>
          <w:tcPr>
            <w:tcW w:w="7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 xml:space="preserve">Net income allocated/(loss) to common unitholders </w:t>
            </w:r>
            <w:r>
              <w:rPr>
                <w:rFonts w:ascii="Arial" w:cs="Arial" w:eastAsia="Arial" w:hAnsi="Arial"/>
                <w:sz w:val="23"/>
                <w:szCs w:val="23"/>
                <w:color w:val="auto"/>
                <w:vertAlign w:val="superscript"/>
              </w:rPr>
              <w:t>(1)</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1,389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Pr>
          <w:p>
            <w:pPr>
              <w:spacing w:after="0"/>
              <w:rPr>
                <w:sz w:val="23"/>
                <w:szCs w:val="23"/>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727</w:t>
            </w:r>
          </w:p>
        </w:tc>
      </w:tr>
      <w:tr>
        <w:trPr>
          <w:trHeight w:val="230"/>
        </w:trPr>
        <w:tc>
          <w:tcPr>
            <w:tcW w:w="5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Effect of dilutive securities: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70"/>
        </w:trPr>
        <w:tc>
          <w:tcPr>
            <w:tcW w:w="5840" w:type="dxa"/>
            <w:vAlign w:val="bottom"/>
            <w:gridSpan w:val="2"/>
          </w:tcPr>
          <w:p>
            <w:pPr>
              <w:ind w:left="400"/>
              <w:spacing w:after="0"/>
              <w:rPr>
                <w:sz w:val="20"/>
                <w:szCs w:val="20"/>
                <w:color w:val="auto"/>
              </w:rPr>
            </w:pPr>
            <w:r>
              <w:rPr>
                <w:rFonts w:ascii="Arial" w:cs="Arial" w:eastAsia="Arial" w:hAnsi="Arial"/>
                <w:sz w:val="18"/>
                <w:szCs w:val="18"/>
                <w:color w:val="auto"/>
              </w:rPr>
              <w:t>Series A preferred units</w:t>
            </w:r>
          </w:p>
        </w:tc>
        <w:tc>
          <w:tcPr>
            <w:tcW w:w="780" w:type="dxa"/>
            <w:vAlign w:val="bottom"/>
          </w:tcPr>
          <w:p>
            <w:pPr>
              <w:spacing w:after="0"/>
              <w:rPr>
                <w:sz w:val="23"/>
                <w:szCs w:val="2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71</w:t>
            </w:r>
          </w:p>
        </w:tc>
      </w:tr>
      <w:tr>
        <w:trPr>
          <w:trHeight w:val="270"/>
        </w:trPr>
        <w:tc>
          <w:tcPr>
            <w:tcW w:w="5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Equity-indexed compensation plan awards</w:t>
            </w:r>
          </w:p>
        </w:tc>
        <w:tc>
          <w:tcPr>
            <w:tcW w:w="7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7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800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Diluted net income/(loss) per common unit</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1"/>
              </w:rPr>
              <w:t>0.13</w:t>
            </w: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0.54</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1.74</w:t>
            </w:r>
          </w:p>
        </w:tc>
      </w:tr>
      <w:tr>
        <w:trPr>
          <w:trHeight w:val="21"/>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25"/>
        </w:trPr>
        <w:tc>
          <w:tcPr>
            <w:tcW w:w="38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hanging="652"/>
        <w:spacing w:after="0" w:line="273" w:lineRule="auto"/>
        <w:tabs>
          <w:tab w:leader="none" w:pos="64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Price/</w:t>
            </w:r>
          </w:p>
        </w:tc>
        <w:tc>
          <w:tcPr>
            <w:tcW w:w="8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4"/>
                <w:szCs w:val="14"/>
                <w:color w:val="auto"/>
              </w:rPr>
            </w:pPr>
          </w:p>
        </w:tc>
        <w:tc>
          <w:tcPr>
            <w:tcW w:w="74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 xml:space="preserve">Unit </w:t>
            </w:r>
            <w:r>
              <w:rPr>
                <w:rFonts w:ascii="Arial" w:cs="Arial" w:eastAsia="Arial" w:hAnsi="Arial"/>
                <w:sz w:val="9"/>
                <w:szCs w:val="9"/>
                <w:b w:val="1"/>
                <w:bCs w:val="1"/>
                <w:color w:val="auto"/>
                <w:w w:val="99"/>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3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20,306</w:t>
            </w: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512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25.21</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10,923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12.82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right w:val="single" w:sz="8" w:color="auto"/>
            </w:tcBorders>
            <w:gridSpan w:val="2"/>
          </w:tcPr>
          <w:p>
            <w:pPr>
              <w:ind w:left="3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Inventory subtotal</w:t>
            </w: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14,491</w:t>
            </w: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810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55.90</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826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25.53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25,576</w:t>
            </w: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110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4.30</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Linefill and base gas subtotal</w:t>
            </w: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37.86</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152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13.30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7"/>
        </w:trPr>
        <w:tc>
          <w:tcPr>
            <w:tcW w:w="2980" w:type="dxa"/>
            <w:vAlign w:val="bottom"/>
          </w:tcPr>
          <w:p>
            <w:pPr>
              <w:ind w:left="120"/>
              <w:spacing w:after="0"/>
              <w:rPr>
                <w:sz w:val="20"/>
                <w:szCs w:val="20"/>
                <w:color w:val="auto"/>
              </w:rPr>
            </w:pPr>
            <w:r>
              <w:rPr>
                <w:rFonts w:ascii="Arial" w:cs="Arial" w:eastAsia="Arial" w:hAnsi="Arial"/>
                <w:sz w:val="18"/>
                <w:szCs w:val="18"/>
                <w:color w:val="auto"/>
              </w:rPr>
              <w:t>Long-term inventory subtotal</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4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$232 million during the first quarter of 2020 related to the write-down of our crude oil and NGL inventory, of which $40 million was associated with our long-term inventory, due to declines in prices. A portion of this inventory valuation adjustment was offset by the recognition of gains on derivative instruments being utilized to hedge future sales of our crude oil and NGL inventory. Such gains were recorded to “Supply and Logistics segment revenues” in our accompanying Consolidated Statement of Operations. See Note 10 for discussion of our derivative and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first quarter of 2020, we recorded impairment losses related to goodwill. Our market capitalization declined significantly during the first quarter driven by current macroeconomic and geopolitical conditions including the collapse of oil prices driven by both the decrease in demand caused by the COVID-19 pandemic and excess supply as well as changing market conditions and expected lower crude oil production in certain regions, resulting in expected decreases in future cash flows for certain of our assets. In addition, the uncertainty related to oil demand continues to have a significant impact on the investment and operating plans of our primary customers. Based on these events, we concluded that a triggering event occurred which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Based upon the results of the impairment test, we concluded that the carrying value of each of our reporting units exceeded their respective fair values, resulting in a goodwill impairment charge for the entire goodwill balance for each reporting unit.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94"/>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2,540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Goodwill, gross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2,524</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(2,515)</w:t>
            </w:r>
          </w:p>
        </w:tc>
      </w:tr>
      <w:tr>
        <w:trPr>
          <w:trHeight w:val="243"/>
        </w:trPr>
        <w:tc>
          <w:tcPr>
            <w:tcW w:w="50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(2,524)</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4"/>
                <w:szCs w:val="14"/>
                <w:color w:val="auto"/>
              </w:rPr>
            </w:pPr>
          </w:p>
        </w:tc>
        <w:tc>
          <w:tcPr>
            <w:tcW w:w="22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26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2"/>
              </w:rPr>
              <w:t>Interest at June</w:t>
            </w: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vMerge w:val="restart"/>
          </w:tcPr>
          <w:p>
            <w:pPr>
              <w:ind w:left="120"/>
              <w:spacing w:after="0" w:line="147"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4"/>
                <w:szCs w:val="4"/>
                <w:color w:val="auto"/>
              </w:rPr>
            </w:pPr>
          </w:p>
        </w:tc>
        <w:tc>
          <w:tcPr>
            <w:tcW w:w="1040" w:type="dxa"/>
            <w:vAlign w:val="bottom"/>
            <w:vMerge w:val="restart"/>
          </w:tcPr>
          <w:p>
            <w:pPr>
              <w:jc w:val="right"/>
              <w:ind w:right="72"/>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94"/>
        </w:trPr>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280" w:type="dxa"/>
            <w:vAlign w:val="bottom"/>
            <w:gridSpan w:val="2"/>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30,</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9"/>
                <w:szCs w:val="9"/>
                <w:b w:val="1"/>
                <w:bCs w:val="1"/>
                <w:color w:val="auto"/>
              </w:rPr>
              <w:t>(1)</w:t>
            </w:r>
          </w:p>
        </w:tc>
        <w:tc>
          <w:tcPr>
            <w:tcW w:w="100" w:type="dxa"/>
            <w:vAlign w:val="bottom"/>
            <w:vMerge w:val="restart"/>
          </w:tcPr>
          <w:p>
            <w:pPr>
              <w:spacing w:after="0"/>
              <w:rPr>
                <w:sz w:val="4"/>
                <w:szCs w:val="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Cactus II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75"/>
        </w:trPr>
        <w:tc>
          <w:tcPr>
            <w:tcW w:w="5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Eagle Ford Terminals Corpus Christi LLC (“Eagle</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2"/>
              </w:rPr>
              <w:t>Crude Oil Terminal and Dock</w:t>
            </w:r>
          </w:p>
        </w:tc>
        <w:tc>
          <w:tcPr>
            <w:tcW w:w="128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ind w:right="7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Ford Terminals”)</w:t>
            </w:r>
          </w:p>
        </w:tc>
        <w:tc>
          <w:tcPr>
            <w:tcW w:w="24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Oak Pipeline LLC (“Red Oak”)</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Saddlehorn Pipeline Company, LLC (“Saddlehorn”)</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(3)</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Other investments</w:t>
            </w: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98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 is currently under construction and has not yet been placed in service.</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March 2020, the partners of Red Oak announced they were deferring the Red Oak pipeline project and suspending actions that would require additional capital spending on the project, and that they would re-evaluate demand for the project in light of recent market developments. During the second quarter, we (“PAA”) determined that we would not proceed with the project as previously contemplated, and we determined that there was an other-than-temporary impairment of our investment in Red Oak. We wrote our investment in Red Oak down to the estimated residual value of our share of the net assets. In addition, during the first quarter of 2020, we recorded a write-down of certain of our investments included in “Other investments” in the table above due to an other-than-temporary impairment related to a decline in market conditions. As a result of these write-downs, during the three and six months ended June 30, 2020, we recognized losses of $69 million and $112 million, respectively. These losses are reflected in “Gain on/(impairment of) investments in unconsolidated entities, net” on our Condensed Consolidated Statement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Saddlehorn. </w:t>
      </w:r>
      <w:r>
        <w:rPr>
          <w:rFonts w:ascii="Arial" w:cs="Arial" w:eastAsia="Arial" w:hAnsi="Arial"/>
          <w:sz w:val="18"/>
          <w:szCs w:val="18"/>
          <w:color w:val="auto"/>
        </w:rPr>
        <w:t>In February 2020, we sold a 10% ownership interest in Saddlehorn for proceeds of approximately $78 million, including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adjustments, and have retained a 30% ownership interest. We recorded a gain of approximately $21 million related to this sale, which is included in “Gain on/(impairment of) investments in unconsolidated entities” on our Condensed Consolidated Statement of Operations. We continue to account for our remaining interest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440" w:type="dxa"/>
            <w:vAlign w:val="bottom"/>
          </w:tcPr>
          <w:p>
            <w:pPr>
              <w:ind w:left="20"/>
              <w:spacing w:after="0"/>
              <w:rPr>
                <w:sz w:val="20"/>
                <w:szCs w:val="20"/>
                <w:color w:val="auto"/>
              </w:rPr>
            </w:pPr>
            <w:r>
              <w:rPr>
                <w:rFonts w:ascii="Arial" w:cs="Arial" w:eastAsia="Arial" w:hAnsi="Arial"/>
                <w:sz w:val="18"/>
                <w:szCs w:val="18"/>
                <w:color w:val="auto"/>
              </w:rPr>
              <w:t xml:space="preserve">Commercial paper notes, bearing a weighted-average interest rate of 2.2% </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Senior secured hedged inventory facility, bearing a weighted-average interest rate of 2.7%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 senior notes due February 2021</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 xml:space="preserve">Senior notes, net of unamortized discounts and debt issuance costs of $66 and $61, respectively </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9,067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GO Zone term loans, net of debt issuance costs of $1 and $1, respectively, bearing a weighted-average interest rate</w:t>
            </w: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1.3% and 2.6%, respectively</w:t>
            </w:r>
          </w:p>
        </w:tc>
        <w:tc>
          <w:tcPr>
            <w:tcW w:w="2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9,393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63"/>
        </w:trPr>
        <w:tc>
          <w:tcPr>
            <w:tcW w:w="8440" w:type="dxa"/>
            <w:vAlign w:val="bottom"/>
          </w:tcPr>
          <w:p>
            <w:pPr>
              <w:ind w:left="56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10,122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80" w:hanging="11"/>
        <w:spacing w:after="0" w:line="263" w:lineRule="auto"/>
        <w:rPr>
          <w:sz w:val="20"/>
          <w:szCs w:val="20"/>
          <w:color w:val="auto"/>
        </w:rPr>
      </w:pPr>
      <w:r>
        <w:rPr>
          <w:rFonts w:ascii="Arial" w:cs="Arial" w:eastAsia="Arial" w:hAnsi="Arial"/>
          <w:sz w:val="18"/>
          <w:szCs w:val="18"/>
          <w:color w:val="auto"/>
        </w:rPr>
        <w:t>We classified these commercial paper notes and credit facility borrowings as short-term as of December 31, 2019, as these notes and borrowings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ind w:right="40" w:hanging="11"/>
        <w:spacing w:after="0" w:line="342" w:lineRule="auto"/>
        <w:rPr>
          <w:sz w:val="20"/>
          <w:szCs w:val="20"/>
          <w:color w:val="auto"/>
        </w:rPr>
      </w:pPr>
      <w:r>
        <w:rPr>
          <w:rFonts w:ascii="Arial" w:cs="Arial" w:eastAsia="Arial" w:hAnsi="Arial"/>
          <w:sz w:val="16"/>
          <w:szCs w:val="16"/>
          <w:color w:val="auto"/>
        </w:rPr>
        <w:t>During the six months ended June 30, 2020, we repurchased $17 million of our outstanding senior notes on the open market and recognized a gain of $3 million on these transactions, which is included in “Other income/(expense), net” on our Condensed Consolidated Statement of Operations.</w:t>
      </w:r>
    </w:p>
    <w:p>
      <w:pPr>
        <w:spacing w:after="0" w:line="16" w:lineRule="exact"/>
        <w:rPr>
          <w:sz w:val="20"/>
          <w:szCs w:val="20"/>
          <w:color w:val="auto"/>
        </w:rPr>
      </w:pPr>
    </w:p>
    <w:p>
      <w:pPr>
        <w:ind w:hanging="11"/>
        <w:spacing w:after="0" w:line="272" w:lineRule="auto"/>
        <w:rPr>
          <w:sz w:val="20"/>
          <w:szCs w:val="20"/>
          <w:color w:val="auto"/>
        </w:rPr>
      </w:pPr>
      <w:r>
        <w:rPr>
          <w:rFonts w:ascii="Arial" w:cs="Arial" w:eastAsia="Arial" w:hAnsi="Arial"/>
          <w:sz w:val="17"/>
          <w:szCs w:val="17"/>
          <w:color w:val="auto"/>
        </w:rPr>
        <w:t>Our fixed-rate senior notes had a face value of approximately $9.7 billion and $9.0 billion as of June 30, 2020 and December 31, 2019, respectively. We estimated the aggregate fair value of these notes as of June 30, 2020 and December 31, 2019 to be approximately $9.7 billion and $9.3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June 2020, we completed the offering of $750 million, 3.80% senior notes due September 2030 at a public offering price of 99.794%. Interest payments are due on March 15 and September 15 of each year, commencing on September 15,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Total borrowings under our credit facilities and commercial paper program for the six months ended June 30, 2020 and 2019 were approximately $12.6 billion and $4.1 billion, respectively. Total repayments under our credit facilities and commercial paper program were approximately $13.0 billion and $3.8 billion for the six months ended June 30, 2020 and 2019, respectively. The variance in total gross borrowings and repayments is impacted by various business and financial factors including, but not limited to, the timing, average term and method of general partnership borrowing activities.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June 30, 2020 and December 31, 2019, we had outstanding letters of credit of $112 million and $157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Limited Partners</w:t>
            </w: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3"/>
                <w:szCs w:val="13"/>
                <w:color w:val="auto"/>
              </w:rPr>
            </w:pPr>
          </w:p>
        </w:tc>
        <w:tc>
          <w:tcPr>
            <w:tcW w:w="16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13"/>
                <w:szCs w:val="13"/>
                <w:color w:val="auto"/>
              </w:rPr>
            </w:pPr>
          </w:p>
        </w:tc>
        <w:tc>
          <w:tcPr>
            <w:tcW w:w="14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Preferred Units</w:t>
            </w:r>
          </w:p>
        </w:tc>
        <w:tc>
          <w:tcPr>
            <w:tcW w:w="2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Preferred Units</w:t>
            </w:r>
          </w:p>
        </w:tc>
        <w:tc>
          <w:tcPr>
            <w:tcW w:w="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0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728,028,576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21"/>
                <w:szCs w:val="21"/>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9"/>
              <w:spacing w:after="0"/>
              <w:rPr>
                <w:sz w:val="20"/>
                <w:szCs w:val="20"/>
                <w:color w:val="auto"/>
              </w:rPr>
            </w:pPr>
            <w:r>
              <w:rPr>
                <w:rFonts w:ascii="Arial" w:cs="Arial" w:eastAsia="Arial" w:hAnsi="Arial"/>
                <w:sz w:val="18"/>
                <w:szCs w:val="18"/>
                <w:color w:val="auto"/>
              </w:rPr>
              <w:t>24,431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6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50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728,053,007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21"/>
                <w:szCs w:val="21"/>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9"/>
              <w:spacing w:after="0"/>
              <w:rPr>
                <w:sz w:val="20"/>
                <w:szCs w:val="20"/>
                <w:color w:val="auto"/>
              </w:rPr>
            </w:pPr>
            <w:r>
              <w:rPr>
                <w:rFonts w:ascii="Arial" w:cs="Arial" w:eastAsia="Arial" w:hAnsi="Arial"/>
                <w:sz w:val="18"/>
                <w:szCs w:val="18"/>
                <w:color w:val="auto"/>
              </w:rPr>
              <w:t>47,391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6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50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800,000</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728,100,398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Series A</w:t>
            </w:r>
          </w:p>
        </w:tc>
        <w:tc>
          <w:tcPr>
            <w:tcW w:w="20" w:type="dxa"/>
            <w:vAlign w:val="bottom"/>
          </w:tcPr>
          <w:p>
            <w:pPr>
              <w:spacing w:after="0"/>
              <w:rPr>
                <w:sz w:val="13"/>
                <w:szCs w:val="13"/>
                <w:color w:val="auto"/>
              </w:rPr>
            </w:pPr>
          </w:p>
        </w:tc>
        <w:tc>
          <w:tcPr>
            <w:tcW w:w="16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13"/>
                <w:szCs w:val="13"/>
                <w:color w:val="auto"/>
              </w:rPr>
            </w:pPr>
          </w:p>
        </w:tc>
        <w:tc>
          <w:tcPr>
            <w:tcW w:w="14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Preferred Units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Preferred Units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71,090,468</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800,000</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726,361,924</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9"/>
              <w:spacing w:after="0"/>
              <w:rPr>
                <w:sz w:val="20"/>
                <w:szCs w:val="20"/>
                <w:color w:val="auto"/>
              </w:rPr>
            </w:pPr>
            <w:r>
              <w:rPr>
                <w:rFonts w:ascii="Arial" w:cs="Arial" w:eastAsia="Arial" w:hAnsi="Arial"/>
                <w:sz w:val="18"/>
                <w:szCs w:val="18"/>
                <w:color w:val="auto"/>
              </w:rPr>
              <w:t>423,889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71,090,468</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800,000</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726,785,813</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9"/>
              <w:spacing w:after="0"/>
              <w:rPr>
                <w:sz w:val="20"/>
                <w:szCs w:val="20"/>
                <w:color w:val="auto"/>
              </w:rPr>
            </w:pPr>
            <w:r>
              <w:rPr>
                <w:rFonts w:ascii="Arial" w:cs="Arial" w:eastAsia="Arial" w:hAnsi="Arial"/>
                <w:sz w:val="18"/>
                <w:szCs w:val="18"/>
                <w:color w:val="auto"/>
              </w:rPr>
              <w:t>638,806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June 30, 2019</w:t>
            </w:r>
          </w:p>
        </w:tc>
        <w:tc>
          <w:tcPr>
            <w:tcW w:w="15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71,090,468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800,000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727,424,619</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2020 (in millions, except per unit data):</w:t>
      </w:r>
    </w:p>
    <w:p>
      <w:pPr>
        <w:spacing w:after="0" w:line="24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040" w:val="left"/>
          <w:tab w:leader="none" w:pos="9740" w:val="left"/>
        </w:tabs>
        <w:rPr>
          <w:sz w:val="20"/>
          <w:szCs w:val="20"/>
          <w:color w:val="auto"/>
        </w:rPr>
      </w:pPr>
      <w:r>
        <w:rPr>
          <w:rFonts w:ascii="Arial" w:cs="Arial" w:eastAsia="Arial" w:hAnsi="Arial"/>
          <w:sz w:val="14"/>
          <w:szCs w:val="14"/>
          <w:b w:val="1"/>
          <w:bCs w:val="1"/>
          <w:color w:val="auto"/>
        </w:rPr>
        <w:t>Distribution Payment Date</w:t>
      </w:r>
      <w:r>
        <w:rPr>
          <w:sz w:val="20"/>
          <w:szCs w:val="20"/>
          <w:color w:val="auto"/>
        </w:rPr>
        <w:tab/>
      </w:r>
      <w:r>
        <w:rPr>
          <w:rFonts w:ascii="Arial" w:cs="Arial" w:eastAsia="Arial" w:hAnsi="Arial"/>
          <w:sz w:val="14"/>
          <w:szCs w:val="14"/>
          <w:b w:val="1"/>
          <w:bCs w:val="1"/>
          <w:color w:val="auto"/>
        </w:rPr>
        <w:t>Cash Distribution</w:t>
      </w:r>
      <w:r>
        <w:rPr>
          <w:sz w:val="20"/>
          <w:szCs w:val="20"/>
          <w:color w:val="auto"/>
        </w:rPr>
        <w:tab/>
      </w:r>
      <w:r>
        <w:rPr>
          <w:rFonts w:ascii="Arial" w:cs="Arial" w:eastAsia="Arial" w:hAnsi="Arial"/>
          <w:sz w:val="13"/>
          <w:szCs w:val="13"/>
          <w:b w:val="1"/>
          <w:bCs w:val="1"/>
          <w:color w:val="auto"/>
        </w:rPr>
        <w:t>Distribution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523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52324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 xml:space="preserve">August 14, 2020 </w:t>
            </w:r>
            <w:r>
              <w:rPr>
                <w:rFonts w:ascii="Arial" w:cs="Arial" w:eastAsia="Arial" w:hAnsi="Arial"/>
                <w:sz w:val="23"/>
                <w:szCs w:val="23"/>
                <w:color w:val="auto"/>
                <w:vertAlign w:val="superscript"/>
              </w:rPr>
              <w:t>(1)</w:t>
            </w:r>
          </w:p>
        </w:tc>
        <w:tc>
          <w:tcPr>
            <w:tcW w:w="3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May 15, 2020</w:t>
            </w:r>
          </w:p>
        </w:tc>
        <w:tc>
          <w:tcPr>
            <w:tcW w:w="3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February 14, 2020</w:t>
            </w:r>
          </w:p>
        </w:tc>
        <w:tc>
          <w:tcPr>
            <w:tcW w:w="3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002" w:hanging="1002"/>
        <w:spacing w:after="0"/>
        <w:tabs>
          <w:tab w:leader="none" w:pos="1002" w:val="left"/>
        </w:tabs>
        <w:numPr>
          <w:ilvl w:val="0"/>
          <w:numId w:val="10"/>
        </w:numPr>
        <w:rPr>
          <w:rFonts w:ascii="Arial" w:cs="Arial" w:eastAsia="Arial" w:hAnsi="Arial"/>
          <w:sz w:val="15"/>
          <w:szCs w:val="15"/>
          <w:color w:val="auto"/>
        </w:rPr>
      </w:pPr>
      <w:r>
        <w:rPr>
          <w:rFonts w:ascii="Arial" w:cs="Arial" w:eastAsia="Arial" w:hAnsi="Arial"/>
          <w:sz w:val="15"/>
          <w:szCs w:val="15"/>
          <w:color w:val="auto"/>
        </w:rPr>
        <w:t>0.525</w:t>
      </w:r>
    </w:p>
    <w:p>
      <w:pPr>
        <w:spacing w:after="0" w:line="98" w:lineRule="exact"/>
        <w:rPr>
          <w:sz w:val="20"/>
          <w:szCs w:val="20"/>
          <w:color w:val="auto"/>
        </w:rPr>
      </w:pPr>
    </w:p>
    <w:p>
      <w:pPr>
        <w:ind w:left="1002" w:hanging="1002"/>
        <w:spacing w:after="0"/>
        <w:tabs>
          <w:tab w:leader="none" w:pos="1002" w:val="left"/>
        </w:tabs>
        <w:numPr>
          <w:ilvl w:val="0"/>
          <w:numId w:val="11"/>
        </w:numPr>
        <w:rPr>
          <w:rFonts w:ascii="Arial" w:cs="Arial" w:eastAsia="Arial" w:hAnsi="Arial"/>
          <w:sz w:val="15"/>
          <w:szCs w:val="15"/>
          <w:color w:val="auto"/>
        </w:rPr>
      </w:pPr>
      <w:r>
        <w:rPr>
          <w:rFonts w:ascii="Arial" w:cs="Arial" w:eastAsia="Arial" w:hAnsi="Arial"/>
          <w:sz w:val="15"/>
          <w:szCs w:val="15"/>
          <w:color w:val="auto"/>
        </w:rPr>
        <w:t>0.525</w:t>
      </w:r>
    </w:p>
    <w:p>
      <w:pPr>
        <w:spacing w:after="0" w:line="97" w:lineRule="exact"/>
        <w:rPr>
          <w:rFonts w:ascii="Arial" w:cs="Arial" w:eastAsia="Arial" w:hAnsi="Arial"/>
          <w:sz w:val="15"/>
          <w:szCs w:val="15"/>
          <w:color w:val="auto"/>
        </w:rPr>
      </w:pPr>
    </w:p>
    <w:p>
      <w:pPr>
        <w:ind w:left="1002" w:hanging="1002"/>
        <w:spacing w:after="0"/>
        <w:tabs>
          <w:tab w:leader="none" w:pos="1002" w:val="left"/>
        </w:tabs>
        <w:numPr>
          <w:ilvl w:val="0"/>
          <w:numId w:val="11"/>
        </w:numPr>
        <w:rPr>
          <w:rFonts w:ascii="Arial" w:cs="Arial" w:eastAsia="Arial" w:hAnsi="Arial"/>
          <w:sz w:val="15"/>
          <w:szCs w:val="15"/>
          <w:color w:val="auto"/>
        </w:rPr>
      </w:pPr>
      <w:r>
        <w:rPr>
          <w:rFonts w:ascii="Arial" w:cs="Arial" w:eastAsia="Arial" w:hAnsi="Arial"/>
          <w:sz w:val="15"/>
          <w:szCs w:val="15"/>
          <w:color w:val="auto"/>
        </w:rPr>
        <w:t>0.525</w:t>
      </w:r>
    </w:p>
    <w:p>
      <w:pPr>
        <w:spacing w:after="0" w:line="257" w:lineRule="exact"/>
        <w:rPr>
          <w:sz w:val="20"/>
          <w:szCs w:val="20"/>
          <w:color w:val="auto"/>
        </w:rPr>
      </w:pPr>
    </w:p>
    <w:p>
      <w:pPr>
        <w:sectPr>
          <w:pgSz w:w="11900" w:h="16838" w:orient="portrait"/>
          <w:cols w:equalWidth="0" w:num="2">
            <w:col w:w="9260" w:space="378"/>
            <w:col w:w="1582"/>
          </w:cols>
          <w:pgMar w:left="320" w:top="125" w:right="359" w:bottom="1440" w:gutter="0" w:footer="0" w:header="0"/>
          <w:type w:val="continuous"/>
        </w:sectPr>
      </w:pPr>
    </w:p>
    <w:p>
      <w:pPr>
        <w:spacing w:after="0" w:line="366" w:lineRule="exact"/>
        <w:rPr>
          <w:sz w:val="20"/>
          <w:szCs w:val="20"/>
          <w:color w:val="auto"/>
        </w:rPr>
      </w:pPr>
    </w:p>
    <w:p>
      <w:pPr>
        <w:ind w:left="660" w:right="320" w:hanging="652"/>
        <w:spacing w:after="0" w:line="267"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July 31, 2020 for the period from April 1, 2020 through June 30, 2020. At June 30, 2020, such amount was accrued as distributions payable in “Other current liabilities” on our Condensed Consolidated Balance Sheet.</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i w:val="1"/>
          <w:iCs w:val="1"/>
          <w:color w:val="auto"/>
        </w:rPr>
        <w:t>Series B Preferred Unit Distributions</w:t>
      </w:r>
      <w:r>
        <w:rPr>
          <w:rFonts w:ascii="Arial" w:cs="Arial" w:eastAsia="Arial" w:hAnsi="Arial"/>
          <w:sz w:val="18"/>
          <w:szCs w:val="18"/>
          <w:color w:val="auto"/>
        </w:rPr>
        <w:t>. Distributions on our Series B preferred units are payable semi-annually in arrears on the 15th day of May</w:t>
      </w:r>
      <w:r>
        <w:rPr>
          <w:rFonts w:ascii="Arial" w:cs="Arial" w:eastAsia="Arial" w:hAnsi="Arial"/>
          <w:sz w:val="18"/>
          <w:szCs w:val="18"/>
          <w:i w:val="1"/>
          <w:iCs w:val="1"/>
          <w:color w:val="auto"/>
        </w:rPr>
        <w:t xml:space="preserve"> </w:t>
      </w:r>
      <w:r>
        <w:rPr>
          <w:rFonts w:ascii="Arial" w:cs="Arial" w:eastAsia="Arial" w:hAnsi="Arial"/>
          <w:sz w:val="18"/>
          <w:szCs w:val="18"/>
          <w:color w:val="auto"/>
        </w:rPr>
        <w:t>and November. The following table details distributions paid to our Series B preferred unitholders during the first six months of 2020 (in millions, except per unit data):</w:t>
      </w:r>
    </w:p>
    <w:p>
      <w:pPr>
        <w:spacing w:after="0" w:line="256"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040" w:val="left"/>
          <w:tab w:leader="none" w:pos="9740" w:val="left"/>
        </w:tabs>
        <w:rPr>
          <w:sz w:val="20"/>
          <w:szCs w:val="20"/>
          <w:color w:val="auto"/>
        </w:rPr>
      </w:pPr>
      <w:r>
        <w:rPr>
          <w:rFonts w:ascii="Arial" w:cs="Arial" w:eastAsia="Arial" w:hAnsi="Arial"/>
          <w:sz w:val="14"/>
          <w:szCs w:val="14"/>
          <w:b w:val="1"/>
          <w:bCs w:val="1"/>
          <w:color w:val="auto"/>
        </w:rPr>
        <w:t>Distribution Payment Date</w:t>
      </w:r>
      <w:r>
        <w:rPr>
          <w:sz w:val="20"/>
          <w:szCs w:val="20"/>
          <w:color w:val="auto"/>
        </w:rPr>
        <w:tab/>
      </w:r>
      <w:r>
        <w:rPr>
          <w:rFonts w:ascii="Arial" w:cs="Arial" w:eastAsia="Arial" w:hAnsi="Arial"/>
          <w:sz w:val="14"/>
          <w:szCs w:val="14"/>
          <w:b w:val="1"/>
          <w:bCs w:val="1"/>
          <w:color w:val="auto"/>
        </w:rPr>
        <w:t>Cash Distribution</w:t>
      </w:r>
      <w:r>
        <w:rPr>
          <w:sz w:val="20"/>
          <w:szCs w:val="20"/>
          <w:color w:val="auto"/>
        </w:rPr>
        <w:tab/>
      </w:r>
      <w:r>
        <w:rPr>
          <w:rFonts w:ascii="Arial" w:cs="Arial" w:eastAsia="Arial" w:hAnsi="Arial"/>
          <w:sz w:val="13"/>
          <w:szCs w:val="13"/>
          <w:b w:val="1"/>
          <w:bCs w:val="1"/>
          <w:color w:val="auto"/>
        </w:rPr>
        <w:t>Distribution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63" w:lineRule="exact"/>
        <w:rPr>
          <w:sz w:val="20"/>
          <w:szCs w:val="20"/>
          <w:color w:val="auto"/>
        </w:rPr>
      </w:pPr>
    </w:p>
    <w:p>
      <w:pPr>
        <w:ind w:left="20"/>
        <w:spacing w:after="0"/>
        <w:tabs>
          <w:tab w:leader="none" w:pos="7820" w:val="left"/>
          <w:tab w:leader="none" w:pos="8920" w:val="left"/>
        </w:tabs>
        <w:rPr>
          <w:sz w:val="20"/>
          <w:szCs w:val="20"/>
          <w:color w:val="auto"/>
        </w:rPr>
      </w:pPr>
      <w:r>
        <w:rPr>
          <w:rFonts w:ascii="Arial" w:cs="Arial" w:eastAsia="Arial" w:hAnsi="Arial"/>
          <w:sz w:val="18"/>
          <w:szCs w:val="18"/>
          <w:color w:val="auto"/>
        </w:rPr>
        <w:t>May 15, 2020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24.5</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22" w:hanging="922"/>
        <w:spacing w:after="0"/>
        <w:tabs>
          <w:tab w:leader="none" w:pos="922" w:val="left"/>
        </w:tabs>
        <w:numPr>
          <w:ilvl w:val="0"/>
          <w:numId w:val="13"/>
        </w:numPr>
        <w:rPr>
          <w:rFonts w:ascii="Arial" w:cs="Arial" w:eastAsia="Arial" w:hAnsi="Arial"/>
          <w:sz w:val="15"/>
          <w:szCs w:val="15"/>
          <w:color w:val="auto"/>
        </w:rPr>
      </w:pPr>
      <w:r>
        <w:rPr>
          <w:rFonts w:ascii="Arial" w:cs="Arial" w:eastAsia="Arial" w:hAnsi="Arial"/>
          <w:sz w:val="15"/>
          <w:szCs w:val="15"/>
          <w:color w:val="auto"/>
        </w:rPr>
        <w:t>30.625</w:t>
      </w:r>
    </w:p>
    <w:p>
      <w:pPr>
        <w:spacing w:after="0" w:line="234" w:lineRule="exact"/>
        <w:rPr>
          <w:sz w:val="20"/>
          <w:szCs w:val="20"/>
          <w:color w:val="auto"/>
        </w:rPr>
      </w:pPr>
    </w:p>
    <w:p>
      <w:pPr>
        <w:sectPr>
          <w:pgSz w:w="11900" w:h="16838" w:orient="portrait"/>
          <w:cols w:equalWidth="0" w:num="2">
            <w:col w:w="9260" w:space="378"/>
            <w:col w:w="1602"/>
          </w:cols>
          <w:pgMar w:left="320" w:top="125" w:right="339" w:bottom="1440" w:gutter="0" w:footer="0" w:header="0"/>
          <w:type w:val="continuous"/>
        </w:sectPr>
      </w:pP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 June 30, 2020, approximately $6 million of accrued distributions payable to our Series B preferred unitholders was included in “Other current liabilities” on our Condensed Consolidated Balance Sheet.</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2020 (in millions, except per unit data):</w:t>
      </w:r>
    </w:p>
    <w:p>
      <w:pPr>
        <w:sectPr>
          <w:pgSz w:w="11900" w:h="16838" w:orient="portrait"/>
          <w:cols w:equalWidth="0" w:num="1">
            <w:col w:w="11240"/>
          </w:cols>
          <w:pgMar w:left="320" w:top="125" w:right="339" w:bottom="1440" w:gutter="0" w:footer="0" w:header="0"/>
          <w:type w:val="continuous"/>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5"/>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Common Unitholders</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7"/>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Public</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AAP</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r>
      <w:tr>
        <w:trPr>
          <w:trHeight w:val="282"/>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 xml:space="preserve">August 14, 2020 </w:t>
            </w:r>
            <w:r>
              <w:rPr>
                <w:rFonts w:ascii="Arial" w:cs="Arial" w:eastAsia="Arial" w:hAnsi="Arial"/>
                <w:sz w:val="23"/>
                <w:szCs w:val="23"/>
                <w:color w:val="auto"/>
                <w:vertAlign w:val="superscript"/>
              </w:rPr>
              <w:t>(1)</w:t>
            </w:r>
          </w:p>
        </w:tc>
        <w:tc>
          <w:tcPr>
            <w:tcW w:w="1060" w:type="dxa"/>
            <w:vAlign w:val="bottom"/>
          </w:tcPr>
          <w:p>
            <w:pPr>
              <w:jc w:val="right"/>
              <w:ind w:right="87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1200" w:type="dxa"/>
            <w:vAlign w:val="bottom"/>
          </w:tcPr>
          <w:p>
            <w:pPr>
              <w:jc w:val="right"/>
              <w:ind w:right="101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4"/>
                <w:szCs w:val="24"/>
                <w:color w:val="auto"/>
              </w:rPr>
            </w:pPr>
          </w:p>
        </w:tc>
        <w:tc>
          <w:tcPr>
            <w:tcW w:w="640" w:type="dxa"/>
            <w:vAlign w:val="bottom"/>
          </w:tcPr>
          <w:p>
            <w:pPr>
              <w:jc w:val="right"/>
              <w:ind w:right="43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131</w:t>
            </w:r>
          </w:p>
        </w:tc>
      </w:tr>
      <w:tr>
        <w:trPr>
          <w:trHeight w:val="23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1060" w:type="dxa"/>
            <w:vAlign w:val="bottom"/>
          </w:tcPr>
          <w:p>
            <w:pPr>
              <w:jc w:val="right"/>
              <w:ind w:right="87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200" w:type="dxa"/>
            <w:vAlign w:val="bottom"/>
          </w:tcPr>
          <w:p>
            <w:pPr>
              <w:jc w:val="right"/>
              <w:ind w:right="101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0"/>
                <w:szCs w:val="20"/>
                <w:color w:val="auto"/>
              </w:rPr>
            </w:pPr>
          </w:p>
        </w:tc>
        <w:tc>
          <w:tcPr>
            <w:tcW w:w="640" w:type="dxa"/>
            <w:vAlign w:val="bottom"/>
          </w:tcPr>
          <w:p>
            <w:pPr>
              <w:jc w:val="right"/>
              <w:ind w:right="43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131</w:t>
            </w:r>
          </w:p>
        </w:tc>
      </w:tr>
      <w:tr>
        <w:trPr>
          <w:trHeight w:val="27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1060" w:type="dxa"/>
            <w:vAlign w:val="bottom"/>
          </w:tcPr>
          <w:p>
            <w:pPr>
              <w:jc w:val="right"/>
              <w:ind w:right="87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3"/>
                <w:szCs w:val="23"/>
                <w:color w:val="auto"/>
              </w:rPr>
            </w:pPr>
          </w:p>
        </w:tc>
        <w:tc>
          <w:tcPr>
            <w:tcW w:w="1200" w:type="dxa"/>
            <w:vAlign w:val="bottom"/>
          </w:tcPr>
          <w:p>
            <w:pPr>
              <w:jc w:val="right"/>
              <w:ind w:right="101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rPr>
                <w:sz w:val="23"/>
                <w:szCs w:val="23"/>
                <w:color w:val="auto"/>
              </w:rPr>
            </w:pPr>
          </w:p>
        </w:tc>
        <w:tc>
          <w:tcPr>
            <w:tcW w:w="640" w:type="dxa"/>
            <w:vAlign w:val="bottom"/>
          </w:tcPr>
          <w:p>
            <w:pPr>
              <w:jc w:val="right"/>
              <w:ind w:right="43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098030" cy="52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522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84"/>
        <w:spacing w:after="0"/>
        <w:rPr>
          <w:sz w:val="20"/>
          <w:szCs w:val="20"/>
          <w:color w:val="auto"/>
        </w:rPr>
      </w:pPr>
      <w:r>
        <w:rPr>
          <w:rFonts w:ascii="Arial" w:cs="Arial" w:eastAsia="Arial" w:hAnsi="Arial"/>
          <w:sz w:val="13"/>
          <w:szCs w:val="13"/>
          <w:b w:val="1"/>
          <w:bCs w:val="1"/>
          <w:color w:val="auto"/>
        </w:rPr>
        <w:t>Cash Distribution per</w:t>
      </w:r>
    </w:p>
    <w:p>
      <w:pPr>
        <w:spacing w:after="0" w:line="15" w:lineRule="exact"/>
        <w:rPr>
          <w:sz w:val="20"/>
          <w:szCs w:val="20"/>
          <w:color w:val="auto"/>
        </w:rPr>
      </w:pPr>
    </w:p>
    <w:p>
      <w:pPr>
        <w:jc w:val="center"/>
        <w:ind w:right="84"/>
        <w:spacing w:after="0"/>
        <w:rPr>
          <w:sz w:val="20"/>
          <w:szCs w:val="20"/>
          <w:color w:val="auto"/>
        </w:rPr>
      </w:pPr>
      <w:r>
        <w:rPr>
          <w:rFonts w:ascii="Arial" w:cs="Arial" w:eastAsia="Arial" w:hAnsi="Arial"/>
          <w:sz w:val="14"/>
          <w:szCs w:val="14"/>
          <w:b w:val="1"/>
          <w:bCs w:val="1"/>
          <w:color w:val="auto"/>
        </w:rPr>
        <w:t>Common Unit</w:t>
      </w:r>
    </w:p>
    <w:p>
      <w:pPr>
        <w:spacing w:after="0" w:line="47" w:lineRule="exact"/>
        <w:rPr>
          <w:sz w:val="20"/>
          <w:szCs w:val="20"/>
          <w:color w:val="auto"/>
        </w:rPr>
      </w:pPr>
    </w:p>
    <w:p>
      <w:pPr>
        <w:ind w:left="1096" w:hanging="1096"/>
        <w:spacing w:after="0"/>
        <w:tabs>
          <w:tab w:leader="none" w:pos="10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0.18</w:t>
      </w:r>
    </w:p>
    <w:p>
      <w:pPr>
        <w:spacing w:after="0" w:line="75" w:lineRule="exact"/>
        <w:rPr>
          <w:sz w:val="20"/>
          <w:szCs w:val="20"/>
          <w:color w:val="auto"/>
        </w:rPr>
      </w:pPr>
    </w:p>
    <w:p>
      <w:pPr>
        <w:ind w:left="1096" w:hanging="1096"/>
        <w:spacing w:after="0"/>
        <w:tabs>
          <w:tab w:leader="none" w:pos="10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0.18</w:t>
      </w:r>
    </w:p>
    <w:p>
      <w:pPr>
        <w:spacing w:after="0" w:line="74" w:lineRule="exact"/>
        <w:rPr>
          <w:rFonts w:ascii="Arial" w:cs="Arial" w:eastAsia="Arial" w:hAnsi="Arial"/>
          <w:sz w:val="17"/>
          <w:szCs w:val="17"/>
          <w:color w:val="auto"/>
        </w:rPr>
      </w:pPr>
    </w:p>
    <w:p>
      <w:pPr>
        <w:ind w:left="1096" w:hanging="1096"/>
        <w:spacing w:after="0"/>
        <w:tabs>
          <w:tab w:leader="none" w:pos="10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0.36</w:t>
      </w:r>
    </w:p>
    <w:p>
      <w:pPr>
        <w:spacing w:after="0" w:line="234" w:lineRule="exact"/>
        <w:rPr>
          <w:sz w:val="20"/>
          <w:szCs w:val="20"/>
          <w:color w:val="auto"/>
        </w:rPr>
      </w:pPr>
    </w:p>
    <w:p>
      <w:pPr>
        <w:sectPr>
          <w:pgSz w:w="11900" w:h="16838" w:orient="portrait"/>
          <w:cols w:equalWidth="0" w:num="2">
            <w:col w:w="9400" w:space="224"/>
            <w:col w:w="1616"/>
          </w:cols>
          <w:pgMar w:left="320" w:top="125" w:right="339" w:bottom="1440" w:gutter="0" w:footer="0" w:header="0"/>
          <w:type w:val="continuous"/>
        </w:sectPr>
      </w:pPr>
    </w:p>
    <w:p>
      <w:pPr>
        <w:spacing w:after="0" w:line="332"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31, 2020 for the period from April 1, 2020 through June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During the six months ended June 30, 2020, we received $10 million of contributions from noncontrolling interests in Red River Pipeline Company LLC related to the Red River pipeline capacity expansion and paid distributions of $4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1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40" w:firstLine="607"/>
        <w:spacing w:after="0" w:line="311" w:lineRule="auto"/>
        <w:rPr>
          <w:sz w:val="20"/>
          <w:szCs w:val="20"/>
          <w:color w:val="auto"/>
        </w:rPr>
      </w:pPr>
      <w:r>
        <w:rPr>
          <w:rFonts w:ascii="Arial" w:cs="Arial" w:eastAsia="Arial" w:hAnsi="Arial"/>
          <w:sz w:val="16"/>
          <w:szCs w:val="16"/>
          <w:color w:val="auto"/>
        </w:rPr>
        <w:t>At June 30, 2020 and December 31, 2019,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84"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2020, net derivative positions related to these activities included:</w:t>
      </w:r>
    </w:p>
    <w:p>
      <w:pPr>
        <w:spacing w:after="0" w:line="146" w:lineRule="exact"/>
        <w:rPr>
          <w:sz w:val="20"/>
          <w:szCs w:val="20"/>
          <w:color w:val="auto"/>
        </w:rPr>
      </w:pPr>
    </w:p>
    <w:p>
      <w:pPr>
        <w:ind w:left="980" w:right="2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long position of 10.2 million barrels associated with our crude oil purchases, which was unwound ratably during July 2020 to match monthly average pricing.</w:t>
      </w:r>
    </w:p>
    <w:p>
      <w:pPr>
        <w:spacing w:after="0" w:line="116"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short time spread position of 6.6 million barrels, which hedges a portion of our anticipated crude oil lease gathering purchases through September 2021.</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crude oil basis spread position of 7.9 million barrels at multiple locations through December 2021.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net short position of 33.2 million barrels through December 2022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2020:</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Notional Volume</w:t>
            </w:r>
          </w:p>
        </w:tc>
        <w:tc>
          <w:tcPr>
            <w:tcW w:w="2160" w:type="dxa"/>
            <w:vAlign w:val="bottom"/>
          </w:tcPr>
          <w:p>
            <w:pPr>
              <w:spacing w:after="0"/>
              <w:rPr>
                <w:sz w:val="16"/>
                <w:szCs w:val="16"/>
                <w:color w:val="auto"/>
              </w:rPr>
            </w:pPr>
          </w:p>
        </w:tc>
      </w:tr>
      <w:tr>
        <w:trPr>
          <w:trHeight w:val="209"/>
        </w:trPr>
        <w:tc>
          <w:tcPr>
            <w:tcW w:w="668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(Short)/Long</w:t>
            </w:r>
          </w:p>
        </w:tc>
        <w:tc>
          <w:tcPr>
            <w:tcW w:w="16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6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Natural gas purchases</w:t>
            </w:r>
          </w:p>
        </w:tc>
        <w:tc>
          <w:tcPr>
            <w:tcW w:w="2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23.8 Bcf</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Propane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(4.1) MMbls</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(1.3) MMbls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Condensate sales (WTI position)</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(0.5) MMbls</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17.4 Bcf</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52"/>
        </w:trPr>
        <w:tc>
          <w:tcPr>
            <w:tcW w:w="6680" w:type="dxa"/>
            <w:vAlign w:val="bottom"/>
          </w:tcPr>
          <w:p>
            <w:pPr>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0.9 TWh</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24599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as a hedging relationship, as such, changes in the fair value are reported in earnings. A summary of the impact of our commodity derivatives recognized in earnings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r>
      <w:tr>
        <w:trPr>
          <w:trHeight w:val="250"/>
        </w:trPr>
        <w:tc>
          <w:tcPr>
            <w:tcW w:w="58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1"/>
                <w:szCs w:val="2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231</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89"/>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242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516"/>
              <w:spacing w:after="0"/>
              <w:rPr>
                <w:sz w:val="20"/>
                <w:szCs w:val="20"/>
                <w:color w:val="auto"/>
              </w:rPr>
            </w:pPr>
            <w:r>
              <w:rPr>
                <w:rFonts w:ascii="Arial" w:cs="Arial" w:eastAsia="Arial" w:hAnsi="Arial"/>
                <w:sz w:val="18"/>
                <w:szCs w:val="18"/>
                <w:color w:val="auto"/>
                <w:w w:val="89"/>
              </w:rPr>
              <w:t>73</w:t>
            </w:r>
          </w:p>
        </w:tc>
      </w:tr>
      <w:tr>
        <w:trPr>
          <w:trHeight w:val="257"/>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24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left="516"/>
              <w:spacing w:after="0"/>
              <w:rPr>
                <w:sz w:val="20"/>
                <w:szCs w:val="20"/>
                <w:color w:val="auto"/>
              </w:rPr>
            </w:pPr>
            <w:r>
              <w:rPr>
                <w:rFonts w:ascii="Arial" w:cs="Arial" w:eastAsia="Arial" w:hAnsi="Arial"/>
                <w:sz w:val="18"/>
                <w:szCs w:val="18"/>
                <w:color w:val="auto"/>
                <w:w w:val="93"/>
              </w:rPr>
              <w:t>(45)</w:t>
            </w:r>
          </w:p>
        </w:tc>
      </w:tr>
      <w:tr>
        <w:trPr>
          <w:trHeight w:val="27"/>
        </w:trPr>
        <w:tc>
          <w:tcPr>
            <w:tcW w:w="8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3"/>
              </w:rPr>
              <w:t>(73)</w:t>
            </w:r>
          </w:p>
        </w:tc>
      </w:tr>
      <w:tr>
        <w:trPr>
          <w:trHeight w:val="264"/>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516"/>
              <w:spacing w:after="0"/>
              <w:rPr>
                <w:sz w:val="20"/>
                <w:szCs w:val="20"/>
                <w:color w:val="auto"/>
              </w:rPr>
            </w:pPr>
            <w:r>
              <w:rPr>
                <w:rFonts w:ascii="Arial" w:cs="Arial" w:eastAsia="Arial" w:hAnsi="Arial"/>
                <w:sz w:val="18"/>
                <w:szCs w:val="18"/>
                <w:color w:val="auto"/>
                <w:w w:val="93"/>
              </w:rPr>
              <w:t>(45)</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ectPr>
          <w:pgSz w:w="11900" w:h="16838" w:orient="portrait"/>
          <w:cols w:equalWidth="0" w:num="1">
            <w:col w:w="11240"/>
          </w:cols>
          <w:pgMar w:left="320" w:top="125" w:right="339" w:bottom="1440" w:gutter="0" w:footer="0" w:header="0"/>
        </w:sect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25"/>
        </w:trPr>
        <w:tc>
          <w:tcPr>
            <w:tcW w:w="25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860" w:type="dxa"/>
            <w:vAlign w:val="bottom"/>
          </w:tcPr>
          <w:p>
            <w:pPr>
              <w:jc w:val="center"/>
              <w:ind w:right="5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60" w:type="dxa"/>
            <w:vAlign w:val="bottom"/>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362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6271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000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25"/>
        </w:trPr>
        <w:tc>
          <w:tcPr>
            <w:tcW w:w="2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880" w:type="dxa"/>
            <w:vAlign w:val="bottom"/>
          </w:tcPr>
          <w:p>
            <w:pPr>
              <w:jc w:val="center"/>
              <w:ind w:right="3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499"/>
        </w:trPr>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center"/>
              <w:ind w:left="257"/>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center"/>
              <w:ind w:left="297"/>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880" w:type="dxa"/>
            <w:vAlign w:val="bottom"/>
          </w:tcPr>
          <w:p>
            <w:pPr>
              <w:jc w:val="center"/>
              <w:ind w:left="297"/>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540"/>
        </w:trPr>
        <w:tc>
          <w:tcPr>
            <w:tcW w:w="220" w:type="dxa"/>
            <w:vAlign w:val="bottom"/>
          </w:tcPr>
          <w:p>
            <w:pPr>
              <w:spacing w:after="0"/>
              <w:rPr>
                <w:sz w:val="24"/>
                <w:szCs w:val="24"/>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297"/>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486"/>
        </w:trPr>
        <w:tc>
          <w:tcPr>
            <w:tcW w:w="2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297"/>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257"/>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297"/>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3" w:lineRule="exact"/>
        <w:rPr>
          <w:sz w:val="20"/>
          <w:szCs w:val="20"/>
          <w:color w:val="auto"/>
        </w:rPr>
      </w:pPr>
    </w:p>
    <w:p>
      <w:pPr>
        <w:sectPr>
          <w:pgSz w:w="11900" w:h="16838" w:orient="portrait"/>
          <w:cols w:equalWidth="0" w:num="2">
            <w:col w:w="6800" w:space="180"/>
            <w:col w:w="4260"/>
          </w:cols>
          <w:pgMar w:left="320" w:top="125" w:right="339" w:bottom="1440" w:gutter="0" w:footer="0" w:header="0"/>
          <w:type w:val="continuous"/>
        </w:sectPr>
      </w:pPr>
    </w:p>
    <w:p>
      <w:pPr>
        <w:spacing w:after="0" w:line="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June 30, 2020 (notional amounts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Average Rate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Locked</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8 forward starting swaps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9"/>
              <w:spacing w:after="0" w:line="189"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6/15/2023</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(30-year)</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5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0"/>
              </w:rPr>
              <w:t>8 forward starting swaps</w:t>
            </w: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79"/>
              <w:spacing w:after="0" w:line="189"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Arial" w:cs="Arial" w:eastAsia="Arial" w:hAnsi="Arial"/>
                <w:sz w:val="18"/>
                <w:szCs w:val="18"/>
                <w:color w:val="auto"/>
                <w:w w:val="92"/>
              </w:rPr>
              <w:t>6/14/2024</w:t>
            </w:r>
          </w:p>
        </w:tc>
        <w:tc>
          <w:tcPr>
            <w:tcW w:w="1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0.73</w:t>
            </w:r>
          </w:p>
        </w:tc>
        <w:tc>
          <w:tcPr>
            <w:tcW w:w="20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6"/>
                <w:szCs w:val="16"/>
                <w:color w:val="auto"/>
              </w:rPr>
            </w:pPr>
          </w:p>
        </w:tc>
        <w:tc>
          <w:tcPr>
            <w:tcW w:w="1740" w:type="dxa"/>
            <w:vAlign w:val="bottom"/>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(30-year)</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2020, there was a net loss of $315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losses of $3 million during each of the three months ended June 30, 2020 and 2019 and losses of $5 million during each of the six months ended June 30, 2020 and 2019, respectively. Of the total net loss deferred in AOCI at June 30, 2020, we expect to reclassify a loss of $13 million to earnings in the next twelve months. We estimate that substantially all of the remaining deferred loss will be reclassified to earnings through 2054 as the underlying hedged transactions impact earnings. A portion of these amounts is based on market prices as of June 30, 2020;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39"/>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r>
      <w:tr>
        <w:trPr>
          <w:trHeight w:val="27"/>
        </w:trPr>
        <w:tc>
          <w:tcPr>
            <w:tcW w:w="5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At June 30, 2020, the net fair value of our interest rate hedges, which were included in “Other long-term liabilities and deferred credits” on our Condensed Consolidated Balance Sheet, totaled $5 million. At December 31, 2019, the fair value of these hedges was $44 million and included in “Other current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2020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236"/>
        </w:trPr>
        <w:tc>
          <w:tcPr>
            <w:tcW w:w="6800" w:type="dxa"/>
            <w:vAlign w:val="bottom"/>
            <w:tcBorders>
              <w:top w:val="single" w:sz="8" w:color="CCEEFF"/>
              <w:bottom w:val="single" w:sz="8" w:color="CCEEFF"/>
            </w:tcBorders>
            <w:shd w:val="clear" w:color="auto" w:fill="CCEEFF"/>
          </w:tcPr>
          <w:p>
            <w:pPr>
              <w:jc w:val="right"/>
              <w:ind w:right="221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$1.00 - $1.36</w:t>
            </w:r>
          </w:p>
        </w:tc>
        <w:tc>
          <w:tcPr>
            <w:tcW w:w="0" w:type="dxa"/>
            <w:vAlign w:val="bottom"/>
          </w:tcPr>
          <w:p>
            <w:pPr>
              <w:spacing w:after="0"/>
              <w:rPr>
                <w:sz w:val="1"/>
                <w:szCs w:val="1"/>
                <w:color w:val="auto"/>
              </w:rPr>
            </w:pPr>
          </w:p>
        </w:tc>
      </w:tr>
      <w:tr>
        <w:trPr>
          <w:trHeight w:val="257"/>
        </w:trPr>
        <w:tc>
          <w:tcPr>
            <w:tcW w:w="6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00" w:type="dxa"/>
            <w:vAlign w:val="bottom"/>
          </w:tcPr>
          <w:p>
            <w:pPr>
              <w:jc w:val="right"/>
              <w:ind w:right="221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23"/>
                <w:szCs w:val="23"/>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derivatives are not designated as a hedging relationship. As such, changes in fair value are recognized in earnings as a component of Supply and Logistics segment revenues. For the three months ended June 30, 2020 and 2019, the amounts recognized in earnings for our currency exchange rate hedges were gains of $2 million in each respective period. For the six months ended June 30, 2020 and 2019, the amounts recognized in earnings for our currency exchange rate hedges were a loss of $4 million and a gain of $7 million, respectively.</w:t>
      </w:r>
    </w:p>
    <w:p>
      <w:pPr>
        <w:spacing w:after="0" w:line="198"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At June 30, 2020, the net fair value of these currency exchange rate hedges, which was included in “Other current liabilities” on our Condensed Consolidated Balance Sheet, totaled $2 million. At December 31, 2019, the net fair value of these currency exchange rate hedges, which was included in “Other current assets” and “Other current liabilities” on our Condensed Consolidated Balance Sheet, totaled $2 million and $1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This embedded derivative is not designated as a hedging relationship and corresponding changes in fair value are recognized in “Other income/(expense), net” in our Condensed Consolidated Statement of Operations. For the three months ended June 30, 2020 and 2019, we recognized losses of $9 million and $7 million, respectively. For the six months ended June 30, 2020 and 2019, we recognized net gains of $17 million and $16 million, respectively. The fair value of the Preferred Distribution Rate Reset Option, which was included in “Other long-term liabilities and deferred credits” on our Condensed Consolidated Balance Sheets, totaled $17 million and $34 million at June 30, 2020 and December 31, 2019, respectively. See Note 13 to our Consolidated Financial Statements included in Part IV of our 2019 Annual Report on Form 10-K for additional information regarding our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ectPr>
          <w:pgSz w:w="11900" w:h="16838" w:orient="portrait"/>
          <w:cols w:equalWidth="0" w:num="1">
            <w:col w:w="11220"/>
          </w:cols>
          <w:pgMar w:left="320" w:top="125" w:right="359" w:bottom="1440" w:gutter="0" w:footer="0" w:header="0"/>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as of June 30, 2020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1"/>
                <w:szCs w:val="11"/>
                <w:b w:val="1"/>
                <w:bCs w:val="1"/>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Commodity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ind w:left="33"/>
              <w:spacing w:after="0"/>
              <w:rPr>
                <w:sz w:val="20"/>
                <w:szCs w:val="20"/>
                <w:color w:val="auto"/>
              </w:rPr>
            </w:pPr>
            <w:r>
              <w:rPr>
                <w:rFonts w:ascii="Arial" w:cs="Arial" w:eastAsia="Arial" w:hAnsi="Arial"/>
                <w:sz w:val="18"/>
                <w:szCs w:val="18"/>
                <w:color w:val="auto"/>
                <w:w w:val="93"/>
              </w:rPr>
              <w:t>(25)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3"/>
                <w:szCs w:val="23"/>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Foreign currency derivatives</w:t>
            </w:r>
          </w:p>
        </w:tc>
        <w:tc>
          <w:tcPr>
            <w:tcW w:w="160" w:type="dxa"/>
            <w:vAlign w:val="bottom"/>
          </w:tcPr>
          <w:p>
            <w:pPr>
              <w:spacing w:after="0"/>
              <w:rPr>
                <w:sz w:val="23"/>
                <w:szCs w:val="23"/>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3"/>
                <w:szCs w:val="23"/>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center"/>
              <w:ind w:left="3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ind w:left="33"/>
              <w:spacing w:after="0"/>
              <w:rPr>
                <w:sz w:val="20"/>
                <w:szCs w:val="20"/>
                <w:color w:val="auto"/>
              </w:rPr>
            </w:pPr>
            <w:r>
              <w:rPr>
                <w:rFonts w:ascii="Arial" w:cs="Arial" w:eastAsia="Arial" w:hAnsi="Arial"/>
                <w:sz w:val="18"/>
                <w:szCs w:val="18"/>
                <w:color w:val="auto"/>
                <w:w w:val="93"/>
              </w:rPr>
              <w:t>(42)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020560" cy="891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0560" cy="8915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Fair Value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228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center"/>
              <w:ind w:left="7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130</w:t>
            </w:r>
          </w:p>
        </w:tc>
      </w:tr>
      <w:tr>
        <w:trPr>
          <w:trHeight w:val="270"/>
        </w:trPr>
        <w:tc>
          <w:tcPr>
            <w:tcW w:w="14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0"/>
        </w:trPr>
        <w:tc>
          <w:tcPr>
            <w:tcW w:w="14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70"/>
        </w:trPr>
        <w:tc>
          <w:tcPr>
            <w:tcW w:w="14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center"/>
              <w:ind w:left="73"/>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left="73"/>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53</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220"/>
            <w:col w:w="3660"/>
          </w:cols>
          <w:pgMar w:left="320" w:top="125" w:right="35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08" w:lineRule="auto"/>
        <w:rPr>
          <w:rFonts w:ascii="Arial" w:cs="Arial" w:eastAsia="Arial" w:hAnsi="Arial"/>
          <w:sz w:val="23"/>
          <w:szCs w:val="23"/>
          <w:color w:val="auto"/>
          <w:vertAlign w:val="superscript"/>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46" w:lineRule="exact"/>
        <w:rPr>
          <w:rFonts w:ascii="Arial" w:cs="Arial" w:eastAsia="Arial" w:hAnsi="Arial"/>
          <w:sz w:val="23"/>
          <w:szCs w:val="23"/>
          <w:color w:val="auto"/>
          <w:vertAlign w:val="superscript"/>
        </w:rPr>
      </w:pPr>
    </w:p>
    <w:p>
      <w:pPr>
        <w:ind w:left="660" w:right="12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(61)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21"/>
                <w:szCs w:val="21"/>
                <w:color w:val="auto"/>
              </w:rPr>
            </w:pPr>
          </w:p>
        </w:tc>
        <w:tc>
          <w:tcPr>
            <w:tcW w:w="44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Derivatives entered into during the period</w:t>
            </w:r>
          </w:p>
        </w:tc>
        <w:tc>
          <w:tcPr>
            <w:tcW w:w="82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(42)</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Change in unrealized gains/(losses) included in earnings relating to Level 3</w:t>
            </w:r>
          </w:p>
        </w:tc>
        <w:tc>
          <w:tcPr>
            <w:tcW w:w="820" w:type="dxa"/>
            <w:vAlign w:val="bottom"/>
            <w:vMerge w:val="restart"/>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(13)</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2019 Annual Report on Form 10-K for a complete discussion of our related party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June 30, 2020 and December 31, 2019, we owned 550,837,140 and 549,538,139,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7 for information regarding such entities). We recognize as our principal owners entities that have a designated representative on the board of directors of PAGP GP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 As of June 30, 2020, Kayne Anderson Capital Advisors, L.P. was a principal owner.</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and six months ended June 30, 2020 and 2019,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6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6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6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 (2) (3)</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456</w:t>
            </w:r>
          </w:p>
        </w:tc>
      </w:tr>
      <w:tr>
        <w:trPr>
          <w:trHeight w:val="256"/>
        </w:trPr>
        <w:tc>
          <w:tcPr>
            <w:tcW w:w="5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(2) (3)</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A majority of these revenues are included in “Supply and Logistics segment revenues” on our Condensed Consolidated Statements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8" w:lineRule="exact"/>
        <w:rPr>
          <w:sz w:val="20"/>
          <w:szCs w:val="20"/>
          <w:color w:val="auto"/>
        </w:rPr>
      </w:pPr>
    </w:p>
    <w:p>
      <w:pPr>
        <w:ind w:right="140" w:hanging="11"/>
        <w:spacing w:after="0" w:line="279" w:lineRule="auto"/>
        <w:rPr>
          <w:sz w:val="20"/>
          <w:szCs w:val="20"/>
          <w:color w:val="auto"/>
        </w:rPr>
      </w:pPr>
      <w:r>
        <w:rPr>
          <w:rFonts w:ascii="Arial" w:cs="Arial" w:eastAsia="Arial" w:hAnsi="Arial"/>
          <w:sz w:val="17"/>
          <w:szCs w:val="17"/>
          <w:color w:val="auto"/>
        </w:rPr>
        <w:t>Revenues and purchases and related costs from related parties for 2019 include transactions with The Energy &amp; Minerals Group (“EMG”) and its subsidiaries through May 2019 and Occidental Petroleum Corporation (“Oxy”) and its subsidiaries through September 2019. Following transactions reducing EMG and Oxy’s ownership interest in AAP in May and September 2019, respectively, EMG and Oxy are no longer recognized as principal owners. See Note 17 to our 2019 Annual Report on Form 10-K for additional information.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26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134</w:t>
            </w:r>
          </w:p>
        </w:tc>
      </w:tr>
      <w:tr>
        <w:trPr>
          <w:trHeight w:val="257"/>
        </w:trPr>
        <w:tc>
          <w:tcPr>
            <w:tcW w:w="8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80" w:hanging="11"/>
        <w:spacing w:after="0" w:line="277" w:lineRule="auto"/>
        <w:rPr>
          <w:sz w:val="20"/>
          <w:szCs w:val="20"/>
          <w:color w:val="auto"/>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8" w:lineRule="exact"/>
        <w:rPr>
          <w:sz w:val="20"/>
          <w:szCs w:val="20"/>
          <w:color w:val="auto"/>
        </w:rPr>
      </w:pPr>
    </w:p>
    <w:p>
      <w:pPr>
        <w:ind w:right="100" w:hanging="11"/>
        <w:spacing w:after="0" w:line="263" w:lineRule="auto"/>
        <w:rPr>
          <w:sz w:val="20"/>
          <w:szCs w:val="20"/>
          <w:color w:val="auto"/>
        </w:rPr>
      </w:pPr>
      <w:r>
        <w:rPr>
          <w:rFonts w:ascii="Arial" w:cs="Arial" w:eastAsia="Arial" w:hAnsi="Arial"/>
          <w:sz w:val="18"/>
          <w:szCs w:val="18"/>
          <w:color w:val="auto"/>
        </w:rPr>
        <w:t>We have agreements to store and transport crude oil at posted tariff rates on pipelines or at facilities that are owned by equity method investees, in which we own a 50% interest.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At June 30, 2020, our estimated undiscounted reserve for environmental liabilities (including liabilities related to the Line 901 incident, as discussed further below) totaled $192 million, of which $148 million was classified as short-term and $44 million was classified as long-term. At December 31, 2019, our estimated undiscounted reserve for environmental liabilities (including liabilities related to the Line 901 incident) totaled $140 million, of which $60 million was classified as short-term and $80 million was classified as long-term. Such short- and long-term environmental liabilities are reflected in “Other current liabilities” and “Other long-term liabilities and deferred credits,” respectively, on our Condensed Consolidated Balance Sheets. At June 30, 2020, we had recorded receivables totaling $126 million for amounts probable of recovery under insurance and from third parties under indemnification agreements and such amount was classified as short-term. At December 31, 2019, we had recorded $72 million of such receivables, of which $35 million was classified as short-term and $37 million was classified as long-term. Such short- and long-term receivables are reflected in “Trade accounts receivable and other receivables, net” and “Other long-term assets, net,” respectively, on our Condensed Consolidated Balance Sheets.</w:t>
      </w:r>
    </w:p>
    <w:p>
      <w:pPr>
        <w:spacing w:after="0" w:line="16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12,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which was subsequently lifted,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No timeline has been established for the restart of Line 901 or Line</w:t>
      </w:r>
    </w:p>
    <w:p>
      <w:pPr>
        <w:spacing w:after="0" w:line="4" w:lineRule="exact"/>
        <w:rPr>
          <w:sz w:val="20"/>
          <w:szCs w:val="20"/>
          <w:color w:val="auto"/>
        </w:rPr>
      </w:pPr>
    </w:p>
    <w:p>
      <w:pPr>
        <w:jc w:val="both"/>
        <w:ind w:right="260" w:firstLine="8"/>
        <w:spacing w:after="0" w:line="323"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remaining uncompleted portions of the CAO, which primarily relate to returning Lines 901 and 903 to service, have been incorporated into the Consent Decree (defined and discussed below). Upon entry of the Consent Decree by the Court, we expect that the CAO will be closed out by PHMSA.</w:t>
      </w:r>
    </w:p>
    <w:p>
      <w:pPr>
        <w:spacing w:after="0" w:line="16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All potential claims by PHMSA against PAA arising out of the Line 901 failure would be settled pursuant to the Consent Decree discussed below.</w:t>
      </w:r>
    </w:p>
    <w:p>
      <w:pPr>
        <w:spacing w:after="0" w:line="19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Also in late May of 2015,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The statute of limitations for federal criminal charges lapsed in May of 2020 with no federal criminal charges being brought against PAA or any of its affiliates, officers or employees.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The court originally certified three sub-classes of claimants and denied certification of the other proposed sub-class. On appeal, the Ninth Circuit Court of Appeals overturned the certification of one of the three sub-classes, the oil-industry sub-class, and the District Court subsequently dismissed the oil-industry sub-class representatives’ claims. The two remaining sub-classes include (i) commercial fishermen who landed fish in certain specified fishing blocks in the waters off the coast of Southern California or persons or businesses who resold commercial seafood landed in such areas; and (ii) residential beachfront properties on a beach and residential properties with a private easement to a beach where oil from the spill washed up. The court has set a trial date of September 1, 2020 for those two sub-classes, but the trial is unlikely to proceed on that date due to COVID-19 related trial suspensions.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9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In addition, four unitholder derivative lawsuits have been filed by certain purported investors in the Partnership against PAGP and certain of the Partnership’s affiliates,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8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Following the order dismissing the Texas Federal Court suits, a new derivative suit brought by different plaintiffs was filed in Delaware Chancery Court and subsequently dismissed without prejudice. Plaintiffs amended and refiled their complaint on June 3, 2019. All claims against the officers and directors of the Partnership and all affiliates of the Partnership, except PAGP, were dismissed with prejudice in January 2020. Consistent with and subject to the terms of our governing organizational documents (and to the extent applicable, insurance policies), we have indemnified and funded the defense costs of our officers and directors in connection with these lawsuits. We will vigorously defend the remaining derivative claim against PAGP.</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the Partnership and the Trustees jointly and independently planned and conducted a number of natural resource assessment activities related to the Line 901 incident. On March 13, 2020, the United States and the People of the State of California filed a civil complaint against Plains All American Pipeline, L.P. and Plains Pipeline L.P. along with a pre-negotiated settlement agreement in the form of a Consent Decree (the “Consent Decree”). The Consent Decree, which was pre-negotiated and signed by DOJ, PHMSA, EPA, CDFW, California Department of Parks and Recreation, California State Lands Commission, Office of the State Fire Marshal, Central Coast Regional Water Quality Control Board, and Regents of the University of California, will, if entered by the court, settle all of the claims asserted in the lawsuit. The Consent Decree would require Plains to pay</w:t>
      </w:r>
    </w:p>
    <w:p>
      <w:pPr>
        <w:spacing w:after="0" w:line="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$24 million in civil penalties and implement certain agreed-upon injunctive relief, and pay $22.325 million as compensation for injuries to, destruction of, loss of, or loss of use of natural resources resulting from the Line 901 incident. The Consent Decree is subject to review and approval by the Federal District Court for the Central District of California. We have included the costs associated with the Consent Decree settlement in the loss accrual described below.</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Taking the foregoing into account, as of June 30, 2020, we estimate that the aggregate total costs we have incurred or will incur with respect to the Line 901 incident will be approximately $455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of June 30, 2020, we had a remaining undiscounted gross liability of $140 million related to this event, which is presented in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2020, we had collected, subject to customary reservations, $212 million out of the approximate $330 million of release costs that we believe are probable of recovery from insurance carriers, net of deductibles. Therefore, as of June 30, 2020, we have recognized a receivable of approximately $118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2019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15"/>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95"/>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93"/>
              </w:rPr>
              <w:t>(83)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70"/>
        </w:trPr>
        <w:tc>
          <w:tcPr>
            <w:tcW w:w="4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left="597"/>
              <w:spacing w:after="0"/>
              <w:rPr>
                <w:sz w:val="20"/>
                <w:szCs w:val="20"/>
                <w:color w:val="auto"/>
              </w:rPr>
            </w:pPr>
            <w:r>
              <w:rPr>
                <w:rFonts w:ascii="Arial" w:cs="Arial" w:eastAsia="Arial" w:hAnsi="Arial"/>
                <w:sz w:val="18"/>
                <w:szCs w:val="18"/>
                <w:color w:val="auto"/>
                <w:w w:val="89"/>
              </w:rPr>
              <w:t>83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83"/>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2,925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8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8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12"/>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2019</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70"/>
        </w:trPr>
        <w:tc>
          <w:tcPr>
            <w:tcW w:w="4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83"/>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8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8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10,833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70"/>
        </w:trPr>
        <w:tc>
          <w:tcPr>
            <w:tcW w:w="4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83"/>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10,834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8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8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2019</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15,936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270"/>
        </w:trPr>
        <w:tc>
          <w:tcPr>
            <w:tcW w:w="4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84"/>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15,938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8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8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2020</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13,815</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24,037</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14,902</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00" w:hanging="11"/>
        <w:spacing w:after="0" w:line="273" w:lineRule="auto"/>
        <w:rPr>
          <w:sz w:val="20"/>
          <w:szCs w:val="20"/>
          <w:color w:val="auto"/>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2019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70" w:lineRule="exact"/>
        <w:rPr>
          <w:sz w:val="20"/>
          <w:szCs w:val="20"/>
          <w:color w:val="auto"/>
        </w:rPr>
      </w:pPr>
    </w:p>
    <w:p>
      <w:pPr>
        <w:ind w:right="4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ectPr>
          <w:pgSz w:w="11900" w:h="16838" w:orient="portrait"/>
          <w:cols w:equalWidth="0" w:num="2">
            <w:col w:w="140" w:space="520"/>
            <w:col w:w="10460"/>
          </w:cols>
          <w:pgMar w:left="320" w:top="12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PAA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5840" w:type="dxa"/>
            <w:vAlign w:val="bottom"/>
          </w:tcPr>
          <w:p>
            <w:pPr>
              <w:ind w:left="180"/>
              <w:spacing w:after="0" w:line="176" w:lineRule="exact"/>
              <w:rPr>
                <w:sz w:val="20"/>
                <w:szCs w:val="20"/>
                <w:color w:val="auto"/>
              </w:rPr>
            </w:pPr>
            <w:r>
              <w:rPr>
                <w:rFonts w:ascii="Arial" w:cs="Arial" w:eastAsia="Arial" w:hAnsi="Arial"/>
                <w:sz w:val="18"/>
                <w:szCs w:val="18"/>
                <w:color w:val="auto"/>
              </w:rPr>
              <w:t>Gains/(losses) from derivative activities, net of inventory valuation</w:t>
            </w:r>
          </w:p>
        </w:tc>
        <w:tc>
          <w:tcPr>
            <w:tcW w:w="300" w:type="dxa"/>
            <w:vAlign w:val="bottom"/>
          </w:tcPr>
          <w:p>
            <w:pPr>
              <w:spacing w:after="0"/>
              <w:rPr>
                <w:sz w:val="15"/>
                <w:szCs w:val="15"/>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840" w:type="dxa"/>
            <w:vAlign w:val="bottom"/>
          </w:tcPr>
          <w:p>
            <w:pPr>
              <w:ind w:left="180"/>
              <w:spacing w:after="0"/>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840" w:type="dxa"/>
            <w:vAlign w:val="bottom"/>
          </w:tcPr>
          <w:p>
            <w:pPr>
              <w:ind w:left="18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30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840" w:type="dxa"/>
            <w:vAlign w:val="bottom"/>
          </w:tcPr>
          <w:p>
            <w:pPr>
              <w:ind w:left="180"/>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(9)</w:t>
            </w:r>
          </w:p>
        </w:tc>
        <w:tc>
          <w:tcPr>
            <w:tcW w:w="30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Income tax (expense)/benefit</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87"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units.</w:t>
      </w:r>
    </w:p>
    <w:p>
      <w:pPr>
        <w:spacing w:after="0" w:line="117"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for additional information regarding the Line 901 incident.</w:t>
      </w:r>
    </w:p>
    <w:p>
      <w:pPr>
        <w:spacing w:after="0" w:line="62" w:lineRule="exact"/>
        <w:rPr>
          <w:sz w:val="20"/>
          <w:szCs w:val="20"/>
          <w:color w:val="auto"/>
        </w:rPr>
      </w:pPr>
    </w:p>
    <w:p>
      <w:pPr>
        <w:jc w:val="both"/>
        <w:ind w:left="20" w:right="40" w:hanging="11"/>
        <w:spacing w:after="0" w:line="286" w:lineRule="auto"/>
        <w:rPr>
          <w:sz w:val="20"/>
          <w:szCs w:val="20"/>
          <w:color w:val="auto"/>
        </w:rPr>
      </w:pPr>
      <w:r>
        <w:rPr>
          <w:rFonts w:ascii="Arial" w:cs="Arial" w:eastAsia="Arial" w:hAnsi="Arial"/>
          <w:sz w:val="17"/>
          <w:szCs w:val="17"/>
          <w:color w:val="auto"/>
        </w:rPr>
        <w:t>Includes acquisition-related expenses associated with the Felix Midstream LLC acquisition. See Note 14 for additional discussion. An adjustment for these non-recurring expenses is included in the calculation of Segment Adjusted EBITDA for the three and six months ended June 30, 2020 as our CODM does not view such expenses as integral to understanding our core segment operating performance.</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14—Acquisitions, Divestitures and Asset Impairments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 xml:space="preserve">Felix Midstream LLC. </w:t>
      </w:r>
      <w:r>
        <w:rPr>
          <w:rFonts w:ascii="Arial" w:cs="Arial" w:eastAsia="Arial" w:hAnsi="Arial"/>
          <w:sz w:val="16"/>
          <w:szCs w:val="16"/>
          <w:color w:val="auto"/>
        </w:rPr>
        <w:t>In February 2020, we acquired Felix Midstream LLC, now known as FM Gathering LLC (“FM Gathering”) from Felix</w:t>
      </w:r>
      <w:r>
        <w:rPr>
          <w:rFonts w:ascii="Arial" w:cs="Arial" w:eastAsia="Arial" w:hAnsi="Arial"/>
          <w:sz w:val="16"/>
          <w:szCs w:val="16"/>
          <w:i w:val="1"/>
          <w:iCs w:val="1"/>
          <w:color w:val="auto"/>
        </w:rPr>
        <w:t xml:space="preserve"> </w:t>
      </w:r>
      <w:r>
        <w:rPr>
          <w:rFonts w:ascii="Arial" w:cs="Arial" w:eastAsia="Arial" w:hAnsi="Arial"/>
          <w:sz w:val="16"/>
          <w:szCs w:val="16"/>
          <w:color w:val="auto"/>
        </w:rPr>
        <w:t>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primarily included in our Transportation and Supply and Logistics segments. This acquisition was accounted for using the acquisition method of accounting and the determination of the fair value of the assets acquired and liabilities assumed has been estimated in accordance with the applicable accounting guidance. The determination of these values is preliminary and we expect to finalize our fair value determination in 2020. The assets acquired primarily consisted of property and equipment of $115 million and intangible assets of $187 million. The preliminary fair value of the tangible assets is a Level 3 measurement in the fair value hierarchy and was determined using a cost approach. The cost approach was based on costs incurred on similar recent construction projects. The preliminary fair value of the intangible assets is also a Level 3 measurement in the fair value hierarchy and was determined by applying a discounted cash flow approach. Such approach utilized discount rates varying from 15% to 16%, based on our estimate of the risk that a theoretical market participant would assign to the respective intangible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i w:val="1"/>
          <w:iCs w:val="1"/>
          <w:color w:val="auto"/>
        </w:rPr>
        <w:t xml:space="preserve">Saddlehorn Pipeline Company, LLC. </w:t>
      </w:r>
      <w:r>
        <w:rPr>
          <w:rFonts w:ascii="Arial" w:cs="Arial" w:eastAsia="Arial" w:hAnsi="Arial"/>
          <w:sz w:val="17"/>
          <w:szCs w:val="17"/>
          <w:color w:val="auto"/>
        </w:rPr>
        <w:t>In February 2020, we sold a 10% ownership interest in Saddlehorn Pipeline Company, LLC for proceeds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$78 million, including working capital adjustments. We recorded a gain of approximately $21 million related to this sale, which is included in “Gain on/(impairment of) investments in unconsolidated entities, net” on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As of June 30, 2020, we classified approximately $198 million as assets held for sale on our Condensed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(in “Other current assets”). The assets held for sale, which were valued based on fair value less costs to sell, are primarily property and equipment, are included in our Facilities segment and are related to transactions to sell our interests in certain Los Angeles Basin (“LA Basin”) terminals. In January 2020, we signed a definitive agreement to sell certain of our LA Basin crude oil terminals for $195 million, subject to certain adjustments. We expect the transaction to close in the second half of 2020, subject to customary closing conditions, including the receipt of regulatory approvals.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first quarter of 2020, certain NGL terminals included in our Facilities segment were also classified as held for sale. In April 2020, the transaction closed for proceeds of approximately $163 million, subject to certain adjustments.</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Upon these classifications to assets held for sale, we recognized non-cash impairment losses of approximately $167 million during the first quarter of 2020. Such impairment losses are reflected in “(Gains)/losses on asset sales and asset impairments, net” on our Condensed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 (Held and Used)</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During the six months ended June 30, 2020, we recognized approximately $558 million of non-cash impairment losses related to certain pipeline and other long-lived assets included in our Transportation and Facilities segments, along with certain of our investments in unconsolidated entities. Of these losses, approximately $446 million is reflected in “(Gains)/losses on asset sales and asset impairments, net” with the remainder reflected in “Gain on/(impairment of) investments in unconsolidated entities, net” on our Condensed Consolidated Statement of Operations. A majority of the impairment losses were recognized during the first quarter of 2020. See Note 7 for additional information regarding our investments in unconsolidated entities.</w:t>
      </w:r>
    </w:p>
    <w:p>
      <w:pPr>
        <w:spacing w:after="0" w:line="18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current macroeconomic and geopolitical conditions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volumes (based on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2019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&amp; Outlook</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During the first quarter of 2020, COVID-19 escalated into a global pandemic, which led to widespread shelter-in-place or similar requirements throughout North America and across the world, resulting in significantly reduced energy demand. Early in the second quarter, North American producers responded aggressively by shutting in significant levels of production, which mitigated the pace of crude oil inventory builds and the risk of testing storage maximums. In addition, throughout the second quarter, U.S. refinery utilization increased, the previously steep contango market structure tempered, and crude oil prices improved to levels supporting the ability for producers to bring a substantial portion of previously shut-in production back on line.</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However, the U.S. Lower 48 horizontal crude oil rig count continued to decline and currently sits at approximately 20% of 2019 peak levels. In addition, U.S. inventories of crude oil, gasoline, and distillate remain at historically high levels. The combination of steep shale declines relative to drilling and completion activity, substantial inventory overhang, and the potential for a prolonged demand recovery could challenge the ability for North American liquids production to return to a sustainable growth trajectory in 2020 and potentially into 2021. Furthermore, we expect a continuation of elevated near-term market uncertainty to be driven by risks including potential COVID-19 resurgence, regulatory changes and evolving geo-political dynamics. In aggregate, we expect these market dynamics to have a negative impact on our business relative to pre-pandemic levels, with the impacts in 2021 potentially being more pronounced than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response to the challenging near-term market conditions, we have taken steps to further strengthen our balance sheet, liquidity and long-term financial flexibility. These actions include significantly reducing and continuing to challenge our capital program, reducing the amount of our common unit distribution payable, progressing asset sales, and reducing costs, while remaining focused on operating safely and responsibly.</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Specifically, since April, we have reduced our 2020/2021 capital program by $850 million, or 37%, and have decreased our common unit distributions and PAGP’s Class A share distributions by 50% (as paid in May 2020 and payable in August 2020) versus the distributions paid in February 2020, which reflects a reduction of $525 million on an annualized basis. We have completed approximately $250 million of asset sales (which amount excludes a previously announced approximately $195 million asset sale that remains under a definitive agreement and is expected to close later in the year). While each of these actions should contribute to a stronger balance sheet and enhanced liquidity and long-term financial flexibility, we can provide no assurance that we will be able to effect certain future actions (such as additional capital reductions, asset sales and expense reductions) and additional actions may be necessary to achieve our balance sheet, liquidity and financial security objectives.</w:t>
      </w:r>
    </w:p>
    <w:p>
      <w:pPr>
        <w:spacing w:after="0" w:line="20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In addition, many governments have enacted or are contemplating measures to provide aid and economic stimulus in response to the COVID-19 pandemic. These measures include actions by both the U.S. federal government and the government of Canada. There has been no material impact to our financial position, results of operations or cash flows resulting from these measures.</w:t>
      </w:r>
    </w:p>
    <w:p>
      <w:pPr>
        <w:spacing w:after="0" w:line="211"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While some modifications in our operations have been necessary to deal with risks associated with the COVID-19 pandemic, we have not experienced any material constraints in our ability to continue our essential business functions and have not incurred any significant additional operating costs as a result of the pandemic, including costs associated with navigating the applicable shelter-in-place or similar restrictions and implementing our business continuity plans. We remain focused on the health and safety of our workforce, and have modified our operations in ways that we believe are prudent and appropriate in order to protect our employees while continuing to operate our assets in an effective, safe and responsible manner.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macroeconomic and industry specific challenges discussed above have resulted in a number of impairment charges recognized during the first half of 2020 as discussed further below. See “—Liquidity and Capital Resources” for additional discussion of the expected and potential impact of COVID-19 and related market conditions on our business.</w:t>
      </w:r>
    </w:p>
    <w:p>
      <w:pPr>
        <w:spacing w:after="0" w:line="21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During the first six months of 2020, we recognized a net loss of $2.701 billion as compared to net income of $1.418 billion recognized during the first six months of 2019. The net loss for the period was driven by goodwill impairment losses of $2.5 billion and was also impacted by non-cash impairment charges of approximately $725 million related to the write-down of certain pipeline and other long-lived assets, certain of our investments in unconsolidated entities, and assets upon classification as held for sale. In addition, we recognized approximately $232 million of inventory valuation adjustments due to declines in commodity prices during the first quarter of 2020.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 were also impacted by:</w:t>
      </w:r>
    </w:p>
    <w:p>
      <w:pPr>
        <w:spacing w:after="0" w:line="239" w:lineRule="exact"/>
        <w:rPr>
          <w:sz w:val="20"/>
          <w:szCs w:val="20"/>
          <w:color w:val="auto"/>
        </w:rPr>
      </w:pPr>
    </w:p>
    <w:p>
      <w:pPr>
        <w:ind w:left="1300" w:hanging="320"/>
        <w:spacing w:after="0" w:line="259"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favorable results from our Supply and Logistics segment due to less favorable crude oil differentials, the impact of weighted average inventory costing resulting in lower crude oil margins during the period (which will result in higher margins in the second half of 2020), lower NGL margins and the unfavorable impact of the mark-to-market of certain derivative instruments, resulting from losses recognized in the 2020 period compared to gains in the 2019 period;</w:t>
      </w:r>
    </w:p>
    <w:p>
      <w:pPr>
        <w:spacing w:after="0" w:line="213" w:lineRule="exact"/>
        <w:rPr>
          <w:rFonts w:ascii="Arial" w:cs="Arial" w:eastAsia="Arial" w:hAnsi="Arial"/>
          <w:sz w:val="18"/>
          <w:szCs w:val="18"/>
          <w:color w:val="auto"/>
        </w:rPr>
      </w:pPr>
    </w:p>
    <w:p>
      <w:pPr>
        <w:ind w:left="1300" w:right="60" w:hanging="320"/>
        <w:spacing w:after="0" w:line="263" w:lineRule="auto"/>
        <w:tabs>
          <w:tab w:leader="none" w:pos="1295"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Less favorable results from our Transportation segment driven by lower volumes from shut-ins of crude oil production and tight regional basis differentials, a portion of which are covered by minimum volume commitments that will be made up or paid for in future periods, and lower pipeline loss allowance revenue in 2020 due to lower prices and volumes;</w:t>
      </w:r>
    </w:p>
    <w:p>
      <w:pPr>
        <w:spacing w:after="0" w:line="210" w:lineRule="exact"/>
        <w:rPr>
          <w:rFonts w:ascii="Arial" w:cs="Arial" w:eastAsia="Arial" w:hAnsi="Arial"/>
          <w:sz w:val="18"/>
          <w:szCs w:val="18"/>
          <w:i w:val="1"/>
          <w:iCs w:val="1"/>
          <w:color w:val="auto"/>
        </w:rPr>
      </w:pPr>
    </w:p>
    <w:p>
      <w:pPr>
        <w:ind w:left="1300" w:right="300" w:hanging="320"/>
        <w:spacing w:after="0" w:line="308" w:lineRule="auto"/>
        <w:tabs>
          <w:tab w:leader="none" w:pos="12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Higher depreciation and amortization expense in the 2020 period primarily due to additional depreciation expense associated with the completion of various capital expansion projects and an adjustment to the useful lives of certain assets;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foreign currency impacts of $23 million recognized in “Other income/(expense), net” in the 2020 period;</w:t>
      </w:r>
    </w:p>
    <w:p>
      <w:pPr>
        <w:spacing w:after="0" w:line="252" w:lineRule="exact"/>
        <w:rPr>
          <w:rFonts w:ascii="Arial" w:cs="Arial" w:eastAsia="Arial" w:hAnsi="Arial"/>
          <w:sz w:val="18"/>
          <w:szCs w:val="18"/>
          <w:color w:val="auto"/>
        </w:rPr>
      </w:pPr>
    </w:p>
    <w:p>
      <w:pPr>
        <w:ind w:left="1300" w:right="220" w:hanging="320"/>
        <w:spacing w:after="0" w:line="259"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gain of $21 million recognized in the current period related to the sale of a portion of our interest in Saddlehorn Pipeline Company, LLC in February 2020, compared to a non-cash gain of $267 million recognized in the 2019 period related to a fair value adjustment resulting from the accounting for the contribution of our undivided joint interest in the Capline pipeline system for an equity interest in Capline Pipeline Company LLC; partially offset by</w:t>
      </w:r>
    </w:p>
    <w:p>
      <w:pPr>
        <w:spacing w:after="0" w:line="213" w:lineRule="exact"/>
        <w:rPr>
          <w:rFonts w:ascii="Arial" w:cs="Arial" w:eastAsia="Arial" w:hAnsi="Arial"/>
          <w:sz w:val="18"/>
          <w:szCs w:val="18"/>
          <w:color w:val="auto"/>
        </w:rPr>
      </w:pPr>
    </w:p>
    <w:p>
      <w:pPr>
        <w:jc w:val="both"/>
        <w:ind w:left="1300" w:right="120" w:hanging="320"/>
        <w:spacing w:after="0" w:line="286" w:lineRule="auto"/>
        <w:tabs>
          <w:tab w:leader="none" w:pos="1295"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Favorable results from our Facilities segment due to increased activity and capacity in our crude oil storage operations and the receipt of a deficiency payment upon the expiration of a multi-year contract, which were partially offset by decreased activity at our rail terminals and the impact from the sale of certain NGL terminals in the fourth quarter of 2019 and the second quarter of 2020.</w:t>
      </w:r>
    </w:p>
    <w:p>
      <w:pPr>
        <w:spacing w:after="0" w:line="19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invested $654 million in midstream infrastructure projects during the six months ended June 30, 2020, which primarily related to projects under development in the Permian Basin. Additionally, during the first quarter of 2020, we acquired approximately $308 million of assets, which primarily included a crude oil gathering system located in the Delaware Basin. See the “—Acquisitions and Capital Projects” section below for additional information.</w:t>
      </w:r>
    </w:p>
    <w:p>
      <w:pPr>
        <w:spacing w:after="0" w:line="214"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In June 2020, we completed the issuance of $750 million, 3.80% senior notes due September 2030. We intend to use the net proceeds from this offering of $742 million, after deducting the underwriting discount and offering expenses, to repay the principal amounts of our 5.00% senior notes due February 2021 and, pending such repayment, have used a portion of the proceeds to repay outstanding borrowings under our commercial paper program, credit facilities and for general partnership purposes.</w:t>
      </w:r>
    </w:p>
    <w:p>
      <w:pPr>
        <w:spacing w:after="0" w:line="214"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We paid approximately $393 million of cash distributions to our common unitholders during the six months ended June 30, 2020. We also paid cash distributions of approximately $74 million to our Series A preferred unitholders, and we paid a semi-annual cash distribution of $25 million to our Series B preferred unitholders.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capital</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w:t>
            </w:r>
          </w:p>
        </w:tc>
      </w:tr>
      <w:tr>
        <w:trPr>
          <w:trHeight w:val="270"/>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(2)</w:t>
            </w:r>
          </w:p>
        </w:tc>
        <w:tc>
          <w:tcPr>
            <w:tcW w:w="880" w:type="dxa"/>
            <w:vAlign w:val="bottom"/>
          </w:tcPr>
          <w:p>
            <w:pPr>
              <w:spacing w:after="0"/>
              <w:rPr>
                <w:sz w:val="23"/>
                <w:szCs w:val="23"/>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695</w:t>
            </w:r>
          </w:p>
        </w:tc>
      </w:t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(2)</w:t>
            </w:r>
          </w:p>
        </w:tc>
        <w:tc>
          <w:tcPr>
            <w:tcW w:w="8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118</w:t>
            </w:r>
          </w:p>
        </w:tc>
      </w:tr>
      <w:tr>
        <w:trPr>
          <w:trHeight w:val="237"/>
        </w:trPr>
        <w:tc>
          <w:tcPr>
            <w:tcW w:w="8260" w:type="dxa"/>
            <w:vAlign w:val="bottom"/>
          </w:tcPr>
          <w:p>
            <w:pPr>
              <w:spacing w:after="0"/>
              <w:rPr>
                <w:sz w:val="20"/>
                <w:szCs w:val="20"/>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1,066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860</w:t>
            </w:r>
          </w:p>
        </w:tc>
      </w:tr>
      <w:tr>
        <w:trPr>
          <w:trHeight w:val="27"/>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240" w:hanging="11"/>
        <w:spacing w:after="0" w:line="277" w:lineRule="auto"/>
        <w:rPr>
          <w:sz w:val="20"/>
          <w:szCs w:val="20"/>
          <w:color w:val="auto"/>
        </w:rPr>
      </w:pPr>
      <w:r>
        <w:rPr>
          <w:rFonts w:ascii="Arial" w:cs="Arial" w:eastAsia="Arial" w:hAnsi="Arial"/>
          <w:sz w:val="18"/>
          <w:szCs w:val="18"/>
          <w:color w:val="auto"/>
        </w:rPr>
        <w:t>Contributions to unconsolidated entities related to expansion projects of such entities are recognized in “Expansion capital.” We account for our investments in such entities under the equity method of accounting.</w:t>
      </w:r>
    </w:p>
    <w:p>
      <w:pPr>
        <w:spacing w:after="0" w:line="62" w:lineRule="exact"/>
        <w:rPr>
          <w:sz w:val="20"/>
          <w:szCs w:val="20"/>
          <w:color w:val="auto"/>
        </w:rPr>
      </w:pPr>
    </w:p>
    <w:p>
      <w:pPr>
        <w:jc w:val="both"/>
        <w:ind w:right="28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April 2020, in response to the current dynamic and uncertain market conditions, we announced our plan to significantly reduce and continue to challenge our capital program. Total expansion capital for 2020/2021 is now targeted to be approximately $1.45 billion, or $850 million (37%) lower than the previously targeted $2.3 billion capital program, and $1.45 billion (50%) lower when eliminating $600 million of assumed joint venture project financing (net to our share) for the Red Oak project, which was deferred in March 2020. During the second quarter, we (“PAA”) determined that we would not proceed with the project as previously contemplated. The balance of the capital reductions relate to cancellations, cost savings and scope adjustments to other capital projects. The following table summarizes our notable projects in progress during 2020 and the estimated cost for the year ending December 31, 2020 (in millions):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Long-haul Pipeline Projects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210</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320</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205</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Selected Facilities/Downstream Projects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140</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w:t>
            </w:r>
          </w:p>
        </w:tc>
      </w:tr>
      <w:tr>
        <w:trPr>
          <w:trHeight w:val="263"/>
        </w:trPr>
        <w:tc>
          <w:tcPr>
            <w:tcW w:w="9780" w:type="dxa"/>
            <w:vAlign w:val="bottom"/>
            <w:gridSpan w:val="2"/>
          </w:tcPr>
          <w:p>
            <w:pPr>
              <w:ind w:left="120"/>
              <w:spacing w:after="0"/>
              <w:rPr>
                <w:sz w:val="20"/>
                <w:szCs w:val="20"/>
                <w:color w:val="auto"/>
              </w:rPr>
            </w:pPr>
            <w:r>
              <w:rPr>
                <w:rFonts w:ascii="Arial" w:cs="Arial" w:eastAsia="Arial" w:hAnsi="Arial"/>
                <w:sz w:val="18"/>
                <w:szCs w:val="18"/>
                <w:color w:val="auto"/>
              </w:rPr>
              <w:t>Total Projected 2020 Expansion Capital Expenditures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1,000</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0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xml:space="preserve">Transportation Segment Adjusted EBITDA </w:t>
            </w:r>
            <w:r>
              <w:rPr>
                <w:rFonts w:ascii="Arial" w:cs="Arial" w:eastAsia="Arial" w:hAnsi="Arial"/>
                <w:sz w:val="23"/>
                <w:szCs w:val="23"/>
                <w:color w:val="auto"/>
                <w:w w:val="96"/>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Supply and Logistics Segment Adjusted</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unconsolidated entities</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520" w:type="dxa"/>
            <w:vAlign w:val="bottom"/>
          </w:tcPr>
          <w:p>
            <w:pPr>
              <w:ind w:left="120"/>
              <w:spacing w:after="0"/>
              <w:rPr>
                <w:sz w:val="20"/>
                <w:szCs w:val="20"/>
                <w:color w:val="auto"/>
              </w:rPr>
            </w:pPr>
            <w:r>
              <w:rPr>
                <w:rFonts w:ascii="Arial" w:cs="Arial" w:eastAsia="Arial" w:hAnsi="Arial"/>
                <w:sz w:val="18"/>
                <w:szCs w:val="18"/>
                <w:color w:val="auto"/>
              </w:rPr>
              <w:t>Selected items impacting comparability -</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20"/>
              <w:spacing w:after="0"/>
              <w:rPr>
                <w:sz w:val="20"/>
                <w:szCs w:val="20"/>
                <w:color w:val="auto"/>
              </w:rPr>
            </w:pPr>
            <w:r>
              <w:rPr>
                <w:rFonts w:ascii="Arial" w:cs="Arial" w:eastAsia="Arial" w:hAnsi="Arial"/>
                <w:sz w:val="18"/>
                <w:szCs w:val="18"/>
                <w:color w:val="auto"/>
              </w:rPr>
              <w:t>Segment Adjusted EBITDA</w:t>
            </w:r>
          </w:p>
        </w:tc>
        <w:tc>
          <w:tcPr>
            <w:tcW w:w="18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Gains/(losses) on asset sales and asset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impairments, net</w:t>
            </w:r>
          </w:p>
        </w:tc>
        <w:tc>
          <w:tcPr>
            <w:tcW w:w="18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(2,515)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Gain on/(impairment of) investments in</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unconsolidated entities, net</w:t>
            </w:r>
          </w:p>
        </w:tc>
        <w:tc>
          <w:tcPr>
            <w:tcW w:w="18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18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400 %</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8"/>
              </w:rPr>
              <w:t>(2,701)</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7"/>
              </w:rPr>
              <w:t>1,418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8"/>
              </w:rPr>
              <w:t>(4,119)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63"/>
        </w:trPr>
        <w:tc>
          <w:tcPr>
            <w:tcW w:w="352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(2,705)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7"/>
              </w:rPr>
              <w:t>1,416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(4,121)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(291)%</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Basic net income/(loss)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Basic weighted average common units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280" w:hanging="652"/>
        <w:spacing w:after="0" w:line="260" w:lineRule="auto"/>
        <w:tabs>
          <w:tab w:leader="none" w:pos="64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and other general partnership purposes.</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Income/(Loss),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w:t>
      </w:r>
    </w:p>
    <w:p>
      <w:pPr>
        <w:spacing w:after="0" w:line="4" w:lineRule="exact"/>
        <w:rPr>
          <w:sz w:val="20"/>
          <w:szCs w:val="20"/>
          <w:color w:val="auto"/>
        </w:rPr>
      </w:pPr>
    </w:p>
    <w:p>
      <w:pPr>
        <w:jc w:val="both"/>
        <w:ind w:right="420" w:firstLine="8"/>
        <w:spacing w:after="0" w:line="281" w:lineRule="auto"/>
        <w:tabs>
          <w:tab w:leader="none" w:pos="2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w:t>
      </w:r>
    </w:p>
    <w:p>
      <w:pPr>
        <w:spacing w:after="0" w:line="1" w:lineRule="exact"/>
        <w:rPr>
          <w:rFonts w:ascii="Arial" w:cs="Arial" w:eastAsia="Arial" w:hAnsi="Arial"/>
          <w:sz w:val="16"/>
          <w:szCs w:val="16"/>
          <w:color w:val="auto"/>
        </w:rPr>
      </w:pPr>
    </w:p>
    <w:p>
      <w:pPr>
        <w:ind w:right="20" w:firstLine="8"/>
        <w:spacing w:after="0" w:line="290"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jc w:val="both"/>
        <w:ind w:right="140"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and other general partnership purposes. Free Cash Flow is defined as Net Cash Provided by Operating Activities, less Net Cash Used in Investing Activities, which primarily includes acquisition, expansion and maintenance capital expenditures, investments in unconsolidated entities and the impact from the purchase and sale of linefill and base gas, net of proceeds from the sales of assets and further impacted by distributions to, contributions from and proceeds from the sale of noncontrolling interests. Free Cash Flow is further reduced by cash distributions paid to preferred and common unitholders to arrive at Free Cash Flow After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set forth the reconciliation of the non-GAAP financial performance measures Adjusted EBITDA and Implied DCF from Net Income/(Loss)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2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rPr>
                <w:sz w:val="20"/>
                <w:szCs w:val="20"/>
                <w:color w:val="auto"/>
              </w:rPr>
            </w:pPr>
            <w:r>
              <w:rPr>
                <w:rFonts w:ascii="Arial" w:cs="Arial" w:eastAsia="Arial" w:hAnsi="Arial"/>
                <w:sz w:val="18"/>
                <w:szCs w:val="18"/>
                <w:color w:val="auto"/>
              </w:rPr>
              <w:t>Income tax expense/(benefit)</w:t>
            </w:r>
          </w:p>
        </w:tc>
        <w:tc>
          <w:tcPr>
            <w:tcW w:w="18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340" w:type="dxa"/>
            <w:vAlign w:val="bottom"/>
          </w:tcPr>
          <w:p>
            <w:pPr>
              <w:ind w:left="120"/>
              <w:spacing w:after="0"/>
              <w:rPr>
                <w:sz w:val="20"/>
                <w:szCs w:val="20"/>
                <w:color w:val="auto"/>
              </w:rPr>
            </w:pPr>
            <w:r>
              <w:rPr>
                <w:rFonts w:ascii="Arial" w:cs="Arial" w:eastAsia="Arial" w:hAnsi="Arial"/>
                <w:sz w:val="18"/>
                <w:szCs w:val="18"/>
                <w:color w:val="auto"/>
              </w:rPr>
              <w:t>(Gains)/losses on asset sales and asset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impairments, net</w:t>
            </w:r>
          </w:p>
        </w:tc>
        <w:tc>
          <w:tcPr>
            <w:tcW w:w="18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impairment losses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40" w:type="dxa"/>
            <w:vAlign w:val="bottom"/>
          </w:tcPr>
          <w:p>
            <w:pPr>
              <w:ind w:left="120"/>
              <w:spacing w:after="0"/>
              <w:rPr>
                <w:sz w:val="20"/>
                <w:szCs w:val="20"/>
                <w:color w:val="auto"/>
              </w:rPr>
            </w:pPr>
            <w:r>
              <w:rPr>
                <w:rFonts w:ascii="Arial" w:cs="Arial" w:eastAsia="Arial" w:hAnsi="Arial"/>
                <w:sz w:val="18"/>
                <w:szCs w:val="18"/>
                <w:color w:val="auto"/>
              </w:rPr>
              <w:t>(Gain on)/impairment of investments in</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unconsolidated entities, net</w:t>
            </w:r>
          </w:p>
        </w:tc>
        <w:tc>
          <w:tcPr>
            <w:tcW w:w="18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Depreciation and amortization of</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rPr>
                <w:sz w:val="20"/>
                <w:szCs w:val="20"/>
                <w:color w:val="auto"/>
              </w:rPr>
            </w:pPr>
            <w:r>
              <w:rPr>
                <w:rFonts w:ascii="Arial" w:cs="Arial" w:eastAsia="Arial" w:hAnsi="Arial"/>
                <w:sz w:val="18"/>
                <w:szCs w:val="18"/>
                <w:color w:val="auto"/>
                <w:w w:val="99"/>
              </w:rPr>
              <w:t>Selected Items Impacting Comparability:</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3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7"/>
              </w:rPr>
              <w:t>(Gains)/losses from derivative activities,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400"/>
              <w:spacing w:after="0" w:line="182" w:lineRule="exact"/>
              <w:rPr>
                <w:sz w:val="20"/>
                <w:szCs w:val="20"/>
                <w:color w:val="auto"/>
              </w:rPr>
            </w:pPr>
            <w:r>
              <w:rPr>
                <w:rFonts w:ascii="Arial" w:cs="Arial" w:eastAsia="Arial" w:hAnsi="Arial"/>
                <w:sz w:val="18"/>
                <w:szCs w:val="18"/>
                <w:color w:val="auto"/>
                <w:w w:val="96"/>
              </w:rPr>
              <w:t>net of inventory valuation adjustments</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(2)</w:t>
            </w:r>
          </w:p>
        </w:tc>
        <w:tc>
          <w:tcPr>
            <w:tcW w:w="1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40" w:type="dxa"/>
            <w:vAlign w:val="bottom"/>
          </w:tcPr>
          <w:p>
            <w:pPr>
              <w:ind w:left="240"/>
              <w:spacing w:after="0" w:line="182" w:lineRule="exact"/>
              <w:rPr>
                <w:sz w:val="20"/>
                <w:szCs w:val="20"/>
                <w:color w:val="auto"/>
              </w:rPr>
            </w:pPr>
            <w:r>
              <w:rPr>
                <w:rFonts w:ascii="Arial" w:cs="Arial" w:eastAsia="Arial" w:hAnsi="Arial"/>
                <w:sz w:val="18"/>
                <w:szCs w:val="18"/>
                <w:color w:val="auto"/>
                <w:w w:val="95"/>
              </w:rPr>
              <w:t>Long-term inventory costing adjustments</w:t>
            </w:r>
          </w:p>
        </w:tc>
        <w:tc>
          <w:tcPr>
            <w:tcW w:w="180" w:type="dxa"/>
            <w:vAlign w:val="bottom"/>
          </w:tcPr>
          <w:p>
            <w:pPr>
              <w:spacing w:after="0"/>
              <w:rPr>
                <w:sz w:val="15"/>
                <w:szCs w:val="15"/>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3340" w:type="dxa"/>
            <w:vAlign w:val="bottom"/>
          </w:tcPr>
          <w:p>
            <w:pPr>
              <w:ind w:left="40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ind w:left="240"/>
              <w:spacing w:after="0" w:line="179" w:lineRule="exact"/>
              <w:rPr>
                <w:sz w:val="20"/>
                <w:szCs w:val="20"/>
                <w:color w:val="auto"/>
              </w:rPr>
            </w:pPr>
            <w:r>
              <w:rPr>
                <w:rFonts w:ascii="Arial" w:cs="Arial" w:eastAsia="Arial" w:hAnsi="Arial"/>
                <w:sz w:val="18"/>
                <w:szCs w:val="18"/>
                <w:color w:val="auto"/>
              </w:rPr>
              <w:t>Deficiencies under minimum volume</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40"/>
              <w:spacing w:after="0"/>
              <w:rPr>
                <w:sz w:val="20"/>
                <w:szCs w:val="20"/>
                <w:color w:val="auto"/>
              </w:rPr>
            </w:pPr>
            <w:r>
              <w:rPr>
                <w:rFonts w:ascii="Arial" w:cs="Arial" w:eastAsia="Arial" w:hAnsi="Arial"/>
                <w:sz w:val="18"/>
                <w:szCs w:val="18"/>
                <w:color w:val="auto"/>
                <w:w w:val="92"/>
              </w:rPr>
              <w:t xml:space="preserve">Equity-indexed compensation expense </w:t>
            </w:r>
            <w:r>
              <w:rPr>
                <w:rFonts w:ascii="Arial" w:cs="Arial" w:eastAsia="Arial" w:hAnsi="Arial"/>
                <w:sz w:val="23"/>
                <w:szCs w:val="23"/>
                <w:color w:val="auto"/>
                <w:w w:val="92"/>
                <w:vertAlign w:val="superscript"/>
              </w:rPr>
              <w:t>(5)</w:t>
            </w:r>
          </w:p>
        </w:tc>
        <w:tc>
          <w:tcPr>
            <w:tcW w:w="18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 (gain)/loss on foreign currency</w:t>
            </w:r>
          </w:p>
        </w:tc>
        <w:tc>
          <w:tcPr>
            <w:tcW w:w="1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4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8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 xml:space="preserve">Significant acquisition-related expenses </w:t>
            </w:r>
            <w:r>
              <w:rPr>
                <w:rFonts w:ascii="Arial" w:cs="Arial" w:eastAsia="Arial" w:hAnsi="Arial"/>
                <w:sz w:val="23"/>
                <w:szCs w:val="23"/>
                <w:color w:val="auto"/>
                <w:w w:val="90"/>
                <w:vertAlign w:val="superscript"/>
              </w:rPr>
              <w:t>(8)</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tcPr>
          <w:p>
            <w:pPr>
              <w:ind w:left="120"/>
              <w:spacing w:after="0"/>
              <w:rPr>
                <w:sz w:val="20"/>
                <w:szCs w:val="20"/>
                <w:color w:val="auto"/>
              </w:rPr>
            </w:pPr>
            <w:r>
              <w:rPr>
                <w:rFonts w:ascii="Arial" w:cs="Arial" w:eastAsia="Arial" w:hAnsi="Arial"/>
                <w:sz w:val="18"/>
                <w:szCs w:val="18"/>
                <w:color w:val="auto"/>
                <w:w w:val="97"/>
              </w:rPr>
              <w:t>Selected Items Impacting Comparability -</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Segment Adjusted EBITDA</w:t>
            </w:r>
          </w:p>
        </w:tc>
        <w:tc>
          <w:tcPr>
            <w:tcW w:w="18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340" w:type="dxa"/>
            <w:vAlign w:val="bottom"/>
          </w:tcPr>
          <w:p>
            <w:pPr>
              <w:ind w:left="240"/>
              <w:spacing w:after="0" w:line="176" w:lineRule="exact"/>
              <w:rPr>
                <w:sz w:val="20"/>
                <w:szCs w:val="20"/>
                <w:color w:val="auto"/>
              </w:rPr>
            </w:pPr>
            <w:r>
              <w:rPr>
                <w:rFonts w:ascii="Arial" w:cs="Arial" w:eastAsia="Arial" w:hAnsi="Arial"/>
                <w:sz w:val="18"/>
                <w:szCs w:val="18"/>
                <w:color w:val="auto"/>
              </w:rPr>
              <w:t>Net (gain)/loss on foreign currency</w:t>
            </w:r>
          </w:p>
        </w:tc>
        <w:tc>
          <w:tcPr>
            <w:tcW w:w="180" w:type="dxa"/>
            <w:vAlign w:val="bottom"/>
          </w:tcPr>
          <w:p>
            <w:pPr>
              <w:spacing w:after="0"/>
              <w:rPr>
                <w:sz w:val="15"/>
                <w:szCs w:val="15"/>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(6)</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 gain on early repayment of senior</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3"/>
                <w:szCs w:val="23"/>
                <w:color w:val="auto"/>
                <w:vertAlign w:val="superscript"/>
              </w:rPr>
              <w:t>(9)</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40" w:type="dxa"/>
            <w:vAlign w:val="bottom"/>
          </w:tcPr>
          <w:p>
            <w:pPr>
              <w:ind w:left="140"/>
              <w:spacing w:after="0" w:line="156" w:lineRule="exact"/>
              <w:rPr>
                <w:sz w:val="20"/>
                <w:szCs w:val="20"/>
                <w:color w:val="auto"/>
              </w:rPr>
            </w:pPr>
            <w:r>
              <w:rPr>
                <w:rFonts w:ascii="Arial" w:cs="Arial" w:eastAsia="Arial" w:hAnsi="Arial"/>
                <w:sz w:val="18"/>
                <w:szCs w:val="18"/>
                <w:color w:val="auto"/>
                <w:w w:val="96"/>
              </w:rPr>
              <w:t>Selected Items Impacting Comparability -</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140"/>
              <w:spacing w:after="0" w:line="176" w:lineRule="exact"/>
              <w:rPr>
                <w:sz w:val="20"/>
                <w:szCs w:val="20"/>
                <w:color w:val="auto"/>
              </w:rPr>
            </w:pPr>
            <w:r>
              <w:rPr>
                <w:rFonts w:ascii="Arial" w:cs="Arial" w:eastAsia="Arial" w:hAnsi="Arial"/>
                <w:sz w:val="18"/>
                <w:szCs w:val="18"/>
                <w:color w:val="auto"/>
              </w:rPr>
              <w:t>Adjusted</w:t>
            </w:r>
          </w:p>
        </w:tc>
        <w:tc>
          <w:tcPr>
            <w:tcW w:w="180" w:type="dxa"/>
            <w:vAlign w:val="bottom"/>
          </w:tcPr>
          <w:p>
            <w:pPr>
              <w:spacing w:after="0"/>
              <w:rPr>
                <w:sz w:val="15"/>
                <w:szCs w:val="15"/>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(10)</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Variance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3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320" w:type="dxa"/>
            <w:vAlign w:val="bottom"/>
          </w:tcPr>
          <w:p>
            <w:pPr>
              <w:ind w:left="140"/>
              <w:spacing w:after="0" w:line="176" w:lineRule="exact"/>
              <w:rPr>
                <w:sz w:val="20"/>
                <w:szCs w:val="20"/>
                <w:color w:val="auto"/>
              </w:rPr>
            </w:pPr>
            <w:r>
              <w:rPr>
                <w:rFonts w:ascii="Arial" w:cs="Arial" w:eastAsia="Arial" w:hAnsi="Arial"/>
                <w:sz w:val="18"/>
                <w:szCs w:val="18"/>
                <w:color w:val="auto"/>
                <w:w w:val="96"/>
              </w:rPr>
              <w:t>Interest expense, net of certain non-cash</w:t>
            </w:r>
          </w:p>
        </w:tc>
        <w:tc>
          <w:tcPr>
            <w:tcW w:w="180" w:type="dxa"/>
            <w:vAlign w:val="bottom"/>
          </w:tcPr>
          <w:p>
            <w:pPr>
              <w:spacing w:after="0"/>
              <w:rPr>
                <w:sz w:val="15"/>
                <w:szCs w:val="15"/>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items </w:t>
            </w:r>
            <w:r>
              <w:rPr>
                <w:rFonts w:ascii="Arial" w:cs="Arial" w:eastAsia="Arial" w:hAnsi="Arial"/>
                <w:sz w:val="23"/>
                <w:szCs w:val="23"/>
                <w:color w:val="auto"/>
                <w:vertAlign w:val="superscript"/>
              </w:rPr>
              <w:t>(11)</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(12)</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3320" w:type="dxa"/>
            <w:vAlign w:val="bottom"/>
          </w:tcPr>
          <w:p>
            <w:pPr>
              <w:ind w:left="120"/>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3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Distributions from unconsolidated entities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 excess of/(less than) adjusted equity</w:t>
            </w: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(13)</w:t>
            </w: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2"/>
              </w:rPr>
              <w:t xml:space="preserve">Distributions to noncontrolling interests </w:t>
            </w:r>
            <w:r>
              <w:rPr>
                <w:rFonts w:ascii="Arial" w:cs="Arial" w:eastAsia="Arial" w:hAnsi="Arial"/>
                <w:sz w:val="23"/>
                <w:szCs w:val="23"/>
                <w:color w:val="auto"/>
                <w:w w:val="92"/>
                <w:vertAlign w:val="superscript"/>
              </w:rPr>
              <w:t>(14)</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(15)</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528</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1,183</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Unitholders</w:t>
            </w: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340" w:type="dxa"/>
            <w:vAlign w:val="bottom"/>
            <w:gridSpan w:val="2"/>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360" w:type="dxa"/>
            <w:vAlign w:val="bottom"/>
            <w:gridSpan w:val="2"/>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tcBorders>
              <w:bottom w:val="single" w:sz="8" w:color="CCEEFF"/>
            </w:tcBorders>
          </w:tcPr>
          <w:p>
            <w:pPr>
              <w:ind w:left="140"/>
              <w:spacing w:after="0" w:line="244"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(14)</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400" w:hanging="652"/>
        <w:spacing w:after="0" w:line="228"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such unconsolidated entities when reviewing Adjusted EBITDA, similar to our consolidated assets.</w:t>
      </w:r>
    </w:p>
    <w:p>
      <w:pPr>
        <w:spacing w:after="0" w:line="95" w:lineRule="exact"/>
        <w:rPr>
          <w:rFonts w:ascii="Arial" w:cs="Arial" w:eastAsia="Arial" w:hAnsi="Arial"/>
          <w:sz w:val="23"/>
          <w:szCs w:val="23"/>
          <w:color w:val="auto"/>
          <w:vertAlign w:val="superscript"/>
        </w:rPr>
      </w:pPr>
    </w:p>
    <w:p>
      <w:pPr>
        <w:ind w:left="660" w:hanging="652"/>
        <w:spacing w:after="0" w:line="260" w:lineRule="auto"/>
        <w:tabs>
          <w:tab w:leader="none" w:pos="648"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10 to our Condensed Consolidated Financial Statements for a comprehensive discussion regarding our derivatives and risk management activities.</w:t>
      </w:r>
    </w:p>
    <w:p>
      <w:pPr>
        <w:spacing w:after="0" w:line="79" w:lineRule="exact"/>
        <w:rPr>
          <w:rFonts w:ascii="Arial" w:cs="Arial" w:eastAsia="Arial" w:hAnsi="Arial"/>
          <w:sz w:val="22"/>
          <w:szCs w:val="22"/>
          <w:color w:val="auto"/>
          <w:vertAlign w:val="superscript"/>
        </w:rPr>
      </w:pPr>
    </w:p>
    <w:p>
      <w:pPr>
        <w:ind w:left="660" w:right="40" w:hanging="652"/>
        <w:spacing w:after="0" w:line="243"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2019 Annual Report on Form 10-K for additional inventory disclosures.</w:t>
      </w:r>
    </w:p>
    <w:p>
      <w:pPr>
        <w:spacing w:after="0" w:line="94" w:lineRule="exact"/>
        <w:rPr>
          <w:rFonts w:ascii="Arial" w:cs="Arial" w:eastAsia="Arial" w:hAnsi="Arial"/>
          <w:sz w:val="23"/>
          <w:szCs w:val="23"/>
          <w:color w:val="auto"/>
          <w:vertAlign w:val="superscript"/>
        </w:rPr>
      </w:pPr>
    </w:p>
    <w:p>
      <w:pPr>
        <w:ind w:left="660" w:right="40" w:hanging="652"/>
        <w:spacing w:after="0" w:line="260" w:lineRule="auto"/>
        <w:tabs>
          <w:tab w:leader="none" w:pos="648"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76" w:lineRule="exact"/>
        <w:rPr>
          <w:sz w:val="20"/>
          <w:szCs w:val="20"/>
          <w:color w:val="auto"/>
        </w:rPr>
      </w:pPr>
    </w:p>
    <w:p>
      <w:pPr>
        <w:ind w:left="660" w:right="120" w:hanging="652"/>
        <w:spacing w:after="0" w:line="277" w:lineRule="auto"/>
        <w:tabs>
          <w:tab w:leader="none" w:pos="64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18 to our Consolidated Financial Statements included in Part IV of our 2019 Annual Report on Form 10-K for a comprehensive discussion regarding our equity-indexed compensation plans.</w:t>
      </w:r>
    </w:p>
    <w:p>
      <w:pPr>
        <w:spacing w:after="0" w:line="67" w:lineRule="exact"/>
        <w:rPr>
          <w:rFonts w:ascii="Arial" w:cs="Arial" w:eastAsia="Arial" w:hAnsi="Arial"/>
          <w:sz w:val="21"/>
          <w:szCs w:val="21"/>
          <w:color w:val="auto"/>
          <w:vertAlign w:val="superscript"/>
        </w:rPr>
      </w:pPr>
    </w:p>
    <w:p>
      <w:pPr>
        <w:ind w:left="660" w:hanging="652"/>
        <w:spacing w:after="0" w:line="273" w:lineRule="auto"/>
        <w:tabs>
          <w:tab w:leader="none" w:pos="64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 See Note 10 to our Condensed Consolidated Financial Statements for discussion regarding our currency exchange rate risk hedging activities.</w:t>
      </w:r>
    </w:p>
    <w:p>
      <w:pPr>
        <w:spacing w:after="0" w:line="69" w:lineRule="exact"/>
        <w:rPr>
          <w:rFonts w:ascii="Arial" w:cs="Arial" w:eastAsia="Arial" w:hAnsi="Arial"/>
          <w:sz w:val="21"/>
          <w:szCs w:val="21"/>
          <w:color w:val="auto"/>
          <w:vertAlign w:val="superscript"/>
        </w:rPr>
      </w:pPr>
    </w:p>
    <w:p>
      <w:pPr>
        <w:ind w:left="660" w:right="80" w:hanging="652"/>
        <w:spacing w:after="0" w:line="234"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to our Condensed Consolidated Financial Statements for additional information regarding the Line 901 incident.</w:t>
      </w:r>
    </w:p>
    <w:p>
      <w:pPr>
        <w:sectPr>
          <w:pgSz w:w="11900" w:h="16838" w:orient="portrait"/>
          <w:cols w:equalWidth="0" w:num="1">
            <w:col w:w="11220"/>
          </w:cols>
          <w:pgMar w:left="320" w:top="125" w:right="35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Includes acquisition-related expenses associated with the Felix Midstream acquisition in February 2020. See Note 14 for additional information.</w:t>
      </w:r>
    </w:p>
    <w:p>
      <w:pPr>
        <w:spacing w:after="0" w:line="140"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Includes net gains recognized in connection with the repurchase of our outstanding senior notes on the open market. See Note 8 to our Condensed Consolidated Financial Statements for additional information.</w:t>
      </w:r>
    </w:p>
    <w:p>
      <w:pPr>
        <w:spacing w:after="0" w:line="62"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left="660" w:right="460" w:hanging="652"/>
        <w:spacing w:after="0" w:line="267" w:lineRule="auto"/>
        <w:tabs>
          <w:tab w:leader="none" w:pos="652"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55" w:lineRule="exact"/>
        <w:rPr>
          <w:rFonts w:ascii="Arial" w:cs="Arial" w:eastAsia="Arial" w:hAnsi="Arial"/>
          <w:sz w:val="21"/>
          <w:szCs w:val="21"/>
          <w:color w:val="auto"/>
          <w:vertAlign w:val="superscript"/>
        </w:rPr>
      </w:pPr>
    </w:p>
    <w:p>
      <w:pPr>
        <w:ind w:left="640" w:hanging="632"/>
        <w:spacing w:after="0"/>
        <w:tabs>
          <w:tab w:leader="none" w:pos="64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1"/>
          <w:szCs w:val="21"/>
          <w:color w:val="auto"/>
          <w:vertAlign w:val="superscript"/>
        </w:rPr>
      </w:pPr>
    </w:p>
    <w:p>
      <w:pPr>
        <w:ind w:left="660" w:right="320" w:hanging="652"/>
        <w:spacing w:after="0" w:line="227" w:lineRule="auto"/>
        <w:tabs>
          <w:tab w:leader="none" w:pos="652"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4" w:lineRule="exact"/>
        <w:rPr>
          <w:rFonts w:ascii="Arial" w:cs="Arial" w:eastAsia="Arial" w:hAnsi="Arial"/>
          <w:sz w:val="23"/>
          <w:szCs w:val="23"/>
          <w:color w:val="auto"/>
          <w:vertAlign w:val="superscript"/>
        </w:rPr>
      </w:pPr>
    </w:p>
    <w:p>
      <w:pPr>
        <w:ind w:left="660" w:right="940" w:hanging="652"/>
        <w:spacing w:after="0" w:line="227" w:lineRule="auto"/>
        <w:tabs>
          <w:tab w:leader="none" w:pos="652"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w:t>
      </w:r>
    </w:p>
    <w:p>
      <w:pPr>
        <w:sectPr>
          <w:pgSz w:w="11900" w:h="16838" w:orient="portrait"/>
          <w:cols w:equalWidth="0" w:num="1">
            <w:col w:w="11220"/>
          </w:cols>
          <w:pgMar w:left="320" w:top="125" w:right="3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(14)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Cash distributions paid during the period presented.</w:t>
      </w:r>
    </w:p>
    <w:p>
      <w:pPr>
        <w:spacing w:after="0" w:line="117" w:lineRule="exact"/>
        <w:rPr>
          <w:sz w:val="20"/>
          <w:szCs w:val="20"/>
          <w:color w:val="auto"/>
        </w:rPr>
      </w:pPr>
    </w:p>
    <w:p>
      <w:pPr>
        <w:ind w:left="20" w:right="60" w:hanging="7"/>
        <w:spacing w:after="0" w:line="255" w:lineRule="auto"/>
        <w:rPr>
          <w:sz w:val="20"/>
          <w:szCs w:val="20"/>
          <w:color w:val="auto"/>
        </w:rPr>
      </w:pPr>
      <w:r>
        <w:rPr>
          <w:rFonts w:ascii="Arial" w:cs="Arial" w:eastAsia="Arial" w:hAnsi="Arial"/>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 See Note 12 to our Consolidated Financial Statements included in Part IV of our 2019 Annual Report on Form 10-K for additional information regarding our preferred units.</w:t>
      </w:r>
    </w:p>
    <w:p>
      <w:pPr>
        <w:spacing w:after="0" w:line="73" w:lineRule="exact"/>
        <w:rPr>
          <w:sz w:val="20"/>
          <w:szCs w:val="20"/>
          <w:color w:val="auto"/>
        </w:rPr>
      </w:pPr>
    </w:p>
    <w:p>
      <w:pPr>
        <w:sectPr>
          <w:pgSz w:w="11900" w:h="16838" w:orient="portrait"/>
          <w:cols w:equalWidth="0" w:num="2">
            <w:col w:w="200" w:space="440"/>
            <w:col w:w="10580"/>
          </w:cols>
          <w:pgMar w:left="320" w:top="125" w:right="359" w:bottom="1440" w:gutter="0" w:footer="0" w:header="0"/>
          <w:type w:val="continuous"/>
        </w:sectPr>
      </w:pPr>
    </w:p>
    <w:p>
      <w:pPr>
        <w:ind w:left="640" w:hanging="632"/>
        <w:spacing w:after="0"/>
        <w:tabs>
          <w:tab w:leader="none" w:pos="640"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Excess DCF is retained to establish reserves for future distributions, capital expenditures and other partnership purposes.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395"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liquidity measures Free Cash Flow and Free Cash Flow After Distributions from Net Cash Provided by Operating Activities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w w:val="94"/>
              </w:rPr>
              <w:t>Adjustments to reconcile net cash provided by operating activities to free cash flow:</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Cash contributions from noncontrolling interests</w:t>
            </w: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Sale of noncontrolling interest in a subsidiary</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128</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614</w:t>
            </w:r>
          </w:p>
        </w:tc>
      </w:tr>
      <w:tr>
        <w:trPr>
          <w:trHeight w:val="27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(579)</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1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a discussion of the primary drivers of cash flow from operating activities, see “Liquidity and Capital Resources—Cash Flow from Operating Activities.”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income/(loss) attributable to PAA.</w:t>
      </w: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18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Variance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8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83"/>
        </w:trPr>
        <w:tc>
          <w:tcPr>
            <w:tcW w:w="3480" w:type="dxa"/>
            <w:vAlign w:val="bottom"/>
            <w:gridSpan w:val="2"/>
          </w:tcPr>
          <w:p>
            <w:pPr>
              <w:ind w:left="20"/>
              <w:spacing w:after="0" w:line="182" w:lineRule="exact"/>
              <w:rPr>
                <w:sz w:val="20"/>
                <w:szCs w:val="20"/>
                <w:color w:val="auto"/>
              </w:rPr>
            </w:pPr>
            <w:r>
              <w:rPr>
                <w:rFonts w:ascii="Arial" w:cs="Arial" w:eastAsia="Arial" w:hAnsi="Arial"/>
                <w:sz w:val="18"/>
                <w:szCs w:val="18"/>
                <w:color w:val="auto"/>
                <w:w w:val="92"/>
              </w:rPr>
              <w:t>Segment general and administrative expenses</w:t>
            </w:r>
          </w:p>
        </w:tc>
        <w:tc>
          <w:tcPr>
            <w:tcW w:w="180" w:type="dxa"/>
            <w:vAlign w:val="bottom"/>
          </w:tcPr>
          <w:p>
            <w:pPr>
              <w:spacing w:after="0"/>
              <w:rPr>
                <w:sz w:val="15"/>
                <w:szCs w:val="15"/>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51"/>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unconsolidated entities</w:t>
            </w: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Inventory valuation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Deficiencies under minimum volume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commitments, net</w:t>
            </w: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Line 901 incident</w:t>
            </w:r>
          </w:p>
        </w:tc>
        <w:tc>
          <w:tcPr>
            <w:tcW w:w="18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Significant acquisition-related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8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7"/>
        </w:trPr>
        <w:tc>
          <w:tcPr>
            <w:tcW w:w="3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2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00" w:type="dxa"/>
            <w:vAlign w:val="bottom"/>
            <w:gridSpan w:val="2"/>
            <w:vMerge w:val="continue"/>
          </w:tcPr>
          <w:p>
            <w:pPr>
              <w:spacing w:after="0"/>
              <w:rPr>
                <w:sz w:val="16"/>
                <w:szCs w:val="16"/>
                <w:color w:val="auto"/>
              </w:rPr>
            </w:pPr>
          </w:p>
        </w:tc>
        <w:tc>
          <w:tcPr>
            <w:tcW w:w="118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9"/>
                <w:szCs w:val="9"/>
                <w:b w:val="1"/>
                <w:bCs w:val="1"/>
                <w:color w:val="auto"/>
              </w:rPr>
              <w:t>(4)</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Volumes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Tariff activities volumes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00" w:type="dxa"/>
            <w:vAlign w:val="bottom"/>
            <w:gridSpan w:val="2"/>
          </w:tcPr>
          <w:p>
            <w:pPr>
              <w:ind w:left="120"/>
              <w:spacing w:after="0"/>
              <w:rPr>
                <w:sz w:val="20"/>
                <w:szCs w:val="20"/>
                <w:color w:val="auto"/>
              </w:rPr>
            </w:pPr>
            <w:r>
              <w:rPr>
                <w:rFonts w:ascii="Arial" w:cs="Arial" w:eastAsia="Arial" w:hAnsi="Arial"/>
                <w:sz w:val="18"/>
                <w:szCs w:val="18"/>
                <w:color w:val="auto"/>
              </w:rPr>
              <w:t>Crude oil pipelines (by region):</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3500" w:type="dxa"/>
            <w:vAlign w:val="bottom"/>
            <w:gridSpan w:val="2"/>
          </w:tcPr>
          <w:p>
            <w:pPr>
              <w:ind w:left="24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w w:val="97"/>
              </w:rPr>
              <w:t>4,575</w:t>
            </w:r>
          </w:p>
        </w:tc>
        <w:tc>
          <w:tcPr>
            <w:tcW w:w="12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500" w:type="dxa"/>
            <w:vAlign w:val="bottom"/>
            <w:gridSpan w:val="2"/>
          </w:tcPr>
          <w:p>
            <w:pPr>
              <w:ind w:left="24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3500" w:type="dxa"/>
            <w:vAlign w:val="bottom"/>
            <w:gridSpan w:val="2"/>
          </w:tcPr>
          <w:p>
            <w:pPr>
              <w:ind w:left="24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Gulf Coast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3500" w:type="dxa"/>
            <w:vAlign w:val="bottom"/>
            <w:gridSpan w:val="2"/>
          </w:tcPr>
          <w:p>
            <w:pPr>
              <w:ind w:left="24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Western</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0"/>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Canada</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120"/>
              <w:spacing w:after="0"/>
              <w:rPr>
                <w:sz w:val="20"/>
                <w:szCs w:val="20"/>
                <w:color w:val="auto"/>
              </w:rPr>
            </w:pPr>
            <w:r>
              <w:rPr>
                <w:rFonts w:ascii="Arial" w:cs="Arial" w:eastAsia="Arial" w:hAnsi="Arial"/>
                <w:sz w:val="18"/>
                <w:szCs w:val="18"/>
                <w:color w:val="auto"/>
              </w:rPr>
              <w:t>Crude oil pipelines</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w w:val="97"/>
              </w:rPr>
              <w:t>6,522</w:t>
            </w:r>
          </w:p>
        </w:tc>
        <w:tc>
          <w:tcPr>
            <w:tcW w:w="1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500" w:type="dxa"/>
            <w:vAlign w:val="bottom"/>
            <w:gridSpan w:val="2"/>
          </w:tcPr>
          <w:p>
            <w:pPr>
              <w:ind w:left="120"/>
              <w:spacing w:after="0"/>
              <w:rPr>
                <w:sz w:val="20"/>
                <w:szCs w:val="20"/>
                <w:color w:val="auto"/>
              </w:rPr>
            </w:pPr>
            <w:r>
              <w:rPr>
                <w:rFonts w:ascii="Arial" w:cs="Arial" w:eastAsia="Arial" w:hAnsi="Arial"/>
                <w:sz w:val="18"/>
                <w:szCs w:val="18"/>
                <w:color w:val="auto"/>
              </w:rPr>
              <w:t>NGL pipelines</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Tariff activities total volumes</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w w:val="97"/>
              </w:rPr>
              <w:t>6,704</w:t>
            </w:r>
          </w:p>
        </w:tc>
        <w:tc>
          <w:tcPr>
            <w:tcW w:w="1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500" w:type="dxa"/>
            <w:vAlign w:val="bottom"/>
            <w:gridSpan w:val="2"/>
          </w:tcPr>
          <w:p>
            <w:pPr>
              <w:ind w:left="120"/>
              <w:spacing w:after="0"/>
              <w:rPr>
                <w:sz w:val="20"/>
                <w:szCs w:val="20"/>
                <w:color w:val="auto"/>
              </w:rPr>
            </w:pPr>
            <w:r>
              <w:rPr>
                <w:rFonts w:ascii="Arial" w:cs="Arial" w:eastAsia="Arial" w:hAnsi="Arial"/>
                <w:sz w:val="18"/>
                <w:szCs w:val="18"/>
                <w:color w:val="auto"/>
              </w:rPr>
              <w:t>Trucking volumes</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Transportation segment total volumes</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7"/>
              </w:rPr>
              <w:t>6,787</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2451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2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12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2"/>
              </w:rPr>
              <w:t>June 30,</w:t>
            </w:r>
          </w:p>
        </w:tc>
        <w:tc>
          <w:tcPr>
            <w:tcW w:w="12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220"/>
            <w:col w:w="3760"/>
          </w:cols>
          <w:pgMar w:left="320" w:top="125" w:right="339" w:bottom="1440" w:gutter="0" w:footer="0" w:header="0"/>
          <w:type w:val="continuous"/>
        </w:sectPr>
      </w:pPr>
    </w:p>
    <w:p>
      <w:pPr>
        <w:spacing w:after="0" w:line="305"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94"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Revenues and costs and expenses include intersegment amounts.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52" w:lineRule="exact"/>
        <w:rPr>
          <w:sz w:val="20"/>
          <w:szCs w:val="20"/>
          <w:color w:val="auto"/>
        </w:rPr>
      </w:pPr>
    </w:p>
    <w:p>
      <w:pPr>
        <w:ind w:right="42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ectPr>
          <w:pgSz w:w="11900" w:h="16838" w:orient="portrait"/>
          <w:cols w:equalWidth="0" w:num="1">
            <w:col w:w="11220"/>
          </w:cols>
          <w:pgMar w:left="320" w:top="125" w:right="359" w:bottom="1440" w:gutter="0" w:footer="0" w:header="0"/>
          <w:type w:val="continuous"/>
        </w:sectPr>
      </w:pP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7"/>
          </w:tcPr>
          <w:p>
            <w:pPr>
              <w:jc w:val="center"/>
              <w:ind w:right="55"/>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gridSpan w:val="7"/>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2020-2019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vMerge w:val="restart"/>
          </w:tcPr>
          <w:p>
            <w:pPr>
              <w:spacing w:after="0"/>
              <w:rPr>
                <w:sz w:val="13"/>
                <w:szCs w:val="13"/>
                <w:color w:val="auto"/>
              </w:rPr>
            </w:pPr>
          </w:p>
        </w:tc>
        <w:tc>
          <w:tcPr>
            <w:tcW w:w="10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160" w:type="dxa"/>
            <w:vAlign w:val="bottom"/>
          </w:tcPr>
          <w:p>
            <w:pPr>
              <w:spacing w:after="0"/>
              <w:rPr>
                <w:sz w:val="13"/>
                <w:szCs w:val="13"/>
                <w:color w:val="auto"/>
              </w:rPr>
            </w:pPr>
          </w:p>
        </w:tc>
        <w:tc>
          <w:tcPr>
            <w:tcW w:w="78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Permian Basin region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Canada region</w:t>
            </w:r>
          </w:p>
        </w:tc>
        <w:tc>
          <w:tcPr>
            <w:tcW w:w="14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8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Other regions, trucking and pipeline loss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allowance revenue</w:t>
            </w:r>
          </w:p>
        </w:tc>
        <w:tc>
          <w:tcPr>
            <w:tcW w:w="14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ind w:left="100"/>
              <w:spacing w:after="0"/>
              <w:rPr>
                <w:sz w:val="20"/>
                <w:szCs w:val="20"/>
                <w:color w:val="auto"/>
              </w:rPr>
            </w:pPr>
            <w:r>
              <w:rPr>
                <w:rFonts w:ascii="Arial" w:cs="Arial" w:eastAsia="Arial" w:hAnsi="Arial"/>
                <w:sz w:val="18"/>
                <w:szCs w:val="18"/>
                <w:color w:val="auto"/>
              </w:rPr>
              <w:t>Total variance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-1216660</wp:posOffset>
            </wp:positionV>
            <wp:extent cx="6240780" cy="1200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40780" cy="120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440" w:right="740"/>
        <w:spacing w:after="0"/>
        <w:rPr>
          <w:sz w:val="20"/>
          <w:szCs w:val="20"/>
          <w:color w:val="auto"/>
        </w:rPr>
      </w:pPr>
      <w:r>
        <w:rPr>
          <w:rFonts w:ascii="Arial" w:cs="Arial" w:eastAsia="Arial" w:hAnsi="Arial"/>
          <w:sz w:val="14"/>
          <w:szCs w:val="14"/>
          <w:b w:val="1"/>
          <w:bCs w:val="1"/>
          <w:color w:val="auto"/>
        </w:rPr>
        <w:t>Favorable/(Unfavorable) Variance Six Months Ended June 30, 2020-2019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9113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Purchases and</w:t>
            </w:r>
          </w:p>
        </w:tc>
        <w:tc>
          <w:tcPr>
            <w:tcW w:w="140" w:type="dxa"/>
            <w:vAlign w:val="bottom"/>
          </w:tcPr>
          <w:p>
            <w:pPr>
              <w:spacing w:after="0"/>
              <w:rPr>
                <w:sz w:val="14"/>
                <w:szCs w:val="14"/>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Related Costs</w:t>
            </w:r>
          </w:p>
        </w:tc>
        <w:tc>
          <w:tcPr>
            <w:tcW w:w="140" w:type="dxa"/>
            <w:vAlign w:val="bottom"/>
          </w:tcPr>
          <w:p>
            <w:pPr>
              <w:spacing w:after="0"/>
              <w:rPr>
                <w:sz w:val="16"/>
                <w:szCs w:val="16"/>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3"/>
              </w:rPr>
              <w:t>(34)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left="50"/>
              <w:spacing w:after="0"/>
              <w:rPr>
                <w:sz w:val="20"/>
                <w:szCs w:val="20"/>
                <w:color w:val="auto"/>
              </w:rPr>
            </w:pPr>
            <w:r>
              <w:rPr>
                <w:rFonts w:ascii="Arial" w:cs="Arial" w:eastAsia="Arial" w:hAnsi="Arial"/>
                <w:sz w:val="18"/>
                <w:szCs w:val="18"/>
                <w:color w:val="auto"/>
                <w:w w:val="93"/>
              </w:rPr>
              <w:t>(24)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260" w:space="220"/>
            <w:col w:w="3740"/>
          </w:cols>
          <w:pgMar w:left="320" w:top="125" w:right="359" w:bottom="1440" w:gutter="0" w:footer="0" w:header="0"/>
          <w:type w:val="continuous"/>
        </w:sectPr>
      </w:pPr>
    </w:p>
    <w:p>
      <w:pPr>
        <w:spacing w:after="0" w:line="110" w:lineRule="exact"/>
        <w:rPr>
          <w:sz w:val="20"/>
          <w:szCs w:val="20"/>
          <w:color w:val="auto"/>
        </w:rPr>
      </w:pPr>
    </w:p>
    <w:p>
      <w:pPr>
        <w:ind w:left="980" w:right="20" w:hanging="324"/>
        <w:spacing w:after="0" w:line="293" w:lineRule="auto"/>
        <w:tabs>
          <w:tab w:leader="none" w:pos="975"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Permian Basin region. </w:t>
      </w:r>
      <w:r>
        <w:rPr>
          <w:rFonts w:ascii="Arial" w:cs="Arial" w:eastAsia="Arial" w:hAnsi="Arial"/>
          <w:sz w:val="16"/>
          <w:szCs w:val="16"/>
          <w:color w:val="auto"/>
        </w:rPr>
        <w:t>The decrease in revenues, net of purchases and related costs, of $42 million and $26 million for the three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2020, respectively, compared to the same periods in 2019, was primarily due to lower long-haul pipeline movements to Cushing and Corpus Christi due to tight regional basis differentials, a portion of which are covered by minimum volume commitments and will be made up or paid for in future periods. Despite the voluntary curtailment and shut-in of oil production on our systems due to the low oil prices in the quarter, the decreases on our long-haul pipelines were partially offset by higher volumes on certain of our gathering systems, primarily in the Delaware Basin, including the gathering system we acquired from Felix Midstream in February 2020.</w:t>
      </w:r>
    </w:p>
    <w:p>
      <w:pPr>
        <w:spacing w:after="0" w:line="191" w:lineRule="exact"/>
        <w:rPr>
          <w:rFonts w:ascii="Arial" w:cs="Arial" w:eastAsia="Arial" w:hAnsi="Arial"/>
          <w:sz w:val="16"/>
          <w:szCs w:val="16"/>
          <w:i w:val="1"/>
          <w:iCs w:val="1"/>
          <w:color w:val="auto"/>
        </w:rPr>
      </w:pPr>
    </w:p>
    <w:p>
      <w:pPr>
        <w:ind w:left="980" w:right="40"/>
        <w:spacing w:after="0" w:line="263" w:lineRule="auto"/>
        <w:rPr>
          <w:rFonts w:ascii="Arial" w:cs="Arial" w:eastAsia="Arial" w:hAnsi="Arial"/>
          <w:sz w:val="16"/>
          <w:szCs w:val="16"/>
          <w:i w:val="1"/>
          <w:iCs w:val="1"/>
          <w:color w:val="auto"/>
        </w:rPr>
      </w:pPr>
      <w:r>
        <w:rPr>
          <w:rFonts w:ascii="Arial" w:cs="Arial" w:eastAsia="Arial" w:hAnsi="Arial"/>
          <w:sz w:val="18"/>
          <w:szCs w:val="18"/>
          <w:color w:val="auto"/>
        </w:rPr>
        <w:t>The increase in equity earnings over the comparative periods was primarily from our 65% interest in the Cactus II pipeline, which was placed in service in the third quarter of 2019, partially offset by lower equity earnings from our 30% interest in BridgeTex Pipeline Company, LLC primarily due to lower volumes.</w:t>
      </w:r>
    </w:p>
    <w:p>
      <w:pPr>
        <w:spacing w:after="0" w:line="210" w:lineRule="exact"/>
        <w:rPr>
          <w:rFonts w:ascii="Arial" w:cs="Arial" w:eastAsia="Arial" w:hAnsi="Arial"/>
          <w:sz w:val="16"/>
          <w:szCs w:val="16"/>
          <w:i w:val="1"/>
          <w:iCs w:val="1"/>
          <w:color w:val="auto"/>
        </w:rPr>
      </w:pPr>
    </w:p>
    <w:p>
      <w:pPr>
        <w:jc w:val="both"/>
        <w:ind w:left="980" w:right="200" w:hanging="324"/>
        <w:spacing w:after="0" w:line="263" w:lineRule="auto"/>
        <w:tabs>
          <w:tab w:leader="none" w:pos="97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Equity earnings from our 50% interest in Eagle Ford Pipeline LLC decreased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the three and six months ended June 30, 2019 due to a combination of lower joint tariff volumes from the Permian Basin, and to a lesser extent, lower regional receipts.</w:t>
      </w:r>
    </w:p>
    <w:p>
      <w:pPr>
        <w:spacing w:after="0" w:line="210" w:lineRule="exact"/>
        <w:rPr>
          <w:rFonts w:ascii="Arial" w:cs="Arial" w:eastAsia="Arial" w:hAnsi="Arial"/>
          <w:sz w:val="18"/>
          <w:szCs w:val="18"/>
          <w:i w:val="1"/>
          <w:iCs w:val="1"/>
          <w:color w:val="auto"/>
        </w:rPr>
      </w:pPr>
    </w:p>
    <w:p>
      <w:pPr>
        <w:ind w:left="980" w:hanging="324"/>
        <w:spacing w:after="0" w:line="263" w:lineRule="auto"/>
        <w:tabs>
          <w:tab w:leader="none" w:pos="97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net of purchases and related costs, for the three and six months ended June 30,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in 2019 was primarily due to lower volumes, primarily due to voluntary curtailments and shut-ins by oil producers due to the low crude oil prices during the quarter and increased competition in the region.</w:t>
      </w:r>
    </w:p>
    <w:p>
      <w:pPr>
        <w:spacing w:after="0" w:line="210" w:lineRule="exact"/>
        <w:rPr>
          <w:rFonts w:ascii="Arial" w:cs="Arial" w:eastAsia="Arial" w:hAnsi="Arial"/>
          <w:sz w:val="18"/>
          <w:szCs w:val="18"/>
          <w:i w:val="1"/>
          <w:iCs w:val="1"/>
          <w:color w:val="auto"/>
        </w:rPr>
      </w:pPr>
    </w:p>
    <w:p>
      <w:pPr>
        <w:ind w:left="980" w:right="6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decrease in equity earnings for the three and six months ended June 30, 2020 compared to the same periods in 2019 was primarily due to the impact of refinery downtime on certain of the demand pull pipelines out of Cushing, Oklahoma, in which we own a 50% interest.</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right="80" w:hanging="324"/>
        <w:spacing w:after="0" w:line="308" w:lineRule="auto"/>
        <w:tabs>
          <w:tab w:leader="none" w:pos="975"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Canada region. </w:t>
      </w:r>
      <w:r>
        <w:rPr>
          <w:rFonts w:ascii="Arial" w:cs="Arial" w:eastAsia="Arial" w:hAnsi="Arial"/>
          <w:sz w:val="17"/>
          <w:szCs w:val="17"/>
          <w:color w:val="auto"/>
        </w:rPr>
        <w:t>Revenues decreased for the three and six months ended June 30, 2020 compared to the three and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primarily due to voluntary curtailments and shut-ins by oil producers due to the low crude oil prices during the quarter.</w:t>
      </w:r>
    </w:p>
    <w:p>
      <w:pPr>
        <w:spacing w:after="0" w:line="173" w:lineRule="exact"/>
        <w:rPr>
          <w:rFonts w:ascii="Arial" w:cs="Arial" w:eastAsia="Arial" w:hAnsi="Arial"/>
          <w:sz w:val="17"/>
          <w:szCs w:val="17"/>
          <w:i w:val="1"/>
          <w:iCs w:val="1"/>
          <w:color w:val="auto"/>
        </w:rPr>
      </w:pPr>
    </w:p>
    <w:p>
      <w:pPr>
        <w:ind w:left="980" w:right="20" w:hanging="324"/>
        <w:spacing w:after="0" w:line="301" w:lineRule="auto"/>
        <w:tabs>
          <w:tab w:leader="none" w:pos="975"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regions, trucking and pipeline loss allowance revenue. </w:t>
      </w:r>
      <w:r>
        <w:rPr>
          <w:rFonts w:ascii="Arial" w:cs="Arial" w:eastAsia="Arial" w:hAnsi="Arial"/>
          <w:sz w:val="16"/>
          <w:szCs w:val="16"/>
          <w:color w:val="auto"/>
        </w:rPr>
        <w:t>The decrease in other revenues, net of purchases and related costs,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June 30, 2020 compared to the three and six months ended June 30, 2019 was primarily due to lower pipeline loss allowance revenue in 2020 due to lower prices and volumes. Additionally, volumes in our Rocky Mountain region decreased as they were also impacted by voluntary curtailments and shut-ins by oil producers due to the low crude oil prices during the quarter.</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decrease in field operating costs for the three and six months ended June 30, 2020 compared to the same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was primarily due to (i) a decrease in power costs, including a reduction in the use of drag reducing agents due to lower volumes, (ii) additional estimated costs recognized in the second quarter of 2019 associated with the Line 901 incident (which impact field operating costs but are excluded from Segment Adjusted EBITDA and thus are reflected as an “Adjustment” in the table above), (iii) lower compensation costs and (iv) a decrease due to timing of integrity management activities. In addition, the six-month comparative period was favorably impacted by lower equity-based compensation costs on liability-classified awards (which are not included as an “Adjustment” in the table above) due to a decrease in our common unit price.</w:t>
      </w:r>
    </w:p>
    <w:p>
      <w:pPr>
        <w:spacing w:after="0" w:line="19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i w:val="1"/>
          <w:iCs w:val="1"/>
          <w:color w:val="auto"/>
        </w:rPr>
        <w:t>Maintenance Capital</w:t>
      </w:r>
      <w:r>
        <w:rPr>
          <w:rFonts w:ascii="Arial" w:cs="Arial" w:eastAsia="Arial" w:hAnsi="Arial"/>
          <w:sz w:val="16"/>
          <w:szCs w:val="16"/>
          <w:color w:val="auto"/>
        </w:rPr>
        <w:t>. Maintenance capital consists of capital expenditures for the replacement and/or refurbishment of partially or fully</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depreciated assets in order to maintain the operating and/or earnings capacity of our existing assets. The decrease in maintenance capital spending for the three months ended June 30, 2020 compared to the same period in 2019 was primarily due to the timing of integrity management activities.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80" w:type="dxa"/>
            <w:vAlign w:val="bottom"/>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center"/>
              <w:ind w:left="35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center"/>
              <w:ind w:left="31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83"/>
        </w:trPr>
        <w:tc>
          <w:tcPr>
            <w:tcW w:w="3480" w:type="dxa"/>
            <w:vAlign w:val="bottom"/>
            <w:gridSpan w:val="3"/>
          </w:tcPr>
          <w:p>
            <w:pPr>
              <w:ind w:left="20"/>
              <w:spacing w:after="0" w:line="182" w:lineRule="exact"/>
              <w:rPr>
                <w:sz w:val="20"/>
                <w:szCs w:val="20"/>
                <w:color w:val="auto"/>
              </w:rPr>
            </w:pPr>
            <w:r>
              <w:rPr>
                <w:rFonts w:ascii="Arial" w:cs="Arial" w:eastAsia="Arial" w:hAnsi="Arial"/>
                <w:sz w:val="18"/>
                <w:szCs w:val="18"/>
                <w:color w:val="auto"/>
                <w:w w:val="92"/>
              </w:rPr>
              <w:t>Segment general and administrative expenses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ind w:left="2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2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1"/>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auto"/>
            </w:tcBorders>
            <w:gridSpan w:val="3"/>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 of</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3"/>
          </w:tcPr>
          <w:p>
            <w:pPr>
              <w:ind w:left="120"/>
              <w:spacing w:after="0"/>
              <w:rPr>
                <w:sz w:val="20"/>
                <w:szCs w:val="20"/>
                <w:color w:val="auto"/>
              </w:rPr>
            </w:pPr>
            <w:r>
              <w:rPr>
                <w:rFonts w:ascii="Arial" w:cs="Arial" w:eastAsia="Arial" w:hAnsi="Arial"/>
                <w:sz w:val="18"/>
                <w:szCs w:val="18"/>
                <w:color w:val="auto"/>
              </w:rPr>
              <w:t>unconsolidated entities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(Gains)/losses from derivative activities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20"/>
              <w:spacing w:after="0"/>
              <w:rPr>
                <w:sz w:val="20"/>
                <w:szCs w:val="20"/>
                <w:color w:val="auto"/>
              </w:rPr>
            </w:pPr>
            <w:r>
              <w:rPr>
                <w:rFonts w:ascii="Arial" w:cs="Arial" w:eastAsia="Arial" w:hAnsi="Arial"/>
                <w:sz w:val="18"/>
                <w:szCs w:val="18"/>
                <w:color w:val="auto"/>
              </w:rPr>
              <w:t>Deficiencies under minimum volume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3"/>
          </w:tcPr>
          <w:p>
            <w:pPr>
              <w:ind w:left="120"/>
              <w:spacing w:after="0"/>
              <w:rPr>
                <w:sz w:val="20"/>
                <w:szCs w:val="20"/>
                <w:color w:val="auto"/>
              </w:rPr>
            </w:pPr>
            <w:r>
              <w:rPr>
                <w:rFonts w:ascii="Arial" w:cs="Arial" w:eastAsia="Arial" w:hAnsi="Arial"/>
                <w:sz w:val="18"/>
                <w:szCs w:val="18"/>
                <w:color w:val="auto"/>
              </w:rPr>
              <w:t>commitments, net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4"/>
                <w:szCs w:val="24"/>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525"/>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center"/>
              <w:ind w:left="335"/>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9"/>
                <w:szCs w:val="9"/>
                <w:b w:val="1"/>
                <w:bCs w:val="1"/>
                <w:color w:val="auto"/>
              </w:rPr>
              <w:t>(4)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Volumes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338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w w:val="93"/>
              </w:rPr>
              <w:t>Liquids storage (average monthly capacity in</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5"/>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4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5"/>
            <w:vMerge w:val="continue"/>
            <w:shd w:val="clear" w:color="auto" w:fill="CCEEFF"/>
          </w:tcPr>
          <w:p>
            <w:pPr>
              <w:spacing w:after="0"/>
              <w:rPr>
                <w:sz w:val="19"/>
                <w:szCs w:val="19"/>
                <w:color w:val="auto"/>
              </w:rPr>
            </w:pPr>
          </w:p>
        </w:tc>
        <w:tc>
          <w:tcPr>
            <w:tcW w:w="740" w:type="dxa"/>
            <w:vAlign w:val="bottom"/>
            <w:tcBorders>
              <w:right w:val="single" w:sz="8" w:color="auto"/>
            </w:tcBorders>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Natural gas storage (average monthly</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3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28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6 %</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3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working capacity in billions of cubic feet)</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NGL fractionation (average volumes in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thousands of barrels per day)</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vMerge w:val="continue"/>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Facilities segment total volumes (average</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2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20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 %</w:t>
            </w:r>
          </w:p>
        </w:tc>
        <w:tc>
          <w:tcPr>
            <w:tcW w:w="12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ind w:left="24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3480" w:type="dxa"/>
            <w:vAlign w:val="bottom"/>
            <w:gridSpan w:val="3"/>
          </w:tcPr>
          <w:p>
            <w:pPr>
              <w:ind w:left="180"/>
              <w:spacing w:after="0" w:line="202" w:lineRule="exact"/>
              <w:rPr>
                <w:sz w:val="20"/>
                <w:szCs w:val="20"/>
                <w:color w:val="auto"/>
              </w:rPr>
            </w:pPr>
            <w:r>
              <w:rPr>
                <w:rFonts w:ascii="Arial" w:cs="Arial" w:eastAsia="Arial" w:hAnsi="Arial"/>
                <w:sz w:val="18"/>
                <w:szCs w:val="18"/>
                <w:color w:val="auto"/>
                <w:w w:val="99"/>
              </w:rPr>
              <w:t xml:space="preserve">monthly volumes in millions of barrels) </w:t>
            </w:r>
            <w:r>
              <w:rPr>
                <w:rFonts w:ascii="Arial" w:cs="Arial" w:eastAsia="Arial" w:hAnsi="Arial"/>
                <w:sz w:val="23"/>
                <w:szCs w:val="23"/>
                <w:color w:val="auto"/>
                <w:w w:val="99"/>
                <w:vertAlign w:val="superscript"/>
              </w:rPr>
              <w:t>(6)</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vMerge w:val="continue"/>
          </w:tcPr>
          <w:p>
            <w:pPr>
              <w:spacing w:after="0"/>
              <w:rPr>
                <w:sz w:val="21"/>
                <w:szCs w:val="21"/>
                <w:color w:val="auto"/>
              </w:rPr>
            </w:pPr>
          </w:p>
        </w:tc>
        <w:tc>
          <w:tcPr>
            <w:tcW w:w="100" w:type="dxa"/>
            <w:vAlign w:val="bottom"/>
            <w:gridSpan w:val="2"/>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gridSpan w:val="2"/>
            <w:vMerge w:val="continue"/>
          </w:tcPr>
          <w:p>
            <w:pPr>
              <w:spacing w:after="0"/>
              <w:rPr>
                <w:sz w:val="21"/>
                <w:szCs w:val="21"/>
                <w:color w:val="auto"/>
              </w:rPr>
            </w:pPr>
          </w:p>
        </w:tc>
        <w:tc>
          <w:tcPr>
            <w:tcW w:w="120" w:type="dxa"/>
            <w:vAlign w:val="bottom"/>
            <w:tcBorders>
              <w:right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180" w:hanging="11"/>
        <w:spacing w:after="0" w:line="291" w:lineRule="auto"/>
        <w:rPr>
          <w:sz w:val="20"/>
          <w:szCs w:val="20"/>
          <w:color w:val="auto"/>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120" w:hanging="4"/>
        <w:spacing w:after="0" w:line="508"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period and divided by the number of months in the period. The following is a discussion of items impacting Facilities segment operating results.</w:t>
      </w:r>
    </w:p>
    <w:p>
      <w:pPr>
        <w:ind w:left="20"/>
        <w:spacing w:after="0"/>
        <w:rPr>
          <w:sz w:val="20"/>
          <w:szCs w:val="20"/>
          <w:color w:val="auto"/>
        </w:rPr>
      </w:pPr>
      <w:r>
        <w:rPr>
          <w:rFonts w:ascii="Arial" w:cs="Arial" w:eastAsia="Arial" w:hAnsi="Arial"/>
          <w:sz w:val="17"/>
          <w:szCs w:val="17"/>
          <w:i w:val="1"/>
          <w:iCs w:val="1"/>
          <w:color w:val="auto"/>
        </w:rPr>
        <w:t xml:space="preserve">Revenues, Purchases and Related Costs and Volumes. </w:t>
      </w:r>
      <w:r>
        <w:rPr>
          <w:rFonts w:ascii="Arial" w:cs="Arial" w:eastAsia="Arial" w:hAnsi="Arial"/>
          <w:sz w:val="17"/>
          <w:szCs w:val="17"/>
          <w:color w:val="auto"/>
        </w:rPr>
        <w:t>Variances in revenues and average monthly volumes were primarily driven by the</w:t>
      </w:r>
    </w:p>
    <w:p>
      <w:pPr>
        <w:spacing w:after="0" w:line="35"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following:</w:t>
      </w:r>
    </w:p>
    <w:p>
      <w:pPr>
        <w:spacing w:after="0" w:line="238" w:lineRule="exact"/>
        <w:rPr>
          <w:sz w:val="20"/>
          <w:szCs w:val="20"/>
          <w:color w:val="auto"/>
        </w:rPr>
      </w:pPr>
    </w:p>
    <w:p>
      <w:pPr>
        <w:ind w:left="980" w:right="100" w:hanging="324"/>
        <w:spacing w:after="0" w:line="263" w:lineRule="auto"/>
        <w:tabs>
          <w:tab w:leader="none" w:pos="97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from our rail terminals decreased by $12 million and $17 million for the three and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three and six months ended June 30, 2019, respectively, primarily due to decreased activity at certain of our rail terminals as a result of less favorable market conditions.</w:t>
      </w:r>
    </w:p>
    <w:p>
      <w:pPr>
        <w:spacing w:after="0" w:line="210" w:lineRule="exact"/>
        <w:rPr>
          <w:rFonts w:ascii="Arial" w:cs="Arial" w:eastAsia="Arial" w:hAnsi="Arial"/>
          <w:sz w:val="18"/>
          <w:szCs w:val="18"/>
          <w:i w:val="1"/>
          <w:iCs w:val="1"/>
          <w:color w:val="auto"/>
        </w:rPr>
      </w:pPr>
    </w:p>
    <w:p>
      <w:pPr>
        <w:ind w:left="980" w:right="40" w:hanging="324"/>
        <w:spacing w:after="0" w:line="259"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from our crude oil storage operations increased by $10 million and $16 million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three and six months ended June 30, 2019, respectively, primarily due to (i) the addition of an aggregate of 2.7 million barrels of storage capacity at our Midland, Cushing and St. James terminals and (ii) increased activity at certain of our West Coast terminals.</w:t>
      </w:r>
    </w:p>
    <w:p>
      <w:pPr>
        <w:spacing w:after="0" w:line="213" w:lineRule="exact"/>
        <w:rPr>
          <w:rFonts w:ascii="Arial" w:cs="Arial" w:eastAsia="Arial" w:hAnsi="Arial"/>
          <w:sz w:val="18"/>
          <w:szCs w:val="18"/>
          <w:color w:val="auto"/>
        </w:rPr>
      </w:pPr>
    </w:p>
    <w:p>
      <w:pPr>
        <w:ind w:left="980" w:hanging="324"/>
        <w:spacing w:after="0" w:line="254" w:lineRule="auto"/>
        <w:tabs>
          <w:tab w:leader="none" w:pos="97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from our NGL operations decreased by $11 million for the three months ended June 30,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2019 due primarily to the sale of certain NGL terminals in the fourth quarter of 2019 and the second quarter of 2020 and a net unfavorable foreign exchange impact of approximately $3 million. Revenues increased by $6 million for the six months ended June 30, 2020 compared to the same period in 2019 due to the favorable impact of the receipt of a deficiency payment of approximately $20 million upon the expiration of a multi-year contract and from higher fees at certain of our NGL storage facilities. Such favorable impact was partially offset by the sale of certain NGL terminals in the fourth quarter of 2019 and second quarter of 2020 and a net unfavorable foreign exchange impact of approximately $4 million.</w:t>
      </w:r>
    </w:p>
    <w:p>
      <w:pPr>
        <w:spacing w:after="0" w:line="221" w:lineRule="exact"/>
        <w:rPr>
          <w:rFonts w:ascii="Arial" w:cs="Arial" w:eastAsia="Arial" w:hAnsi="Arial"/>
          <w:sz w:val="18"/>
          <w:szCs w:val="18"/>
          <w:i w:val="1"/>
          <w:iCs w:val="1"/>
          <w:color w:val="auto"/>
        </w:rPr>
      </w:pPr>
    </w:p>
    <w:p>
      <w:pPr>
        <w:ind w:left="980" w:right="40" w:hanging="324"/>
        <w:spacing w:after="0" w:line="263" w:lineRule="auto"/>
        <w:tabs>
          <w:tab w:leader="none" w:pos="97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Processing. </w:t>
      </w:r>
      <w:r>
        <w:rPr>
          <w:rFonts w:ascii="Arial" w:cs="Arial" w:eastAsia="Arial" w:hAnsi="Arial"/>
          <w:sz w:val="18"/>
          <w:szCs w:val="18"/>
          <w:color w:val="auto"/>
        </w:rPr>
        <w:t>Revenues, net of purchases and related costs, from our natural gas processing operations decreased by $6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three and six months ended June 30, 2020 compared to the same periods in 2019 primarily due to the unfavorable impact of a $5 million payment to resolve a contractual dispute.</w:t>
      </w:r>
    </w:p>
    <w:p>
      <w:pPr>
        <w:spacing w:after="0" w:line="211"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decrease in field operating costs for the three and six months ended June 30, 2020 compared to the same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was primarily due a net favorable foreign exchange impact as well as decreases resulting from (i) the sale of certain NGL terminals referenced above,</w:t>
      </w:r>
    </w:p>
    <w:p>
      <w:pPr>
        <w:spacing w:after="0" w:line="1" w:lineRule="exact"/>
        <w:rPr>
          <w:sz w:val="20"/>
          <w:szCs w:val="20"/>
          <w:color w:val="auto"/>
        </w:rPr>
      </w:pPr>
    </w:p>
    <w:p>
      <w:pPr>
        <w:jc w:val="both"/>
        <w:ind w:right="180" w:firstLine="8"/>
        <w:spacing w:after="0" w:line="239"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timing of integrity management activities, (iii) reduced activity at our rail terminals and (iv) reductions in compensation and insurance costs, partially offset by (v) the impact of less favorable mark-to-market gains in the current period on fuel hedges (which impacts field operating costs but are excluded from Segment Adjusted EBITDA and thus are reflected as an “Adjustment” in the table above).</w:t>
      </w:r>
    </w:p>
    <w:p>
      <w:pPr>
        <w:spacing w:after="0" w:line="216" w:lineRule="exact"/>
        <w:rPr>
          <w:sz w:val="20"/>
          <w:szCs w:val="20"/>
          <w:color w:val="auto"/>
        </w:rPr>
      </w:pPr>
    </w:p>
    <w:p>
      <w:pPr>
        <w:jc w:val="both"/>
        <w:ind w:right="160" w:firstLine="648"/>
        <w:spacing w:after="0" w:line="262"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2020 compared to the same periods in 2019 was primarily due to legal costs (the benefit from this action will be reflected in future periods). The increase during the six-month comparative period was partially offset by lower equity-based compensation costs on liability-classified awards (which are not included as an “Adjustment” in the table above) due to a decrease in our common unit price.</w:t>
      </w:r>
    </w:p>
    <w:p>
      <w:pPr>
        <w:spacing w:after="0" w:line="19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three and six months ended June 30,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was primarily due to the timing of integrity management activities.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11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w w:val="98"/>
              </w:rPr>
              <w:t>(2,903)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1"/>
              </w:rPr>
              <w:t>(7,700)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4,797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2"/>
              </w:rPr>
              <w:t>(10,717)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89"/>
              </w:rPr>
              <w:t>(15,262)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5"/>
                <w:szCs w:val="15"/>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(Gains)/losses from derivative activities,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Long-term inventory costing</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8"/>
              </w:rPr>
              <w:t>Equity-indexed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revaluation</w:t>
            </w:r>
          </w:p>
        </w:tc>
        <w:tc>
          <w:tcPr>
            <w:tcW w:w="16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9"/>
                <w:szCs w:val="9"/>
                <w:b w:val="1"/>
                <w:bCs w:val="1"/>
                <w:color w:val="auto"/>
              </w:rPr>
              <w:t>(4)</w:t>
            </w: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120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2"/>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Crude oil lease gathering purchases</w:t>
            </w: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w w:val="93"/>
              </w:rPr>
              <w:t>1,102</w:t>
            </w:r>
          </w:p>
        </w:tc>
        <w:tc>
          <w:tcPr>
            <w:tcW w:w="12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NGL sales</w:t>
            </w: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240" w:type="dxa"/>
            <w:vAlign w:val="bottom"/>
            <w:gridSpan w:val="2"/>
            <w:vMerge w:val="restart"/>
          </w:tcPr>
          <w:p>
            <w:pPr>
              <w:ind w:left="120"/>
              <w:spacing w:after="0"/>
              <w:rPr>
                <w:sz w:val="20"/>
                <w:szCs w:val="20"/>
                <w:color w:val="auto"/>
              </w:rPr>
            </w:pPr>
            <w:r>
              <w:rPr>
                <w:rFonts w:ascii="Arial" w:cs="Arial" w:eastAsia="Arial" w:hAnsi="Arial"/>
                <w:sz w:val="18"/>
                <w:szCs w:val="18"/>
                <w:color w:val="auto"/>
              </w:rPr>
              <w:t>Supply and Logistics segment total</w:t>
            </w: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40" w:type="dxa"/>
            <w:vAlign w:val="bottom"/>
            <w:gridSpan w:val="2"/>
            <w:vMerge w:val="continue"/>
          </w:tcPr>
          <w:p>
            <w:pPr>
              <w:spacing w:after="0"/>
              <w:rPr>
                <w:sz w:val="18"/>
                <w:szCs w:val="18"/>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restart"/>
          </w:tcPr>
          <w:p>
            <w:pPr>
              <w:jc w:val="right"/>
              <w:ind w:right="55"/>
              <w:spacing w:after="0"/>
              <w:rPr>
                <w:sz w:val="20"/>
                <w:szCs w:val="20"/>
                <w:color w:val="auto"/>
              </w:rPr>
            </w:pPr>
            <w:r>
              <w:rPr>
                <w:rFonts w:ascii="Arial" w:cs="Arial" w:eastAsia="Arial" w:hAnsi="Arial"/>
                <w:sz w:val="18"/>
                <w:szCs w:val="18"/>
                <w:color w:val="auto"/>
                <w:w w:val="93"/>
              </w:rPr>
              <w:t>1,260</w:t>
            </w:r>
          </w:p>
        </w:tc>
        <w:tc>
          <w:tcPr>
            <w:tcW w:w="120" w:type="dxa"/>
            <w:vAlign w:val="bottom"/>
          </w:tcPr>
          <w:p>
            <w:pPr>
              <w:spacing w:after="0"/>
              <w:rPr>
                <w:sz w:val="18"/>
                <w:szCs w:val="18"/>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volumes</w:t>
            </w: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659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6597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3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2"/>
        </w:trPr>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w w:val="93"/>
              </w:rPr>
              <w:t>1,115</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820" w:type="dxa"/>
            <w:vAlign w:val="bottom"/>
          </w:tcPr>
          <w:p>
            <w:pPr>
              <w:jc w:val="right"/>
              <w:ind w:right="59"/>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75"/>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59"/>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75"/>
              <w:spacing w:after="0"/>
              <w:rPr>
                <w:sz w:val="20"/>
                <w:szCs w:val="20"/>
                <w:color w:val="auto"/>
              </w:rPr>
            </w:pPr>
            <w:r>
              <w:rPr>
                <w:rFonts w:ascii="Arial" w:cs="Arial" w:eastAsia="Arial" w:hAnsi="Arial"/>
                <w:sz w:val="18"/>
                <w:szCs w:val="18"/>
                <w:color w:val="auto"/>
                <w:w w:val="93"/>
              </w:rPr>
              <w:t>1,357</w:t>
            </w:r>
          </w:p>
        </w:tc>
        <w:tc>
          <w:tcPr>
            <w:tcW w:w="1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3" w:lineRule="exact"/>
        <w:rPr>
          <w:sz w:val="20"/>
          <w:szCs w:val="20"/>
          <w:color w:val="auto"/>
        </w:rPr>
      </w:pPr>
    </w:p>
    <w:p>
      <w:pPr>
        <w:sectPr>
          <w:pgSz w:w="11900" w:h="16838" w:orient="portrait"/>
          <w:cols w:equalWidth="0" w:num="2">
            <w:col w:w="7140" w:space="220"/>
            <w:col w:w="3880"/>
          </w:cols>
          <w:pgMar w:left="320" w:top="125"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160" w:hanging="652"/>
        <w:spacing w:after="0" w:line="543" w:lineRule="auto"/>
        <w:tabs>
          <w:tab w:leader="none" w:pos="648"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3"/>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June 30,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514"/>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474"/>
              <w:spacing w:after="0"/>
              <w:rPr>
                <w:sz w:val="20"/>
                <w:szCs w:val="20"/>
                <w:color w:val="auto"/>
              </w:rPr>
            </w:pPr>
            <w:r>
              <w:rPr>
                <w:rFonts w:ascii="Arial" w:cs="Arial" w:eastAsia="Arial" w:hAnsi="Arial"/>
                <w:sz w:val="18"/>
                <w:szCs w:val="18"/>
                <w:color w:val="auto"/>
                <w:w w:val="93"/>
              </w:rPr>
              <w:t>(38)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2019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w:t>
            </w:r>
          </w:p>
        </w:tc>
      </w:tr>
      <w:tr>
        <w:trPr>
          <w:trHeight w:val="27"/>
        </w:trPr>
        <w:tc>
          <w:tcPr>
            <w:tcW w:w="8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71"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hanging="324"/>
        <w:spacing w:after="0" w:line="254"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Revenues, net of purchases and related costs, (“net revenues”) from our crude oil operations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2020 compared to the three and six months ended June 30, 2019, primarily due to a combination of (i) significant curtailments and shut-ins by producers due to the low crude oil prices in the second quarter, (ii) less favorable differentials in the Permian Basin and Canada and (iii) the impact of weighted average inventory costing resulting in lower margins during the period (which will result in higher margins in the second half of 2020), partially offset by the favorable impact of contango market conditions during the second quarter of 2020. The decrease in the six-month comparative period was partially offset by favorable arbitrage opportunities in Canada during the first quarter of 2020.</w:t>
      </w:r>
    </w:p>
    <w:p>
      <w:pPr>
        <w:spacing w:after="0" w:line="221" w:lineRule="exact"/>
        <w:rPr>
          <w:rFonts w:ascii="Arial" w:cs="Arial" w:eastAsia="Arial" w:hAnsi="Arial"/>
          <w:sz w:val="18"/>
          <w:szCs w:val="18"/>
          <w:color w:val="auto"/>
        </w:rPr>
      </w:pPr>
    </w:p>
    <w:p>
      <w:pPr>
        <w:ind w:left="980" w:right="200" w:hanging="324"/>
        <w:spacing w:after="0" w:line="259"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decreased for the three and six months ended June 30, 2020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2019, primarily due to weaker fractionation spreads, lower border flows through our straddle plants and the decision to decrease shoulder month sales volumes and increase winter month sales volumes, plus the absence of the favorable impact from certain non-recurring items recorded in the second quarter of 2019.</w:t>
      </w:r>
    </w:p>
    <w:p>
      <w:pPr>
        <w:spacing w:after="0" w:line="186" w:lineRule="exact"/>
        <w:rPr>
          <w:rFonts w:ascii="Arial" w:cs="Arial" w:eastAsia="Arial" w:hAnsi="Arial"/>
          <w:sz w:val="18"/>
          <w:szCs w:val="18"/>
          <w:color w:val="auto"/>
        </w:rPr>
      </w:pPr>
    </w:p>
    <w:p>
      <w:pPr>
        <w:ind w:left="980" w:right="80" w:hanging="324"/>
        <w:spacing w:after="0" w:line="254" w:lineRule="auto"/>
        <w:tabs>
          <w:tab w:leader="none" w:pos="975"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w:t>
      </w:r>
      <w:r>
        <w:rPr>
          <w:rFonts w:ascii="Arial" w:cs="Arial" w:eastAsia="Arial" w:hAnsi="Arial"/>
          <w:sz w:val="18"/>
          <w:szCs w:val="18"/>
          <w:b w:val="1"/>
          <w:bCs w:val="1"/>
          <w:color w:val="auto"/>
        </w:rPr>
        <w:t>e.</w:t>
      </w:r>
      <w:r>
        <w:rPr>
          <w:rFonts w:ascii="Arial" w:cs="Arial" w:eastAsia="Arial" w:hAnsi="Arial"/>
          <w:sz w:val="18"/>
          <w:szCs w:val="18"/>
          <w:color w:val="auto"/>
        </w:rPr>
        <w:t xml:space="preserv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right="40" w:hanging="324"/>
        <w:spacing w:after="0" w:line="255"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980" w:right="160" w:hanging="324"/>
        <w:spacing w:after="0" w:line="286" w:lineRule="auto"/>
        <w:tabs>
          <w:tab w:leader="none" w:pos="97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w:t>
      </w:r>
      <w:r>
        <w:rPr>
          <w:rFonts w:ascii="Arial" w:cs="Arial" w:eastAsia="Arial" w:hAnsi="Arial"/>
          <w:sz w:val="17"/>
          <w:szCs w:val="17"/>
          <w:i w:val="1"/>
          <w:iCs w:val="1"/>
          <w:color w:val="auto"/>
        </w:rPr>
        <w:t xml:space="preserve"> </w:t>
      </w:r>
      <w:r>
        <w:rPr>
          <w:rFonts w:ascii="Arial" w:cs="Arial" w:eastAsia="Arial" w:hAnsi="Arial"/>
          <w:sz w:val="17"/>
          <w:szCs w:val="17"/>
          <w:color w:val="auto"/>
        </w:rPr>
        <w:t>and losses on U.S. denominated net assets within our Canadian operations. These non-cash gains and losses impact our net revenues but are excluded from Segment Adjusted EBITDA and thus are reflected as an “Adjustment” in the table above.</w:t>
      </w:r>
    </w:p>
    <w:p>
      <w:pPr>
        <w:spacing w:after="0" w:line="192" w:lineRule="exact"/>
        <w:rPr>
          <w:rFonts w:ascii="Arial" w:cs="Arial" w:eastAsia="Arial" w:hAnsi="Arial"/>
          <w:sz w:val="17"/>
          <w:szCs w:val="17"/>
          <w:color w:val="auto"/>
        </w:rPr>
      </w:pPr>
    </w:p>
    <w:p>
      <w:pPr>
        <w:ind w:left="980" w:right="120" w:hanging="324"/>
        <w:spacing w:after="0" w:line="263" w:lineRule="auto"/>
        <w:tabs>
          <w:tab w:leader="none" w:pos="975"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and six months ended June 30, 2020 compared to the same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was primarily driven by a decrease in long-haul third-party trucking costs and a decrease in company personnel and truck costs as additional pipeline capacity came into service after the first half of 2019.</w:t>
      </w:r>
    </w:p>
    <w:p>
      <w:pPr>
        <w:spacing w:after="0" w:line="210" w:lineRule="exact"/>
        <w:rPr>
          <w:rFonts w:ascii="Arial" w:cs="Arial" w:eastAsia="Arial" w:hAnsi="Arial"/>
          <w:sz w:val="18"/>
          <w:szCs w:val="18"/>
          <w:i w:val="1"/>
          <w:iCs w:val="1"/>
          <w:color w:val="auto"/>
        </w:rPr>
      </w:pPr>
    </w:p>
    <w:p>
      <w:pPr>
        <w:ind w:left="980" w:right="100" w:hanging="324"/>
        <w:spacing w:after="0" w:line="301" w:lineRule="auto"/>
        <w:tabs>
          <w:tab w:leader="none" w:pos="975"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Segment General and Administrative Expenses</w:t>
      </w:r>
      <w:r>
        <w:rPr>
          <w:rFonts w:ascii="Arial" w:cs="Arial" w:eastAsia="Arial" w:hAnsi="Arial"/>
          <w:sz w:val="16"/>
          <w:szCs w:val="16"/>
          <w:color w:val="auto"/>
        </w:rPr>
        <w:t>. The decrease in segment general and administrative expenses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2020 compared to the same periods in 2019 was primarily driven by lower compensation costs and decreased travel and entertainment costs. The six-month comparative period was further favorably impacted by a decrease in equity-based compensation costs on liability-classified awards (which are not included as an “Adjustment” in the table above) due to a decrease in our common unit price.</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spending for the three and six months ended June 30,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was due to higher tractor trailer lease buyouts.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Depreciation and amortization expense increased for the three and six months ended June 30, 2020 compared to the three and six months ended June 30, 2019 largely driven by (i) additional depreciation expense associated with the completion of various capital expansion projects and (ii) a reduction in the useful lives of certain assets.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net loss on asset sales and asset impairments for the six months ended June 30, 2020 was largely driven by (i) non-cash impairment losses of approximately $446 million related to the write-down of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See Note 14 for additional information regarding these asset impairments.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first quarter of 2020, we recognized a goodwill impairment charge of $2.5 billion, representing the entire balance of goodwill. See Note 6 to our Condensed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During the three and six months ended June 30, 2020, we recognized a loss of $69 million and $112 million, respectively, related to the write-down of certain of our investments in unconsolidated entities. Additionally, during the six months ended June 30, 2020, we recognized a gain of</w:t>
      </w:r>
    </w:p>
    <w:p>
      <w:pPr>
        <w:jc w:val="both"/>
        <w:ind w:right="180"/>
        <w:spacing w:after="0" w:line="253" w:lineRule="auto"/>
        <w:rPr>
          <w:sz w:val="20"/>
          <w:szCs w:val="20"/>
          <w:color w:val="auto"/>
        </w:rPr>
      </w:pPr>
      <w:r>
        <w:rPr>
          <w:rFonts w:ascii="Arial" w:cs="Arial" w:eastAsia="Arial" w:hAnsi="Arial"/>
          <w:sz w:val="18"/>
          <w:szCs w:val="18"/>
          <w:color w:val="auto"/>
        </w:rPr>
        <w:t>$21 million related to our sale of a 10% interest in Saddlehorn Pipeline Company, LLC. See Note 7 to our Condensed Consolidated Financial Statements for additional information. During the six months ended June 30, 2019, we recognized a non-cash gain of $267 million related to a fair value adjustment resulting from the accounting for the contribution of our undivided joint interest in the Capline pipeline system for an equity interest in Capline Pipeline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increase in interest expense for the three and six months ended June 30, 2020 compared to the three and six months ended June 30, 2019 was primarily due to (i) lower capitalized interest in the 2020 period driven by fewer capital projects under construction and (ii) a higher weighted average debt balance during the 2020 period from higher commercial paper and credit facility borrowings.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8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2"/>
        </w:trPr>
        <w:tc>
          <w:tcPr>
            <w:tcW w:w="67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w w:val="94"/>
              </w:rPr>
              <w:t>Gain/(loss) related to mark-to-market adjustment of our Preferred Distribution Rate Reset</w:t>
            </w:r>
          </w:p>
        </w:tc>
        <w:tc>
          <w:tcPr>
            <w:tcW w:w="700" w:type="dxa"/>
            <w:vAlign w:val="bottom"/>
            <w:vMerge w:val="restart"/>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3"/>
                <w:szCs w:val="23"/>
                <w:color w:val="auto"/>
                <w:vertAlign w:val="superscript"/>
              </w:rPr>
              <w:t>(1)</w:t>
            </w:r>
          </w:p>
        </w:tc>
        <w:tc>
          <w:tcPr>
            <w:tcW w:w="70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700" w:type="dxa"/>
            <w:vAlign w:val="bottom"/>
          </w:tcPr>
          <w:p>
            <w:pPr>
              <w:spacing w:after="0"/>
              <w:rPr>
                <w:sz w:val="23"/>
                <w:szCs w:val="23"/>
                <w:color w:val="auto"/>
              </w:rPr>
            </w:pPr>
          </w:p>
        </w:tc>
        <w:tc>
          <w:tcPr>
            <w:tcW w:w="360" w:type="dxa"/>
            <w:vAlign w:val="bottom"/>
          </w:tcPr>
          <w:p>
            <w:pPr>
              <w:jc w:val="right"/>
              <w:ind w:right="74"/>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70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our Condensed Consolidated Financial Statements for additional information.</w:t>
      </w:r>
    </w:p>
    <w:p>
      <w:pPr>
        <w:spacing w:after="0" w:line="63" w:lineRule="exact"/>
        <w:rPr>
          <w:sz w:val="20"/>
          <w:szCs w:val="20"/>
          <w:color w:val="auto"/>
        </w:rPr>
      </w:pPr>
    </w:p>
    <w:p>
      <w:pPr>
        <w:ind w:left="20" w:right="540" w:hanging="11"/>
        <w:spacing w:after="0" w:line="308" w:lineRule="auto"/>
        <w:rPr>
          <w:sz w:val="20"/>
          <w:szCs w:val="20"/>
          <w:color w:val="auto"/>
        </w:rPr>
      </w:pPr>
      <w:r>
        <w:rPr>
          <w:rFonts w:ascii="Arial" w:cs="Arial" w:eastAsia="Arial" w:hAnsi="Arial"/>
          <w:sz w:val="17"/>
          <w:szCs w:val="17"/>
          <w:color w:val="auto"/>
        </w:rPr>
        <w:t>The net loss during the three and six months ended June 30, 2020 was primarily related to the impact that the change in in the U.S. dollar to Canadian dollar exchange rate had on the portion of our intercompany net investment that is not long-term in nature.</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decrease in the income tax benefit for the three months ended June 30, 2020 compared to three months ended June 30, 2019 and the increase in income tax expense for the six months ended June 30, 2020 compared to the six months ended June 30, 2019 was primarily due to the recognition a deferred tax benefit of approximately $60 million during the second quarter of 2019 as a result of the reduction of the provincial tax rate in Alberta, Canada, partially offset by lower earnings in our Canadian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“—Acquisitions and Capital Expenditures.”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w:t>
      </w:r>
    </w:p>
    <w:p>
      <w:pPr>
        <w:spacing w:after="0" w:line="2" w:lineRule="exact"/>
        <w:rPr>
          <w:sz w:val="20"/>
          <w:szCs w:val="20"/>
          <w:color w:val="auto"/>
        </w:rPr>
      </w:pPr>
    </w:p>
    <w:p>
      <w:pPr>
        <w:ind w:right="80" w:firstLine="8"/>
        <w:spacing w:after="0" w:line="253" w:lineRule="auto"/>
        <w:tabs>
          <w:tab w:leader="none" w:pos="3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As of June 30, 2020, although we had a working capital deficit of $472 million, we had approximately $2.9 billion of liquidity available to meet our ongoing operating, investing and financing needs, subject to continued covenant compliance, as noted below (in millions):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615"/>
              <w:spacing w:after="0"/>
              <w:rPr>
                <w:sz w:val="20"/>
                <w:szCs w:val="20"/>
                <w:color w:val="auto"/>
              </w:rPr>
            </w:pPr>
            <w:r>
              <w:rPr>
                <w:rFonts w:ascii="Arial" w:cs="Arial" w:eastAsia="Arial" w:hAnsi="Arial"/>
                <w:sz w:val="14"/>
                <w:szCs w:val="14"/>
                <w:b w:val="1"/>
                <w:bCs w:val="1"/>
                <w:color w:val="auto"/>
              </w:rPr>
              <w:t>As of</w:t>
            </w:r>
          </w:p>
        </w:tc>
      </w:tr>
      <w:tr>
        <w:trPr>
          <w:trHeight w:val="192"/>
        </w:trPr>
        <w:tc>
          <w:tcPr>
            <w:tcW w:w="9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June 30, 2020</w:t>
            </w:r>
          </w:p>
        </w:tc>
      </w:tr>
      <w:tr>
        <w:trPr>
          <w:trHeight w:val="26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3"/>
                <w:szCs w:val="23"/>
                <w:color w:val="auto"/>
                <w:vertAlign w:val="superscript"/>
              </w:rPr>
              <w:t>(1) (2)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1,505</w:t>
            </w:r>
          </w:p>
        </w:tc>
      </w:tr>
      <w:tr>
        <w:trPr>
          <w:trHeight w:val="270"/>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3"/>
                <w:szCs w:val="23"/>
                <w:color w:val="auto"/>
                <w:vertAlign w:val="superscript"/>
              </w:rPr>
              <w:t>(1) (2)</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1,383</w:t>
            </w:r>
          </w:p>
        </w:tc>
      </w:tr>
      <w:tr>
        <w:trPr>
          <w:trHeight w:val="243"/>
        </w:trPr>
        <w:tc>
          <w:tcPr>
            <w:tcW w:w="9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2,888</w:t>
            </w:r>
          </w:p>
        </w:tc>
      </w:tr>
      <w:tr>
        <w:trPr>
          <w:trHeight w:val="243"/>
        </w:trPr>
        <w:tc>
          <w:tcPr>
            <w:tcW w:w="9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40</w:t>
            </w:r>
          </w:p>
        </w:tc>
      </w:tr>
      <w:tr>
        <w:trPr>
          <w:trHeight w:val="27"/>
        </w:trPr>
        <w:tc>
          <w:tcPr>
            <w:tcW w:w="9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9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2,928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34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 There were no commercial paper borrowings outstanding as of June 30, 2020.</w:t>
      </w:r>
    </w:p>
    <w:p>
      <w:pPr>
        <w:spacing w:after="0" w:line="62" w:lineRule="exact"/>
        <w:rPr>
          <w:sz w:val="20"/>
          <w:szCs w:val="20"/>
          <w:color w:val="auto"/>
        </w:rPr>
      </w:pPr>
    </w:p>
    <w:p>
      <w:pPr>
        <w:ind w:right="220" w:hanging="11"/>
        <w:spacing w:after="0" w:line="277" w:lineRule="auto"/>
        <w:rPr>
          <w:sz w:val="20"/>
          <w:szCs w:val="20"/>
          <w:color w:val="auto"/>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$95 million and $17 million, respectively.</w:t>
      </w:r>
    </w:p>
    <w:p>
      <w:pPr>
        <w:spacing w:after="0" w:line="197"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ind w:right="60" w:firstLine="648"/>
        <w:spacing w:after="0" w:line="270" w:lineRule="auto"/>
        <w:rPr>
          <w:sz w:val="20"/>
          <w:szCs w:val="20"/>
          <w:color w:val="auto"/>
        </w:rPr>
      </w:pPr>
      <w:r>
        <w:rPr>
          <w:rFonts w:ascii="Arial" w:cs="Arial" w:eastAsia="Arial" w:hAnsi="Arial"/>
          <w:sz w:val="17"/>
          <w:szCs w:val="17"/>
          <w:color w:val="auto"/>
        </w:rPr>
        <w:t>Current macroeconomic and geopolitical conditions including the collapse of oil prices driven by both the decrease in demand caused by the COVID-19 pandemic and excess supply has caused liquidity issues impacting many energy companies; however, we believe that we have, and will continue to have, the ability to access our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June 30, 2020, we were in compliance with all such covenants. Also, see Item 1A. “Risk Factors” included in our 2019 Annual Report on Form 10-K and Item 1A. “Risk Factors” in Part II of our Quarterly Report on Form 10-Q for the quarter ended March 31, 2020 for further discussion regarding such risks that may impact our 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2019 Annual Report on Form 10-K.</w:t>
      </w:r>
    </w:p>
    <w:p>
      <w:pPr>
        <w:spacing w:after="0" w:line="18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Net cash provided by operating activities for the first six months of 2020 and 2019 was $974 million and $1,464 million,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During the six months ended June 30, 2020, we increased the volume of our crude oil inventory to be stored during the contango market; however, this increase was offset by lower prices for our inventory stored at the end of the current period compared to the end of 2019.</w:t>
      </w:r>
    </w:p>
    <w:p>
      <w:pPr>
        <w:spacing w:after="0" w:line="17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six months ended June 30, 2019, our cash provided by operating activities was positively impacted by decreases in the volume of inventory that we held, primarily due to the sale of NGL and crude oil inventory. The favorable effects from the liquidation of such inventory were partially offset by the timing of revenue recognized during the period for which cash was received in prior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 We have made and will continue to make capital expenditures for acquisitions, expansion capital projects and maintenance activities. However, in the near term we do not plan to issue common equity to fund such activities.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In February 2020, we acquired a crude oil gathering system and related assets in the Delaware Basin for approximately $300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our Condensed Consolidated Financial Statements for additional information.</w:t>
      </w:r>
    </w:p>
    <w:p>
      <w:pPr>
        <w:spacing w:after="0" w:line="23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i w:val="1"/>
          <w:iCs w:val="1"/>
          <w:color w:val="auto"/>
        </w:rPr>
        <w:t xml:space="preserve">Capital Projects. </w:t>
      </w:r>
      <w:r>
        <w:rPr>
          <w:rFonts w:ascii="Arial" w:cs="Arial" w:eastAsia="Arial" w:hAnsi="Arial"/>
          <w:sz w:val="16"/>
          <w:szCs w:val="16"/>
          <w:color w:val="auto"/>
        </w:rPr>
        <w:t>We invested $654 million in midstream infrastructure during the six months ended June 30, 2020, and we expect to invest</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$1.0 billion during the full year ending December 31, 2020. Our expected capital investment for 2020 reflects a reduction from our expected capital investment at year-end 2019 due to the current dynamic and uncertain market conditions. See “—Acquisitions and Capital Projects” for additional information. We expect to fund our 2020 capital program with retained cash flow, proceeds from assets sold as part of our divestiture program or debt.</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January 2020, we entered into a definitive agreement to sell certain of our Los Angeles Basin crude oil terminals for $195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adjustments and expect the transaction to close in the second half of 2020. In April 2020, we sold certain NGL terminals for $163 million, subject to certain adjustments. See Note 14 to our Condensed Consolidated Financial Statements for additional information. Additionally, we sold a 10% ownership interest in Saddlehorn Pipeline Company, LLC for proceeds of approximately $78 million. See Note 7 to our Condensed Consolidated Financial Statements for additional information.</w:t>
      </w:r>
    </w:p>
    <w:p>
      <w:pPr>
        <w:spacing w:after="0" w:line="21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reinforce 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Our Business” of our 2019 Annual Report on Form 10-K for further discussion regarding risks related to our acquisitions and divestitures.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and other debt agreements, as well as payment of distributions to our unitholders.</w:t>
      </w:r>
    </w:p>
    <w:p>
      <w:pPr>
        <w:spacing w:after="0" w:line="15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Registration Statements</w:t>
      </w:r>
      <w:r>
        <w:rPr>
          <w:rFonts w:ascii="Arial" w:cs="Arial" w:eastAsia="Arial" w:hAnsi="Arial"/>
          <w:sz w:val="17"/>
          <w:szCs w:val="17"/>
          <w:color w:val="auto"/>
        </w:rPr>
        <w:t>. We periodically access the capital markets for both equity and debt financing. We have filed with the SEC a universal</w:t>
      </w:r>
      <w:r>
        <w:rPr>
          <w:rFonts w:ascii="Arial" w:cs="Arial" w:eastAsia="Arial" w:hAnsi="Arial"/>
          <w:sz w:val="17"/>
          <w:szCs w:val="17"/>
          <w:i w:val="1"/>
          <w:iCs w:val="1"/>
          <w:color w:val="auto"/>
        </w:rPr>
        <w:t xml:space="preserve"> </w:t>
      </w:r>
      <w:r>
        <w:rPr>
          <w:rFonts w:ascii="Arial" w:cs="Arial" w:eastAsia="Arial" w:hAnsi="Arial"/>
          <w:sz w:val="17"/>
          <w:szCs w:val="17"/>
          <w:color w:val="auto"/>
        </w:rPr>
        <w:t>shelf registration statement that, subject to effectiveness at the time of use, allows us to issue up to an aggregate of $1.1 billion of debt or equity securities (“Traditional Shelf”). At June 30, 2020, we had approximately $1.1 billion of unsold securities available under the Traditional Shelf. We did not conduct any offerings under our Traditional Shelf during the six months ended June 30, 2020. We also have access to a universal shelf registration statement (“WKSI Shelf”), which provides us with the ability to offer and sell an unlimited amount of debt and equity securities, subject to market conditions and our capital needs. The offering of $750 million, 3.80% senior notes in June 2020 was conducted under our WKSI Shelf.</w:t>
      </w:r>
    </w:p>
    <w:p>
      <w:pPr>
        <w:spacing w:after="0" w:line="178" w:lineRule="exact"/>
        <w:rPr>
          <w:sz w:val="20"/>
          <w:szCs w:val="20"/>
          <w:color w:val="auto"/>
        </w:rPr>
      </w:pPr>
    </w:p>
    <w:p>
      <w:pPr>
        <w:ind w:right="200" w:firstLine="68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our revolving credit facilities (which impact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our commercial paper program because they provide the financial backstop that supports our short-term credit ratings) and our GO Zone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As of June 30, 2020, we were in compliance with the covenants contained in our credit agreements and indentures.</w:t>
      </w: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six months ended June 30, 2020, we had net repayments on our credit facilities and commercial paper program of $418 million. The net repayments resulted primarily from cash flow from operating activities, proceeds from asset sales and the issuance of $750 million, 3.80% senior notes in June 2020, which offset borrowings during the period related to funding needs for capital investments, inventory purchases and other general partnership purposes.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2019, we had net borrowings under our credit facilities and commercial paper program of $318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borrowings resulted primarily from funds needed for general partnership purposes.</w:t>
      </w:r>
    </w:p>
    <w:p>
      <w:pPr>
        <w:spacing w:after="0" w:line="23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June 2020, we completed the offering of $750 million, 3.80% senior notes due September 2030 at a public offering price of 99.794%. Interest payments are due on March 15 and September 15 of each year, commencing on September 15, 2020. We intend to use the net proceeds from this offering of $742 million, after deducting the underwriting discount and offering expenses, to partially repay the principal amounts of our 5.00% senior notes due February 2021 and, pending such repayment, have used a portion of the proceeds to repay outstanding borrowings under our commercial paper program, credit facilities and for general partnership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Our Unitholders</w:t>
      </w:r>
    </w:p>
    <w:p>
      <w:pPr>
        <w:spacing w:after="0" w:line="229"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i w:val="1"/>
          <w:iCs w:val="1"/>
          <w:color w:val="auto"/>
        </w:rPr>
        <w:t xml:space="preserve">Distributions to our Series A preferred unitholders. </w:t>
      </w:r>
      <w:r>
        <w:rPr>
          <w:rFonts w:ascii="Arial" w:cs="Arial" w:eastAsia="Arial" w:hAnsi="Arial"/>
          <w:sz w:val="16"/>
          <w:szCs w:val="16"/>
          <w:color w:val="auto"/>
        </w:rPr>
        <w:t>On August 14, 2020, we will pay a cash distribution of $37 million ($0.525 per unit)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outstanding as of July 31, 2020, the record date for such distribution for the period from April 1, 2020 through June 30, 2020. See Note 9 to our Condensed Consolidated Financial Statements for details of distributions made during or pertaining to the first six months of 2020.</w:t>
      </w:r>
    </w:p>
    <w:p>
      <w:pPr>
        <w:spacing w:after="0" w:line="14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Distributions to Series B preferred unitholders. </w:t>
      </w:r>
      <w:r>
        <w:rPr>
          <w:rFonts w:ascii="Arial" w:cs="Arial" w:eastAsia="Arial" w:hAnsi="Arial"/>
          <w:sz w:val="17"/>
          <w:szCs w:val="17"/>
          <w:color w:val="auto"/>
        </w:rPr>
        <w:t>Distributions on our Series B preferred units are payable in cash semi-annually in arrears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15th day of May and November. See Note 9 to our Condensed Consolidated Financial Statements for additional information.</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Distributions to our common unitholders. </w:t>
      </w:r>
      <w:r>
        <w:rPr>
          <w:rFonts w:ascii="Arial" w:cs="Arial" w:eastAsia="Arial" w:hAnsi="Arial"/>
          <w:sz w:val="16"/>
          <w:szCs w:val="16"/>
          <w:color w:val="auto"/>
        </w:rPr>
        <w:t>In accordance with our partnership agreement, after making distributions to holders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Our available cash also includes cash on hand resulting from borrowings made after the end of the quarter. On August 14, 2020, we will pay a quarterly distribution of $0.18 per common unit ($0.72 per common unit on an annualized basis), which is unchanged from our prior quarterly distribution, but equates to a reduction of 50% compared to the quarterly distribution of $0.36 per common unit ($1.44 per common unit on an annualized basis) paid in February 2020. This reduction was made in response to the current dynamic and uncertain market conditions to further reinforce our commitment to maintaining a solid capital structure and strong liquidity. See “—Executive Summary —</w:t>
      </w:r>
      <w:r>
        <w:rPr>
          <w:rFonts w:ascii="Arial" w:cs="Arial" w:eastAsia="Arial" w:hAnsi="Arial"/>
          <w:sz w:val="16"/>
          <w:szCs w:val="16"/>
          <w:i w:val="1"/>
          <w:iCs w:val="1"/>
          <w:color w:val="auto"/>
        </w:rPr>
        <w:t>Recent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Events &amp; Outlook </w:t>
      </w:r>
      <w:r>
        <w:rPr>
          <w:rFonts w:ascii="Arial" w:cs="Arial" w:eastAsia="Arial" w:hAnsi="Arial"/>
          <w:sz w:val="16"/>
          <w:szCs w:val="16"/>
          <w:color w:val="auto"/>
        </w:rPr>
        <w:t>” for further discussion. See Note 9 to our Condensed Consolidated Financial Statements for details of distributions paid during or</w:t>
      </w:r>
      <w:r>
        <w:rPr>
          <w:rFonts w:ascii="Arial" w:cs="Arial" w:eastAsia="Arial" w:hAnsi="Arial"/>
          <w:sz w:val="16"/>
          <w:szCs w:val="16"/>
          <w:i w:val="1"/>
          <w:iCs w:val="1"/>
          <w:color w:val="auto"/>
        </w:rPr>
        <w:t xml:space="preserve"> </w:t>
      </w:r>
      <w:r>
        <w:rPr>
          <w:rFonts w:ascii="Arial" w:cs="Arial" w:eastAsia="Arial" w:hAnsi="Arial"/>
          <w:sz w:val="16"/>
          <w:szCs w:val="16"/>
          <w:color w:val="auto"/>
        </w:rPr>
        <w:t>pertaining to the first six months of 2020. Also, see Item 5. “Market for Registrant’s Common Units, Related Unitholder Matters and Issuer Purchases of Equity Securities—Cash Distribution Policy” included in our 2019 Annual Report on Form 10-K for additional discussion regarding distributions.</w:t>
      </w:r>
    </w:p>
    <w:p>
      <w:pPr>
        <w:spacing w:after="0" w:line="20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 and cost of borrowing.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13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June 30, 2020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2025 and</w:t>
            </w:r>
          </w:p>
        </w:tc>
        <w:tc>
          <w:tcPr>
            <w:tcW w:w="200" w:type="dxa"/>
            <w:vAlign w:val="bottom"/>
          </w:tcPr>
          <w:p>
            <w:pPr>
              <w:spacing w:after="0"/>
              <w:rPr>
                <w:sz w:val="14"/>
                <w:szCs w:val="14"/>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1,049</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1,159</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1,662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9,633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70"/>
        </w:trPr>
        <w:tc>
          <w:tcPr>
            <w:tcW w:w="4220" w:type="dxa"/>
            <w:vAlign w:val="bottom"/>
          </w:tcPr>
          <w:p>
            <w:pPr>
              <w:ind w:left="2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37"/>
        </w:trPr>
        <w:tc>
          <w:tcPr>
            <w:tcW w:w="4220" w:type="dxa"/>
            <w:vAlign w:val="bottom"/>
          </w:tcPr>
          <w:p>
            <w:pPr>
              <w:ind w:left="120"/>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11,183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18,504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6,861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6,423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5,886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5,641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15,026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44,241</w:t>
            </w:r>
          </w:p>
        </w:tc>
        <w:tc>
          <w:tcPr>
            <w:tcW w:w="0" w:type="dxa"/>
            <w:vAlign w:val="bottom"/>
          </w:tcPr>
          <w:p>
            <w:pPr>
              <w:spacing w:after="0"/>
              <w:rPr>
                <w:sz w:val="1"/>
                <w:szCs w:val="1"/>
                <w:color w:val="auto"/>
              </w:rPr>
            </w:pPr>
          </w:p>
        </w:tc>
      </w:tr>
      <w:tr>
        <w:trPr>
          <w:trHeight w:val="263"/>
        </w:trPr>
        <w:tc>
          <w:tcPr>
            <w:tcW w:w="422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8,496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8,012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7,925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7,063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26,209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62,745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4" w:right="160" w:hanging="11"/>
        <w:spacing w:after="0" w:line="255" w:lineRule="auto"/>
        <w:rPr>
          <w:sz w:val="20"/>
          <w:szCs w:val="20"/>
          <w:color w:val="auto"/>
        </w:rPr>
      </w:pPr>
      <w:r>
        <w:rPr>
          <w:rFonts w:ascii="Arial" w:cs="Arial" w:eastAsia="Arial" w:hAnsi="Arial"/>
          <w:sz w:val="18"/>
          <w:szCs w:val="18"/>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8 to our Condensed Consolidated Financial Statements.</w:t>
      </w:r>
    </w:p>
    <w:p>
      <w:pPr>
        <w:spacing w:after="0" w:line="84"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to our Consolidated Financial Statements included in Part IV of our 2019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95" w:lineRule="auto"/>
        <w:tabs>
          <w:tab w:leader="none" w:pos="309"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noncancelable commitments related to our capital expansion projects, including projected contributions for our share of the capital spending of our equity method investments. The storage, processing and transportation agreements include approximately $1.9 billion associated with agreements to store, process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53" w:lineRule="exact"/>
        <w:rPr>
          <w:sz w:val="20"/>
          <w:szCs w:val="20"/>
          <w:color w:val="auto"/>
        </w:rPr>
      </w:pPr>
    </w:p>
    <w:p>
      <w:pPr>
        <w:ind w:left="4" w:right="4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June 2020.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2"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June 30, 2020 and December 31, 2019, we had outstanding letters of credit of approximately $112 million and $157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2019 Annual Report on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52" w:lineRule="exact"/>
        <w:rPr>
          <w:sz w:val="20"/>
          <w:szCs w:val="20"/>
          <w:color w:val="auto"/>
        </w:rPr>
      </w:pPr>
    </w:p>
    <w:p>
      <w:pPr>
        <w:ind w:left="980" w:right="120" w:hanging="324"/>
        <w:spacing w:after="0" w:line="255"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further declines in global crude oil demand and crude oil prices that correspondingly lead to a significant reduction of domestic crude oil,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219" w:lineRule="exact"/>
        <w:rPr>
          <w:rFonts w:ascii="Arial" w:cs="Arial" w:eastAsia="Arial" w:hAnsi="Arial"/>
          <w:sz w:val="18"/>
          <w:szCs w:val="18"/>
          <w:color w:val="auto"/>
        </w:rPr>
      </w:pPr>
    </w:p>
    <w:p>
      <w:pPr>
        <w:ind w:left="980" w:right="40" w:hanging="324"/>
        <w:spacing w:after="0" w:line="279" w:lineRule="auto"/>
        <w:tabs>
          <w:tab w:leader="none" w:pos="9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such restrictions are designed to protect public health but also have the effect of significantly reducing demand for crude oil;</w:t>
      </w:r>
    </w:p>
    <w:p>
      <w:pPr>
        <w:spacing w:after="0" w:line="198" w:lineRule="exact"/>
        <w:rPr>
          <w:rFonts w:ascii="Arial" w:cs="Arial" w:eastAsia="Arial" w:hAnsi="Arial"/>
          <w:sz w:val="17"/>
          <w:szCs w:val="17"/>
          <w:color w:val="auto"/>
        </w:rPr>
      </w:pPr>
    </w:p>
    <w:p>
      <w:pPr>
        <w:ind w:left="980" w:right="20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97"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50" w:lineRule="exact"/>
        <w:rPr>
          <w:rFonts w:ascii="Arial" w:cs="Arial" w:eastAsia="Arial" w:hAnsi="Arial"/>
          <w:sz w:val="16"/>
          <w:szCs w:val="16"/>
          <w:color w:val="auto"/>
        </w:rPr>
      </w:pPr>
    </w:p>
    <w:p>
      <w:pPr>
        <w:ind w:left="980" w:right="400" w:hanging="324"/>
        <w:spacing w:after="0" w:line="286" w:lineRule="auto"/>
        <w:tabs>
          <w:tab w:leader="none" w:pos="9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 and a resulting increase in demand for the midstream services we provide;</w:t>
      </w:r>
    </w:p>
    <w:p>
      <w:pPr>
        <w:spacing w:after="0" w:line="192" w:lineRule="exact"/>
        <w:rPr>
          <w:rFonts w:ascii="Arial" w:cs="Arial" w:eastAsia="Arial" w:hAnsi="Arial"/>
          <w:sz w:val="17"/>
          <w:szCs w:val="17"/>
          <w:color w:val="auto"/>
        </w:rPr>
      </w:pPr>
    </w:p>
    <w:p>
      <w:pPr>
        <w:ind w:left="980" w:right="360" w:hanging="324"/>
        <w:spacing w:after="0" w:line="25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980" w:right="300" w:hanging="324"/>
        <w:spacing w:after="0" w:line="342" w:lineRule="auto"/>
        <w:tabs>
          <w:tab w:leader="none" w:pos="9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operational difficulties due to physical distancing restrictions and the additional demands such restrictions may place on our employees;</w:t>
      </w:r>
    </w:p>
    <w:p>
      <w:pPr>
        <w:spacing w:after="0" w:line="263" w:lineRule="exact"/>
        <w:rPr>
          <w:rFonts w:ascii="Arial" w:cs="Arial" w:eastAsia="Arial" w:hAnsi="Arial"/>
          <w:sz w:val="17"/>
          <w:szCs w:val="17"/>
          <w:color w:val="auto"/>
        </w:rPr>
      </w:pPr>
    </w:p>
    <w:p>
      <w:pPr>
        <w:ind w:left="980" w:right="4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197"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9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complete forecasted asset sale transactions due to governmental action, litigation, counterparty non-performance or other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52"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980" w:right="280" w:hanging="324"/>
        <w:spacing w:after="0" w:line="342" w:lineRule="auto"/>
        <w:tabs>
          <w:tab w:leader="none" w:pos="9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7" w:lineRule="exact"/>
        <w:rPr>
          <w:rFonts w:ascii="Arial" w:cs="Arial" w:eastAsia="Arial" w:hAnsi="Arial"/>
          <w:sz w:val="18"/>
          <w:szCs w:val="18"/>
          <w:color w:val="auto"/>
        </w:rPr>
      </w:pPr>
    </w:p>
    <w:p>
      <w:pPr>
        <w:ind w:left="980" w:right="320" w:hanging="324"/>
        <w:spacing w:after="0" w:line="308" w:lineRule="auto"/>
        <w:tabs>
          <w:tab w:leader="none" w:pos="9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46" w:lineRule="exact"/>
        <w:rPr>
          <w:rFonts w:ascii="Arial" w:cs="Arial" w:eastAsia="Arial" w:hAnsi="Arial"/>
          <w:sz w:val="17"/>
          <w:szCs w:val="17"/>
          <w:color w:val="auto"/>
        </w:rPr>
      </w:pPr>
    </w:p>
    <w:p>
      <w:pPr>
        <w:ind w:left="980" w:right="58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97"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0" w:lineRule="exact"/>
        <w:rPr>
          <w:rFonts w:ascii="Arial" w:cs="Arial" w:eastAsia="Arial" w:hAnsi="Arial"/>
          <w:sz w:val="16"/>
          <w:szCs w:val="16"/>
          <w:color w:val="auto"/>
        </w:rPr>
      </w:pPr>
    </w:p>
    <w:p>
      <w:pPr>
        <w:ind w:left="98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248" w:lineRule="exact"/>
        <w:rPr>
          <w:rFonts w:ascii="Arial" w:cs="Arial" w:eastAsia="Arial" w:hAnsi="Arial"/>
          <w:sz w:val="16"/>
          <w:szCs w:val="16"/>
          <w:color w:val="auto"/>
        </w:rPr>
      </w:pPr>
    </w:p>
    <w:p>
      <w:pPr>
        <w:ind w:left="980" w:right="30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2019 Annual Report on Form 10-K and in Part II of our Quarterly Report on Form 10-Q for the quarter ended March 31, 2020.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1300" w:right="3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1300" w:right="5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rFonts w:ascii="Arial" w:cs="Arial" w:eastAsia="Arial" w:hAnsi="Arial"/>
          <w:sz w:val="18"/>
          <w:szCs w:val="18"/>
          <w:color w:val="auto"/>
        </w:rPr>
      </w:pPr>
    </w:p>
    <w:p>
      <w:pPr>
        <w:ind w:left="1300" w:right="60"/>
        <w:spacing w:after="0" w:line="263" w:lineRule="auto"/>
        <w:rPr>
          <w:rFonts w:ascii="Arial" w:cs="Arial" w:eastAsia="Arial" w:hAnsi="Arial"/>
          <w:sz w:val="18"/>
          <w:szCs w:val="18"/>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6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2020 that would be expected from a 10% price increase or decrease is shown in the table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92"/>
        </w:trPr>
        <w:tc>
          <w:tcPr>
            <w:tcW w:w="6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10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67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6700" w:type="dxa"/>
            <w:vAlign w:val="bottom"/>
          </w:tcPr>
          <w:p>
            <w:pPr>
              <w:ind w:left="120"/>
              <w:spacing w:after="0"/>
              <w:rPr>
                <w:sz w:val="20"/>
                <w:szCs w:val="20"/>
                <w:color w:val="auto"/>
              </w:rPr>
            </w:pPr>
            <w:r>
              <w:rPr>
                <w:rFonts w:ascii="Arial" w:cs="Arial" w:eastAsia="Arial" w:hAnsi="Arial"/>
                <w:sz w:val="18"/>
                <w:szCs w:val="18"/>
                <w:color w:val="auto"/>
              </w:rPr>
              <w:t>Total fair value</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June 30, 2020, approximately $200 million, was subject to interest rate re-sets that generally range from one day to approximately one month. The average interest rate on variable rate debt that was outstanding during the six months ended June 30, 2020 was 1.9%, based upon rates in effect during such period. The fair value of our interest rate derivatives was a liability of $5 million as of June 30, 2020. A 10% increase in the forward LIBOR curve as of June 30, 2020 would have resulted in an increase of $10 million to the fair value of our interest rate derivatives. A 10% decrease in the forward LIBOR curve as of June 30, 2020 would have resulted in a decrease of $10 million to the fair value of our interest rate derivatives. See Note 10 to our Condensed Consolidated Financial Statements for a discussion of our interest rate risk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$3 million as of June 30, 2020. A 10% increase in the exchange rate (USD-to-CAD) would have resulted in a decrease of $9 million to the fair value of our foreign currency derivatives. A 10% decrease in the exchange rate (USD-to-CAD) would have resulted in an increase of $9 million to the fair value of our foreign currency derivatives. See Note 10 to our Condensed Consolidated Financial Statements for a discussion of our currency exchange rate risk hedging.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 of $17 million as of June 30, 2020. A 10% increase or decrease in the fair value would have an impact of $2 million. See Note 10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2020,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Other than the risk factors contained in Part II, Item 1A of our Quarterly Report on Form 10-Q for the quarter ended March 31, 2020, there are no material changes from the risk factors as previously disclosed in Part I, Item 1A of our 2019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in connection with PAGP’s issuance of Class A shares upon PAGP LTIP award vestings. During the three months ended June 30, 2020, we issued 20,099 common units to AAP in connection with PAGP LTIP award vestings. This issuance was exempt from the registration requirements of the Securities Act of 1933, as amended, pursuant to Section 4(a)(2)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7" w:lineRule="exact"/>
        <w:rPr>
          <w:sz w:val="20"/>
          <w:szCs w:val="20"/>
          <w:color w:val="auto"/>
        </w:rPr>
      </w:pPr>
    </w:p>
    <w:p>
      <w:pPr>
        <w:ind w:left="220"/>
        <w:spacing w:after="0"/>
        <w:tabs>
          <w:tab w:leader="none" w:pos="606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062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64" w:lineRule="exact"/>
        <w:rPr>
          <w:sz w:val="20"/>
          <w:szCs w:val="20"/>
          <w:color w:val="auto"/>
        </w:rPr>
      </w:pPr>
    </w:p>
    <w:p>
      <w:pPr>
        <w:ind w:left="500"/>
        <w:spacing w:after="0"/>
        <w:tabs>
          <w:tab w:leader="none" w:pos="1380" w:val="left"/>
          <w:tab w:leader="none" w:pos="176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121">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spacing w:after="0" w:line="8" w:lineRule="exact"/>
        <w:rPr>
          <w:sz w:val="20"/>
          <w:szCs w:val="20"/>
          <w:color w:val="auto"/>
        </w:rPr>
      </w:pPr>
    </w:p>
    <w:p>
      <w:pPr>
        <w:ind w:left="178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115" w:lineRule="exact"/>
        <w:rPr>
          <w:sz w:val="20"/>
          <w:szCs w:val="20"/>
          <w:color w:val="auto"/>
        </w:rPr>
      </w:pPr>
    </w:p>
    <w:p>
      <w:pPr>
        <w:ind w:left="1400" w:right="120" w:hanging="1270"/>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108" w:lineRule="exact"/>
        <w:rPr>
          <w:sz w:val="20"/>
          <w:szCs w:val="20"/>
          <w:color w:val="auto"/>
        </w:rPr>
      </w:pPr>
    </w:p>
    <w:p>
      <w:pPr>
        <w:ind w:left="1400" w:right="28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2010).</w:t>
        </w:r>
      </w:hyperlink>
    </w:p>
    <w:p>
      <w:pPr>
        <w:sectPr>
          <w:pgSz w:w="11900" w:h="16838" w:orient="portrait"/>
          <w:cols w:equalWidth="0" w:num="1">
            <w:col w:w="11220"/>
          </w:cols>
          <w:pgMar w:left="320" w:top="125" w:right="35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0" w:right="16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400" w:right="24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400" w:right="26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400" w:right="20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Amendment No. 5 dated December 1, 2019 to the Third Amended and Restated Agreement of Limited Partnership of Plains</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2019).</w:t>
        </w:r>
      </w:hyperlink>
    </w:p>
    <w:p>
      <w:pPr>
        <w:spacing w:after="0" w:line="109" w:lineRule="exact"/>
        <w:rPr>
          <w:rFonts w:ascii="Arial" w:cs="Arial" w:eastAsia="Arial" w:hAnsi="Arial"/>
          <w:sz w:val="18"/>
          <w:szCs w:val="18"/>
          <w:color w:val="auto"/>
        </w:rPr>
      </w:pPr>
    </w:p>
    <w:p>
      <w:pPr>
        <w:ind w:left="1400" w:hanging="1270"/>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108" w:lineRule="exact"/>
        <w:rPr>
          <w:sz w:val="20"/>
          <w:szCs w:val="20"/>
          <w:color w:val="auto"/>
        </w:rPr>
      </w:pPr>
    </w:p>
    <w:p>
      <w:pPr>
        <w:ind w:left="1400" w:right="32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FF"/>
          </w:rPr>
          <w:t>Amendment No. 1 dated January 1, 2013 to the Third Amended and Restated Agreement of Limited Partnership of Plains</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FF"/>
          </w:rPr>
          <w:t>Pipeline,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2013).</w:t>
        </w:r>
      </w:hyperlink>
    </w:p>
    <w:p>
      <w:pPr>
        <w:spacing w:after="0" w:line="80" w:lineRule="exact"/>
        <w:rPr>
          <w:rFonts w:ascii="Arial" w:cs="Arial" w:eastAsia="Arial" w:hAnsi="Arial"/>
          <w:sz w:val="18"/>
          <w:szCs w:val="18"/>
          <w:color w:val="auto"/>
        </w:rPr>
      </w:pPr>
    </w:p>
    <w:p>
      <w:pPr>
        <w:ind w:left="460"/>
        <w:spacing w:after="0"/>
        <w:tabs>
          <w:tab w:leader="none" w:pos="1380" w:val="left"/>
          <w:tab w:leader="none" w:pos="1760" w:val="left"/>
        </w:tabs>
        <w:rPr>
          <w:rFonts w:ascii="Arial" w:cs="Arial" w:eastAsia="Arial" w:hAnsi="Arial"/>
          <w:sz w:val="16"/>
          <w:szCs w:val="16"/>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r>
        <w:rPr>
          <w:sz w:val="20"/>
          <w:szCs w:val="20"/>
          <w:color w:val="auto"/>
        </w:rPr>
        <w:tab/>
      </w:r>
      <w:hyperlink r:id="rId131">
        <w:r>
          <w:rPr>
            <w:rFonts w:ascii="Arial" w:cs="Arial" w:eastAsia="Arial" w:hAnsi="Arial"/>
            <w:sz w:val="16"/>
            <w:szCs w:val="16"/>
            <w:u w:val="single" w:color="auto"/>
            <w:color w:val="0000FF"/>
          </w:rPr>
          <w:t>Seventh Amended and Restated Limited Liability Company Agreement of Plains All American GP LLC dated November 15,</w:t>
        </w:r>
      </w:hyperlink>
    </w:p>
    <w:p>
      <w:pPr>
        <w:spacing w:after="0" w:line="8" w:lineRule="exact"/>
        <w:rPr>
          <w:rFonts w:ascii="Arial" w:cs="Arial" w:eastAsia="Arial" w:hAnsi="Arial"/>
          <w:sz w:val="18"/>
          <w:szCs w:val="18"/>
          <w:color w:val="auto"/>
        </w:rPr>
      </w:pPr>
    </w:p>
    <w:p>
      <w:pPr>
        <w:ind w:left="178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2016 (incorporated by reference to Exhibit 3.3 to our Current Report on Form 8-K filed November 21, 2016).</w:t>
        </w:r>
      </w:hyperlink>
    </w:p>
    <w:p>
      <w:pPr>
        <w:spacing w:after="0" w:line="115" w:lineRule="exact"/>
        <w:rPr>
          <w:rFonts w:ascii="Arial" w:cs="Arial" w:eastAsia="Arial" w:hAnsi="Arial"/>
          <w:sz w:val="18"/>
          <w:szCs w:val="18"/>
          <w:color w:val="auto"/>
        </w:rPr>
      </w:pPr>
    </w:p>
    <w:p>
      <w:pPr>
        <w:ind w:left="1400" w:right="300" w:hanging="1312"/>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reference to Exhibit 3.4 to our Current Report on Form 8-K filed November 21, 2016).</w:t>
        </w:r>
      </w:hyperlink>
    </w:p>
    <w:p>
      <w:pPr>
        <w:spacing w:after="0" w:line="108" w:lineRule="exact"/>
        <w:rPr>
          <w:sz w:val="20"/>
          <w:szCs w:val="20"/>
          <w:color w:val="auto"/>
        </w:rPr>
      </w:pPr>
    </w:p>
    <w:p>
      <w:pPr>
        <w:ind w:left="1400" w:right="2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79" w:lineRule="exact"/>
        <w:rPr>
          <w:sz w:val="20"/>
          <w:szCs w:val="20"/>
          <w:color w:val="auto"/>
        </w:rPr>
      </w:pPr>
    </w:p>
    <w:p>
      <w:pPr>
        <w:ind w:left="460"/>
        <w:spacing w:after="0"/>
        <w:tabs>
          <w:tab w:leader="none" w:pos="1380" w:val="left"/>
          <w:tab w:leader="none" w:pos="176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hyperlink r:id="rId134">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spacing w:after="0" w:line="8" w:lineRule="exact"/>
        <w:rPr>
          <w:sz w:val="20"/>
          <w:szCs w:val="20"/>
          <w:color w:val="auto"/>
        </w:rPr>
      </w:pPr>
    </w:p>
    <w:p>
      <w:pPr>
        <w:ind w:left="1780"/>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15" w:lineRule="exact"/>
        <w:rPr>
          <w:sz w:val="20"/>
          <w:szCs w:val="20"/>
          <w:color w:val="auto"/>
        </w:rPr>
      </w:pPr>
    </w:p>
    <w:p>
      <w:pPr>
        <w:ind w:left="1400" w:right="200" w:hanging="1315"/>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FF"/>
          </w:rPr>
          <w:t>Certificate of Incorporation of PAA Finance Corp. (f/k/a Pacific Energy Finance Corporation, successor-by-merger to PAA</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FF"/>
          </w:rPr>
          <w:t>Finance Corp.)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2006).</w:t>
        </w:r>
      </w:hyperlink>
    </w:p>
    <w:p>
      <w:pPr>
        <w:spacing w:after="0" w:line="109" w:lineRule="exact"/>
        <w:rPr>
          <w:rFonts w:ascii="Arial" w:cs="Arial" w:eastAsia="Arial" w:hAnsi="Arial"/>
          <w:sz w:val="18"/>
          <w:szCs w:val="18"/>
          <w:color w:val="auto"/>
        </w:rPr>
      </w:pPr>
    </w:p>
    <w:p>
      <w:pPr>
        <w:jc w:val="right"/>
        <w:ind w:left="460" w:right="820"/>
        <w:spacing w:after="0" w:line="258" w:lineRule="auto"/>
        <w:rPr>
          <w:rFonts w:ascii="Arial" w:cs="Arial" w:eastAsia="Arial" w:hAnsi="Arial"/>
          <w:sz w:val="17"/>
          <w:szCs w:val="17"/>
          <w:color w:val="0000FF"/>
        </w:rPr>
      </w:pPr>
      <w:r>
        <w:rPr>
          <w:rFonts w:ascii="Arial" w:cs="Arial" w:eastAsia="Arial" w:hAnsi="Arial"/>
          <w:sz w:val="17"/>
          <w:szCs w:val="17"/>
          <w:color w:val="auto"/>
        </w:rPr>
        <w:t xml:space="preserve">3.15       —  </w:t>
      </w:r>
      <w:hyperlink r:id="rId136">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136">
        <w:r>
          <w:rPr>
            <w:rFonts w:ascii="Arial" w:cs="Arial" w:eastAsia="Arial" w:hAnsi="Arial"/>
            <w:sz w:val="17"/>
            <w:szCs w:val="17"/>
            <w:u w:val="single" w:color="auto"/>
            <w:color w:val="0000FF"/>
          </w:rPr>
          <w:t>(incorporated by reference to Exhibit 3.11 to our Annual Report on Form 10-K for the year ended December 31, 2006)</w:t>
        </w:r>
        <w:r>
          <w:rPr>
            <w:rFonts w:ascii="Arial" w:cs="Arial" w:eastAsia="Arial" w:hAnsi="Arial"/>
            <w:sz w:val="17"/>
            <w:szCs w:val="17"/>
            <w:color w:val="0000FF"/>
          </w:rPr>
          <w:t>.</w:t>
        </w:r>
      </w:hyperlink>
    </w:p>
    <w:p>
      <w:pPr>
        <w:spacing w:after="0" w:line="93" w:lineRule="exact"/>
        <w:rPr>
          <w:sz w:val="20"/>
          <w:szCs w:val="20"/>
          <w:color w:val="auto"/>
        </w:rPr>
      </w:pPr>
    </w:p>
    <w:p>
      <w:pPr>
        <w:ind w:left="140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Limited Liability Company Agreement of PAA GP LLC dated December 28, 2007 (incorporated by reference to Exhibit 3.3 to our</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Current Report on Form 8-K filed January 4, 2008).</w:t>
        </w:r>
      </w:hyperlink>
    </w:p>
    <w:p>
      <w:pPr>
        <w:spacing w:after="0" w:line="108" w:lineRule="exact"/>
        <w:rPr>
          <w:sz w:val="20"/>
          <w:szCs w:val="20"/>
          <w:color w:val="auto"/>
        </w:rPr>
      </w:pPr>
    </w:p>
    <w:p>
      <w:pPr>
        <w:ind w:left="1400" w:right="24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Statement on Form S-1 (333-190227) filed July 29, 2013).</w:t>
        </w:r>
      </w:hyperlink>
    </w:p>
    <w:p>
      <w:pPr>
        <w:spacing w:after="0" w:line="108" w:lineRule="exact"/>
        <w:rPr>
          <w:sz w:val="20"/>
          <w:szCs w:val="20"/>
          <w:color w:val="auto"/>
        </w:rPr>
      </w:pPr>
    </w:p>
    <w:p>
      <w:pPr>
        <w:ind w:left="1400" w:right="700" w:hanging="1315"/>
        <w:spacing w:after="0" w:line="258"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93" w:lineRule="exact"/>
        <w:rPr>
          <w:sz w:val="20"/>
          <w:szCs w:val="20"/>
          <w:color w:val="auto"/>
        </w:rPr>
      </w:pPr>
    </w:p>
    <w:p>
      <w:pPr>
        <w:ind w:left="1400" w:right="2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Form S-1 (333-190227) filed July 29, 2013).</w:t>
        </w:r>
      </w:hyperlink>
    </w:p>
    <w:p>
      <w:pPr>
        <w:spacing w:after="0" w:line="108" w:lineRule="exact"/>
        <w:rPr>
          <w:sz w:val="20"/>
          <w:szCs w:val="20"/>
          <w:color w:val="auto"/>
        </w:rPr>
      </w:pPr>
    </w:p>
    <w:p>
      <w:pPr>
        <w:ind w:left="1400" w:right="280" w:hanging="1315"/>
        <w:spacing w:after="0" w:line="23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0" w:right="60" w:hanging="1315"/>
        <w:spacing w:after="0" w:line="258"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 xml:space="preserve">— </w:t>
      </w:r>
      <w:hyperlink r:id="rId143">
        <w:r>
          <w:rPr>
            <w:rFonts w:ascii="Arial" w:cs="Arial" w:eastAsia="Arial" w:hAnsi="Arial"/>
            <w:sz w:val="17"/>
            <w:szCs w:val="17"/>
            <w:u w:val="single" w:color="auto"/>
            <w:color w:val="0000FF"/>
          </w:rPr>
          <w:t>Amendment No. 1 dated October 1, 2018 to the Third Amended and Restated Limited Liability Company Agreement of PAA GP</w:t>
        </w:r>
      </w:hyperlink>
      <w:r>
        <w:rPr>
          <w:rFonts w:ascii="Arial" w:cs="Arial" w:eastAsia="Arial" w:hAnsi="Arial"/>
          <w:sz w:val="17"/>
          <w:szCs w:val="17"/>
          <w:color w:val="auto"/>
        </w:rPr>
        <w:t xml:space="preserve"> </w:t>
      </w:r>
      <w:hyperlink r:id="rId143">
        <w:r>
          <w:rPr>
            <w:rFonts w:ascii="Arial" w:cs="Arial" w:eastAsia="Arial" w:hAnsi="Arial"/>
            <w:sz w:val="17"/>
            <w:szCs w:val="17"/>
            <w:u w:val="single" w:color="auto"/>
            <w:color w:val="0000FF"/>
          </w:rPr>
          <w:t>Holdings LLC (incorporated by reference to Exhibit 3.1 to our Current Report on Form 8-K filed August 20, 2018).</w:t>
        </w:r>
      </w:hyperlink>
    </w:p>
    <w:p>
      <w:pPr>
        <w:spacing w:after="0" w:line="93" w:lineRule="exact"/>
        <w:rPr>
          <w:sz w:val="20"/>
          <w:szCs w:val="20"/>
          <w:color w:val="auto"/>
        </w:rPr>
      </w:pPr>
    </w:p>
    <w:p>
      <w:pPr>
        <w:ind w:left="1400" w:right="100" w:hanging="1315"/>
        <w:spacing w:after="0" w:line="258"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 xml:space="preserve">— </w:t>
      </w:r>
      <w:hyperlink r:id="rId144">
        <w:r>
          <w:rPr>
            <w:rFonts w:ascii="Arial" w:cs="Arial" w:eastAsia="Arial" w:hAnsi="Arial"/>
            <w:sz w:val="17"/>
            <w:szCs w:val="17"/>
            <w:u w:val="single" w:color="auto"/>
            <w:color w:val="0000FF"/>
          </w:rPr>
          <w:t>Amendment No. 2 dated December 10, 2018 to the Third Amended and Restated Limited Liability Company Agreement of PAA</w:t>
        </w:r>
      </w:hyperlink>
      <w:r>
        <w:rPr>
          <w:rFonts w:ascii="Arial" w:cs="Arial" w:eastAsia="Arial" w:hAnsi="Arial"/>
          <w:sz w:val="17"/>
          <w:szCs w:val="17"/>
          <w:color w:val="auto"/>
        </w:rPr>
        <w:t xml:space="preserve"> </w:t>
      </w:r>
      <w:hyperlink r:id="rId144">
        <w:r>
          <w:rPr>
            <w:rFonts w:ascii="Arial" w:cs="Arial" w:eastAsia="Arial" w:hAnsi="Arial"/>
            <w:sz w:val="17"/>
            <w:szCs w:val="17"/>
            <w:u w:val="single" w:color="auto"/>
            <w:color w:val="0000FF"/>
          </w:rPr>
          <w:t>GP Holdings LLC (incorporated by reference to Exhibit 3.1 to our Current Report on Form 8-K filed December 11, 2018).</w:t>
        </w:r>
      </w:hyperlink>
    </w:p>
    <w:p>
      <w:pPr>
        <w:spacing w:after="0" w:line="93" w:lineRule="exact"/>
        <w:rPr>
          <w:sz w:val="20"/>
          <w:szCs w:val="20"/>
          <w:color w:val="auto"/>
        </w:rPr>
      </w:pPr>
    </w:p>
    <w:p>
      <w:pPr>
        <w:ind w:left="1400" w:right="80" w:hanging="1315"/>
        <w:spacing w:after="0" w:line="258"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 xml:space="preserve">— </w:t>
      </w:r>
      <w:hyperlink r:id="rId145">
        <w:r>
          <w:rPr>
            <w:rFonts w:ascii="Arial" w:cs="Arial" w:eastAsia="Arial" w:hAnsi="Arial"/>
            <w:sz w:val="17"/>
            <w:szCs w:val="17"/>
            <w:u w:val="single" w:color="auto"/>
            <w:color w:val="0000FF"/>
          </w:rPr>
          <w:t>Amendment No. 3 dated November 21, 2019 to the Third Amended and Restated Limited Liability Company Agreement of PAA</w:t>
        </w:r>
      </w:hyperlink>
      <w:r>
        <w:rPr>
          <w:rFonts w:ascii="Arial" w:cs="Arial" w:eastAsia="Arial" w:hAnsi="Arial"/>
          <w:sz w:val="17"/>
          <w:szCs w:val="17"/>
          <w:color w:val="auto"/>
        </w:rPr>
        <w:t xml:space="preserve"> </w:t>
      </w:r>
      <w:hyperlink r:id="rId145">
        <w:r>
          <w:rPr>
            <w:rFonts w:ascii="Arial" w:cs="Arial" w:eastAsia="Arial" w:hAnsi="Arial"/>
            <w:sz w:val="17"/>
            <w:szCs w:val="17"/>
            <w:u w:val="single" w:color="auto"/>
            <w:color w:val="0000FF"/>
          </w:rPr>
          <w:t>GP Holdings LLC (incorporated by reference to Exhibit 3.1 to our Current Report on Form 8-K filed November 27, 2019).</w:t>
        </w:r>
      </w:hyperlink>
    </w:p>
    <w:p>
      <w:pPr>
        <w:spacing w:after="0" w:line="93" w:lineRule="exact"/>
        <w:rPr>
          <w:sz w:val="20"/>
          <w:szCs w:val="20"/>
          <w:color w:val="auto"/>
        </w:rPr>
      </w:pPr>
    </w:p>
    <w:p>
      <w:pPr>
        <w:ind w:left="1400" w:right="2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Association, as trustee (incorporated by reference to Exhibit 4.1 to our Quarterly Report on Form 10-Q for the quarter ended</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September 30, 2002).</w:t>
        </w:r>
      </w:hyperlink>
    </w:p>
    <w:p>
      <w:pPr>
        <w:spacing w:after="0" w:line="109" w:lineRule="exact"/>
        <w:rPr>
          <w:rFonts w:ascii="Arial" w:cs="Arial" w:eastAsia="Arial" w:hAnsi="Arial"/>
          <w:sz w:val="18"/>
          <w:szCs w:val="18"/>
          <w:color w:val="auto"/>
        </w:rPr>
      </w:pPr>
    </w:p>
    <w:p>
      <w:pPr>
        <w:ind w:left="140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FF"/>
          </w:rPr>
          <w:t>Sixth Supplemental Indenture (Series A and Series B 6.70% Senior Notes due 2036) dated May 12, 2006 among Plains All</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FF"/>
          </w:rPr>
          <w:t>American Pipeline, L.P., PAA Finance Corp., the Subsidiary Guarantors named therein and Wachovia Bank, National Association,</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as trustee (incorporated by reference to Exhibit 4.1 to our Current Report on Form 8-K filed May 12, 2006).</w:t>
        </w:r>
      </w:hyperlink>
    </w:p>
    <w:p>
      <w:pPr>
        <w:spacing w:after="0" w:line="109" w:lineRule="exact"/>
        <w:rPr>
          <w:rFonts w:ascii="Arial" w:cs="Arial" w:eastAsia="Arial" w:hAnsi="Arial"/>
          <w:sz w:val="18"/>
          <w:szCs w:val="18"/>
          <w:color w:val="auto"/>
        </w:rPr>
      </w:pPr>
    </w:p>
    <w:p>
      <w:pPr>
        <w:jc w:val="both"/>
        <w:ind w:left="1400" w:right="160" w:hanging="1270"/>
        <w:spacing w:after="0" w:line="237"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 </w:t>
      </w:r>
      <w:hyperlink r:id="rId148">
        <w:r>
          <w:rPr>
            <w:rFonts w:ascii="Arial" w:cs="Arial" w:eastAsia="Arial" w:hAnsi="Arial"/>
            <w:sz w:val="17"/>
            <w:szCs w:val="17"/>
            <w:u w:val="single" w:color="auto"/>
            <w:color w:val="0000FF"/>
          </w:rPr>
          <w:t>Tenth Supplemental Indenture (Series A and Series B 6.650% Senior Notes due 2037) dated October 30, 2006 among Plains All</w:t>
        </w:r>
      </w:hyperlink>
      <w:r>
        <w:rPr>
          <w:rFonts w:ascii="Arial" w:cs="Arial" w:eastAsia="Arial" w:hAnsi="Arial"/>
          <w:sz w:val="17"/>
          <w:szCs w:val="17"/>
          <w:color w:val="auto"/>
        </w:rPr>
        <w:t xml:space="preserve"> </w:t>
      </w:r>
      <w:hyperlink r:id="rId148">
        <w:r>
          <w:rPr>
            <w:rFonts w:ascii="Arial" w:cs="Arial" w:eastAsia="Arial" w:hAnsi="Arial"/>
            <w:sz w:val="17"/>
            <w:szCs w:val="17"/>
            <w:u w:val="single" w:color="auto"/>
            <w:color w:val="0000FF"/>
          </w:rPr>
          <w:t>American Pipeline, L.P., PAA Finance Corp., the Subsidiary Guarantors named therein and U.S. Bank National Association, as</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trustee (incorporated by reference to Exhibit 4.2 to our Current Report on Form 8-K filed October 30, 2006).</w:t>
        </w:r>
      </w:hyperlink>
    </w:p>
    <w:p>
      <w:pPr>
        <w:spacing w:after="0" w:line="109" w:lineRule="exact"/>
        <w:rPr>
          <w:rFonts w:ascii="Arial" w:cs="Arial" w:eastAsia="Arial" w:hAnsi="Arial"/>
          <w:sz w:val="17"/>
          <w:szCs w:val="17"/>
          <w:color w:val="auto"/>
        </w:rPr>
      </w:pPr>
    </w:p>
    <w:p>
      <w:pPr>
        <w:jc w:val="both"/>
        <w:ind w:left="1400" w:right="60" w:hanging="1270"/>
        <w:spacing w:after="0" w:line="237"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 xml:space="preserve">— </w:t>
      </w:r>
      <w:hyperlink r:id="rId149">
        <w:r>
          <w:rPr>
            <w:rFonts w:ascii="Arial" w:cs="Arial" w:eastAsia="Arial" w:hAnsi="Arial"/>
            <w:sz w:val="17"/>
            <w:szCs w:val="17"/>
            <w:u w:val="single" w:color="auto"/>
            <w:color w:val="0000FF"/>
          </w:rPr>
          <w:t>Nineteenth Supplemental Indenture (5.00% Senior Notes due 2021) dated January 14, 2011 among Plains All American Pipeline,</w:t>
        </w:r>
      </w:hyperlink>
      <w:r>
        <w:rPr>
          <w:rFonts w:ascii="Arial" w:cs="Arial" w:eastAsia="Arial" w:hAnsi="Arial"/>
          <w:sz w:val="17"/>
          <w:szCs w:val="17"/>
          <w:color w:val="auto"/>
        </w:rPr>
        <w:t xml:space="preserve"> </w:t>
      </w:r>
      <w:hyperlink r:id="rId149">
        <w:r>
          <w:rPr>
            <w:rFonts w:ascii="Arial" w:cs="Arial" w:eastAsia="Arial" w:hAnsi="Arial"/>
            <w:sz w:val="17"/>
            <w:szCs w:val="17"/>
            <w:u w:val="single" w:color="auto"/>
            <w:color w:val="0000FF"/>
          </w:rPr>
          <w:t>L.P., PAA Finance Corp., the Subsidiary Guarantors named therein and U.S. Bank National Association, as trustee (incorporated</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by reference to Exhibit 4.1 to our Current Report on Form 8-K filed January 11, 2011).</w:t>
        </w:r>
      </w:hyperlink>
    </w:p>
    <w:p>
      <w:pPr>
        <w:spacing w:after="0" w:line="109" w:lineRule="exact"/>
        <w:rPr>
          <w:rFonts w:ascii="Arial" w:cs="Arial" w:eastAsia="Arial" w:hAnsi="Arial"/>
          <w:sz w:val="17"/>
          <w:szCs w:val="17"/>
          <w:color w:val="auto"/>
        </w:rPr>
      </w:pPr>
    </w:p>
    <w:p>
      <w:pPr>
        <w:jc w:val="both"/>
        <w:ind w:left="1400" w:right="14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Twentieth Supplemental Indenture (3.65% Senior Notes due 2022) dated March 22, 2012 among Plains All American Pipeline,</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L.P., PAA Finance Corp. and U.S. Bank National Association, as trustee (incorporated by reference to Exhibit 4.1 to our Current</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400" w:right="2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L.P., PAA Finance Corp. and U.S. Bank National Association, as trustee (incorporated by reference to Exhibit 4.3 to our Current</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400" w:right="40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Exhibit 4.1 to our Current Report on Form 8-K filed December 12, 2012).</w:t>
        </w:r>
      </w:hyperlink>
    </w:p>
    <w:p>
      <w:pPr>
        <w:spacing w:after="0" w:line="109" w:lineRule="exact"/>
        <w:rPr>
          <w:rFonts w:ascii="Arial" w:cs="Arial" w:eastAsia="Arial" w:hAnsi="Arial"/>
          <w:sz w:val="18"/>
          <w:szCs w:val="18"/>
          <w:color w:val="auto"/>
        </w:rPr>
      </w:pPr>
    </w:p>
    <w:p>
      <w:pPr>
        <w:jc w:val="both"/>
        <w:ind w:left="1400" w:right="54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Exhibit 4.3 to our Current Report on Form 8-K filed December 12, 2012).</w:t>
        </w:r>
      </w:hyperlink>
    </w:p>
    <w:p>
      <w:pPr>
        <w:spacing w:after="0" w:line="109" w:lineRule="exact"/>
        <w:rPr>
          <w:rFonts w:ascii="Arial" w:cs="Arial" w:eastAsia="Arial" w:hAnsi="Arial"/>
          <w:sz w:val="18"/>
          <w:szCs w:val="18"/>
          <w:color w:val="auto"/>
        </w:rPr>
      </w:pPr>
    </w:p>
    <w:p>
      <w:pPr>
        <w:jc w:val="both"/>
        <w:ind w:left="1400" w:right="620" w:hanging="1270"/>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Twenty-Fourth Supplemental Indenture (3.85% Senior Notes due 2023) dated August 15, 2013, by and among Plains All</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Exhibit 4.1 to our Current Report on Form 8-K filed August 15, 2013).</w:t>
        </w:r>
      </w:hyperlink>
    </w:p>
    <w:p>
      <w:pPr>
        <w:spacing w:after="0" w:line="109" w:lineRule="exact"/>
        <w:rPr>
          <w:rFonts w:ascii="Arial" w:cs="Arial" w:eastAsia="Arial" w:hAnsi="Arial"/>
          <w:sz w:val="18"/>
          <w:szCs w:val="18"/>
          <w:color w:val="auto"/>
        </w:rPr>
      </w:pPr>
    </w:p>
    <w:p>
      <w:pPr>
        <w:ind w:left="1400" w:right="60" w:hanging="1315"/>
        <w:spacing w:after="0" w:line="224" w:lineRule="auto"/>
        <w:tabs>
          <w:tab w:leader="none" w:pos="1380" w:val="left"/>
        </w:tabs>
        <w:rPr>
          <w:rFonts w:ascii="Arial" w:cs="Arial" w:eastAsia="Arial" w:hAnsi="Arial"/>
          <w:sz w:val="18"/>
          <w:szCs w:val="18"/>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Current Report on Form 8-K filed April 29, 2014)</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jc w:val="both"/>
        <w:ind w:left="1400" w:right="620" w:hanging="1312"/>
        <w:spacing w:after="0" w:line="22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FF"/>
          </w:rPr>
          <w:t>Twenty-Sixth Supplemental Indenture (3.60% Senior Notes due 2024) dated September 9, 2014, by and among Plains All</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Exhibit 4.1 to our Current Report on Form 8-K filed September 11, 2014).</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7"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5"/>
          </w:tcPr>
          <w:p>
            <w:pPr>
              <w:spacing w:after="0"/>
              <w:rPr>
                <w:rFonts w:ascii="Arial" w:cs="Arial" w:eastAsia="Arial" w:hAnsi="Arial"/>
                <w:sz w:val="18"/>
                <w:szCs w:val="18"/>
                <w:color w:val="0000FF"/>
                <w:w w:val="90"/>
              </w:rPr>
            </w:pPr>
            <w:hyperlink r:id="rId158">
              <w:r>
                <w:rPr>
                  <w:rFonts w:ascii="Arial" w:cs="Arial" w:eastAsia="Arial" w:hAnsi="Arial"/>
                  <w:sz w:val="18"/>
                  <w:szCs w:val="18"/>
                  <w:color w:val="0000FF"/>
                  <w:w w:val="90"/>
                </w:rPr>
                <w:t>Twenty-Eighth Supplemental Indenture (4.90% Senior Notes due 2045) dated December 9, 2014, by and among Plains All</w:t>
              </w:r>
            </w:hyperlink>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40" w:type="dxa"/>
            <w:vAlign w:val="bottom"/>
            <w:gridSpan w:val="15"/>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American Pipeline, L.P., PAA Finance Corp. and U.S. Bank National Association, as trustee (incorporated by reference to</w:t>
              </w:r>
            </w:hyperlink>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Exhibit 4.3 to our Current Report on Form 8-K filed December 11, 2014).</w:t>
              </w:r>
            </w:hyperlink>
          </w:p>
        </w:tc>
        <w:tc>
          <w:tcPr>
            <w:tcW w:w="3440" w:type="dxa"/>
            <w:vAlign w:val="bottom"/>
            <w:tcBorders>
              <w:top w:val="single" w:sz="8" w:color="0000FF"/>
            </w:tcBorders>
            <w:gridSpan w:val="3"/>
          </w:tcPr>
          <w:p>
            <w:pPr>
              <w:spacing w:after="0"/>
              <w:rPr>
                <w:sz w:val="13"/>
                <w:szCs w:val="13"/>
                <w:color w:val="auto"/>
              </w:rPr>
            </w:pPr>
          </w:p>
        </w:tc>
        <w:tc>
          <w:tcPr>
            <w:tcW w:w="2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0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000" w:type="dxa"/>
            <w:vAlign w:val="bottom"/>
            <w:gridSpan w:val="24"/>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59">
              <w:r>
                <w:rPr>
                  <w:rFonts w:ascii="Arial" w:cs="Arial" w:eastAsia="Arial" w:hAnsi="Arial"/>
                  <w:sz w:val="18"/>
                  <w:szCs w:val="18"/>
                  <w:color w:val="0000FF"/>
                  <w:w w:val="92"/>
                </w:rPr>
                <w:t>Twenty-Ninth Supplemental Indenture (4.65% Senior Notes due 2025) dated August 24, 2015, by and among Plains All American</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Current Report on Form 8-K filed August 26, 2015).</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280" w:type="dxa"/>
            <w:vAlign w:val="bottom"/>
            <w:tcBorders>
              <w:bottom w:val="single" w:sz="8" w:color="0000FF"/>
            </w:tcBorders>
            <w:gridSpan w:val="19"/>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Thirtieth Supplemental Indenture (4.50% Senior Notes due 2026) dated November 22, 2016, by and among Plains All American</w:t>
              </w:r>
            </w:hyperlink>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20" w:type="dxa"/>
            <w:vAlign w:val="bottom"/>
            <w:gridSpan w:val="23"/>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000" w:type="dxa"/>
            <w:vAlign w:val="bottom"/>
            <w:gridSpan w:val="24"/>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61">
              <w:r>
                <w:rPr>
                  <w:rFonts w:ascii="Arial" w:cs="Arial" w:eastAsia="Arial" w:hAnsi="Arial"/>
                  <w:sz w:val="18"/>
                  <w:szCs w:val="18"/>
                  <w:color w:val="0000FF"/>
                  <w:w w:val="93"/>
                </w:rPr>
                <w:t>Thirty-First Supplemental Indenture (3.55% Senior Notes due 2029) dated September 16, 2019, and among Plains All American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20" w:type="dxa"/>
            <w:vAlign w:val="bottom"/>
            <w:gridSpan w:val="23"/>
          </w:tcPr>
          <w:p>
            <w:pPr>
              <w:spacing w:after="0" w:line="15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Current Report on Form 8-K filed September 17, 2019).</w:t>
              </w:r>
            </w:hyperlink>
          </w:p>
        </w:tc>
        <w:tc>
          <w:tcPr>
            <w:tcW w:w="5300" w:type="dxa"/>
            <w:vAlign w:val="bottom"/>
            <w:tcBorders>
              <w:top w:val="single" w:sz="8" w:color="0000FF"/>
            </w:tcBorders>
            <w:gridSpan w:val="1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0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58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FF"/>
                <w:w w:val="94"/>
              </w:rPr>
            </w:pPr>
            <w:hyperlink r:id="rId162">
              <w:r>
                <w:rPr>
                  <w:rFonts w:ascii="Arial" w:cs="Arial" w:eastAsia="Arial" w:hAnsi="Arial"/>
                  <w:sz w:val="18"/>
                  <w:szCs w:val="18"/>
                  <w:u w:val="single" w:color="auto"/>
                  <w:color w:val="0000FF"/>
                  <w:w w:val="94"/>
                </w:rPr>
                <w:t>Thirty-Second Supplemental Indenture (3.80</w:t>
              </w:r>
              <w:r>
                <w:rPr>
                  <w:rFonts w:ascii="Arial" w:cs="Arial" w:eastAsia="Arial" w:hAnsi="Arial"/>
                  <w:sz w:val="18"/>
                  <w:szCs w:val="18"/>
                  <w:color w:val="0000FF"/>
                  <w:w w:val="94"/>
                </w:rPr>
                <w:t xml:space="preserve">% Senior Notes due 2030) </w:t>
              </w:r>
              <w:r>
                <w:rPr>
                  <w:rFonts w:ascii="Arial" w:cs="Arial" w:eastAsia="Arial" w:hAnsi="Arial"/>
                  <w:sz w:val="18"/>
                  <w:szCs w:val="18"/>
                  <w:u w:val="single" w:color="auto"/>
                  <w:color w:val="0000FF"/>
                  <w:w w:val="94"/>
                </w:rPr>
                <w:t>dated June</w:t>
              </w:r>
              <w:r>
                <w:rPr>
                  <w:rFonts w:ascii="Arial" w:cs="Arial" w:eastAsia="Arial" w:hAnsi="Arial"/>
                  <w:sz w:val="18"/>
                  <w:szCs w:val="18"/>
                  <w:color w:val="0000FF"/>
                  <w:w w:val="94"/>
                </w:rPr>
                <w:t xml:space="preserve"> 11</w:t>
              </w:r>
              <w:r>
                <w:rPr>
                  <w:rFonts w:ascii="Arial" w:cs="Arial" w:eastAsia="Arial" w:hAnsi="Arial"/>
                  <w:sz w:val="18"/>
                  <w:szCs w:val="18"/>
                  <w:u w:val="single" w:color="auto"/>
                  <w:color w:val="0000FF"/>
                  <w:w w:val="94"/>
                </w:rPr>
                <w:t>, 2020,</w:t>
              </w:r>
              <w:r>
                <w:rPr>
                  <w:rFonts w:ascii="Arial" w:cs="Arial" w:eastAsia="Arial" w:hAnsi="Arial"/>
                  <w:sz w:val="18"/>
                  <w:szCs w:val="18"/>
                  <w:color w:val="0000FF"/>
                  <w:w w:val="94"/>
                </w:rPr>
                <w:t xml:space="preserve"> and among Plains All American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20" w:type="dxa"/>
            <w:vAlign w:val="bottom"/>
            <w:gridSpan w:val="4"/>
            <w:vMerge w:val="restart"/>
          </w:tcPr>
          <w:p>
            <w:pPr>
              <w:spacing w:after="0" w:line="17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Pipeline, L.P., PAA Finance Corp. and U.S.</w:t>
              </w:r>
            </w:hyperlink>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580" w:type="dxa"/>
            <w:vAlign w:val="bottom"/>
            <w:gridSpan w:val="2"/>
            <w:vMerge w:val="restart"/>
          </w:tcPr>
          <w:p>
            <w:pPr>
              <w:ind w:left="140"/>
              <w:spacing w:after="0" w:line="176" w:lineRule="exact"/>
              <w:rPr>
                <w:rFonts w:ascii="Arial" w:cs="Arial" w:eastAsia="Arial" w:hAnsi="Arial"/>
                <w:sz w:val="18"/>
                <w:szCs w:val="18"/>
                <w:color w:val="0000FF"/>
                <w:w w:val="74"/>
              </w:rPr>
            </w:pPr>
            <w:hyperlink r:id="rId162">
              <w:r>
                <w:rPr>
                  <w:rFonts w:ascii="Arial" w:cs="Arial" w:eastAsia="Arial" w:hAnsi="Arial"/>
                  <w:sz w:val="18"/>
                  <w:szCs w:val="18"/>
                  <w:color w:val="0000FF"/>
                  <w:w w:val="74"/>
                </w:rPr>
                <w:t>as trustee (incorporated</w:t>
              </w:r>
            </w:hyperlink>
          </w:p>
        </w:tc>
        <w:tc>
          <w:tcPr>
            <w:tcW w:w="19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20" w:type="dxa"/>
            <w:vAlign w:val="bottom"/>
            <w:gridSpan w:val="4"/>
            <w:vMerge w:val="continue"/>
          </w:tcPr>
          <w:p>
            <w:pPr>
              <w:spacing w:after="0"/>
              <w:rPr>
                <w:sz w:val="13"/>
                <w:szCs w:val="13"/>
                <w:color w:val="auto"/>
              </w:rPr>
            </w:pPr>
          </w:p>
        </w:tc>
        <w:tc>
          <w:tcPr>
            <w:tcW w:w="1840" w:type="dxa"/>
            <w:vAlign w:val="bottom"/>
            <w:gridSpan w:val="6"/>
          </w:tcPr>
          <w:p>
            <w:pPr>
              <w:spacing w:after="0" w:line="156" w:lineRule="exact"/>
              <w:rPr>
                <w:rFonts w:ascii="Arial" w:cs="Arial" w:eastAsia="Arial" w:hAnsi="Arial"/>
                <w:sz w:val="18"/>
                <w:szCs w:val="18"/>
                <w:color w:val="0000FF"/>
                <w:w w:val="84"/>
              </w:rPr>
            </w:pPr>
            <w:hyperlink r:id="rId162">
              <w:r>
                <w:rPr>
                  <w:rFonts w:ascii="Arial" w:cs="Arial" w:eastAsia="Arial" w:hAnsi="Arial"/>
                  <w:sz w:val="18"/>
                  <w:szCs w:val="18"/>
                  <w:color w:val="0000FF"/>
                  <w:w w:val="84"/>
                </w:rPr>
                <w:t>Bank National Association,</w:t>
              </w:r>
            </w:hyperlink>
          </w:p>
        </w:tc>
        <w:tc>
          <w:tcPr>
            <w:tcW w:w="1580" w:type="dxa"/>
            <w:vAlign w:val="bottom"/>
            <w:gridSpan w:val="2"/>
            <w:vMerge w:val="continue"/>
          </w:tcPr>
          <w:p>
            <w:pPr>
              <w:spacing w:after="0"/>
              <w:rPr>
                <w:sz w:val="13"/>
                <w:szCs w:val="13"/>
                <w:color w:val="auto"/>
              </w:rPr>
            </w:pPr>
          </w:p>
        </w:tc>
        <w:tc>
          <w:tcPr>
            <w:tcW w:w="2780" w:type="dxa"/>
            <w:vAlign w:val="bottom"/>
            <w:gridSpan w:val="11"/>
          </w:tcPr>
          <w:p>
            <w:pPr>
              <w:ind w:left="300"/>
              <w:spacing w:after="0" w:line="156"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by reference to Exhibit 4.1 to our</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 xml:space="preserve">Current Report on Form 8-K filed </w:t>
              </w:r>
              <w:r>
                <w:rPr>
                  <w:rFonts w:ascii="Arial" w:cs="Arial" w:eastAsia="Arial" w:hAnsi="Arial"/>
                  <w:sz w:val="18"/>
                  <w:szCs w:val="18"/>
                  <w:u w:val="single" w:color="auto"/>
                  <w:color w:val="0000FF"/>
                </w:rPr>
                <w:t>June 11,</w:t>
              </w:r>
              <w:r>
                <w:rPr>
                  <w:rFonts w:ascii="Arial" w:cs="Arial" w:eastAsia="Arial" w:hAnsi="Arial"/>
                  <w:sz w:val="18"/>
                  <w:szCs w:val="18"/>
                  <w:color w:val="0000FF"/>
                </w:rPr>
                <w:t xml:space="preserve"> 2020).</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000" w:type="dxa"/>
            <w:vAlign w:val="bottom"/>
            <w:tcBorders>
              <w:bottom w:val="single" w:sz="8" w:color="0000FF"/>
            </w:tcBorders>
            <w:gridSpan w:val="16"/>
          </w:tcPr>
          <w:p>
            <w:pPr>
              <w:spacing w:after="0"/>
              <w:rPr>
                <w:rFonts w:ascii="Arial" w:cs="Arial" w:eastAsia="Arial" w:hAnsi="Arial"/>
                <w:sz w:val="18"/>
                <w:szCs w:val="18"/>
                <w:color w:val="0000FF"/>
                <w:w w:val="90"/>
              </w:rPr>
            </w:pPr>
            <w:hyperlink r:id="rId163">
              <w:r>
                <w:rPr>
                  <w:rFonts w:ascii="Arial" w:cs="Arial" w:eastAsia="Arial" w:hAnsi="Arial"/>
                  <w:sz w:val="18"/>
                  <w:szCs w:val="18"/>
                  <w:color w:val="0000FF"/>
                  <w:w w:val="90"/>
                </w:rPr>
                <w:t>Registration Rights Agreement dated September 3, 2009 by and between Plains All American Pipeline, L.P. and Vulcan Gas</w:t>
              </w:r>
            </w:hyperlink>
          </w:p>
        </w:tc>
        <w:tc>
          <w:tcPr>
            <w:tcW w:w="180" w:type="dxa"/>
            <w:vAlign w:val="bottom"/>
          </w:tcPr>
          <w:p>
            <w:pPr>
              <w:spacing w:after="0"/>
              <w:rPr>
                <w:sz w:val="24"/>
                <w:szCs w:val="24"/>
                <w:color w:val="auto"/>
              </w:rPr>
            </w:pPr>
          </w:p>
        </w:tc>
        <w:tc>
          <w:tcPr>
            <w:tcW w:w="140" w:type="dxa"/>
            <w:vAlign w:val="bottom"/>
            <w:gridSpan w:val="3"/>
          </w:tcPr>
          <w:p>
            <w:pPr>
              <w:spacing w:after="0"/>
              <w:rPr>
                <w:sz w:val="24"/>
                <w:szCs w:val="24"/>
                <w:color w:val="auto"/>
              </w:rPr>
            </w:pP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0" w:type="dxa"/>
            <w:vAlign w:val="bottom"/>
            <w:gridSpan w:val="16"/>
          </w:tcPr>
          <w:p>
            <w:pPr>
              <w:spacing w:after="0"/>
              <w:rPr>
                <w:rFonts w:ascii="Arial" w:cs="Arial" w:eastAsia="Arial" w:hAnsi="Arial"/>
                <w:sz w:val="18"/>
                <w:szCs w:val="18"/>
                <w:u w:val="single" w:color="auto"/>
                <w:color w:val="0000FF"/>
                <w:w w:val="93"/>
              </w:rPr>
            </w:pPr>
            <w:hyperlink r:id="rId163">
              <w:r>
                <w:rPr>
                  <w:rFonts w:ascii="Arial" w:cs="Arial" w:eastAsia="Arial" w:hAnsi="Arial"/>
                  <w:sz w:val="18"/>
                  <w:szCs w:val="18"/>
                  <w:u w:val="single" w:color="auto"/>
                  <w:color w:val="0000FF"/>
                  <w:w w:val="93"/>
                </w:rPr>
                <w:t>Storage LLC (incorporated by reference to Exhibit 4.1 to our Registration Statement on Form S-3, File No. 333-162477).</w:t>
              </w:r>
            </w:hyperlink>
          </w:p>
        </w:tc>
        <w:tc>
          <w:tcPr>
            <w:tcW w:w="180" w:type="dxa"/>
            <w:vAlign w:val="bottom"/>
          </w:tcPr>
          <w:p>
            <w:pPr>
              <w:spacing w:after="0"/>
              <w:rPr>
                <w:sz w:val="19"/>
                <w:szCs w:val="19"/>
                <w:color w:val="auto"/>
              </w:rPr>
            </w:pPr>
          </w:p>
        </w:tc>
        <w:tc>
          <w:tcPr>
            <w:tcW w:w="140" w:type="dxa"/>
            <w:vAlign w:val="bottom"/>
            <w:gridSpan w:val="3"/>
          </w:tcPr>
          <w:p>
            <w:pPr>
              <w:spacing w:after="0"/>
              <w:rPr>
                <w:sz w:val="19"/>
                <w:szCs w:val="19"/>
                <w:color w:val="auto"/>
              </w:rPr>
            </w:pP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20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0000" w:type="dxa"/>
            <w:vAlign w:val="bottom"/>
            <w:gridSpan w:val="24"/>
          </w:tcPr>
          <w:p>
            <w:pPr>
              <w:ind w:left="2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64">
              <w:r>
                <w:rPr>
                  <w:rFonts w:ascii="Arial" w:cs="Arial" w:eastAsia="Arial" w:hAnsi="Arial"/>
                  <w:sz w:val="18"/>
                  <w:szCs w:val="18"/>
                  <w:color w:val="0000FF"/>
                  <w:w w:val="91"/>
                </w:rPr>
                <w:t>Registration Rights Agreement dated as of January 28, 2016 among Plains All American Pipeline, L.P. and the Purchasers named</w:t>
              </w:r>
            </w:hyperlink>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32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therein (incorporated by reference to Exhibit 4.1 to our Current Report on Form 8-K filed February 2, 2016).</w:t>
              </w:r>
            </w:hyperlink>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20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1000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65">
              <w:r>
                <w:rPr>
                  <w:rFonts w:ascii="Arial" w:cs="Arial" w:eastAsia="Arial" w:hAnsi="Arial"/>
                  <w:sz w:val="18"/>
                  <w:szCs w:val="18"/>
                  <w:color w:val="0000FF"/>
                </w:rPr>
                <w:t>Registration Rights Agreement by and among Plains All American Pipeline, L.P. and the Holders defined therein, dated</w:t>
              </w:r>
            </w:hyperlink>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tcBorders>
              <w:top w:val="single" w:sz="8" w:color="0000FF"/>
            </w:tcBorders>
            <w:gridSpan w:val="13"/>
          </w:tcPr>
          <w:p>
            <w:pPr>
              <w:spacing w:after="0"/>
              <w:rPr>
                <w:rFonts w:ascii="Arial" w:cs="Arial" w:eastAsia="Arial" w:hAnsi="Arial"/>
                <w:sz w:val="18"/>
                <w:szCs w:val="18"/>
                <w:u w:val="single" w:color="auto"/>
                <w:color w:val="0000FF"/>
                <w:w w:val="92"/>
              </w:rPr>
            </w:pPr>
            <w:hyperlink r:id="rId165">
              <w:r>
                <w:rPr>
                  <w:rFonts w:ascii="Arial" w:cs="Arial" w:eastAsia="Arial" w:hAnsi="Arial"/>
                  <w:sz w:val="18"/>
                  <w:szCs w:val="18"/>
                  <w:u w:val="single" w:color="auto"/>
                  <w:color w:val="0000FF"/>
                  <w:w w:val="92"/>
                </w:rPr>
                <w:t>November 15, 2016 (incorporated by reference to Exhibit 10.4 to our Current Report on Form 8-K filed November 21,</w:t>
              </w:r>
            </w:hyperlink>
          </w:p>
        </w:tc>
        <w:tc>
          <w:tcPr>
            <w:tcW w:w="560" w:type="dxa"/>
            <w:vAlign w:val="bottom"/>
            <w:gridSpan w:val="4"/>
          </w:tcPr>
          <w:p>
            <w:pPr>
              <w:jc w:val="right"/>
              <w:ind w:right="120"/>
              <w:spacing w:after="0"/>
              <w:rPr>
                <w:rFonts w:ascii="Arial" w:cs="Arial" w:eastAsia="Arial" w:hAnsi="Arial"/>
                <w:sz w:val="18"/>
                <w:szCs w:val="18"/>
                <w:u w:val="single" w:color="auto"/>
                <w:color w:val="0000FF"/>
                <w:w w:val="82"/>
              </w:rPr>
            </w:pPr>
            <w:hyperlink r:id="rId165">
              <w:r>
                <w:rPr>
                  <w:rFonts w:ascii="Arial" w:cs="Arial" w:eastAsia="Arial" w:hAnsi="Arial"/>
                  <w:sz w:val="18"/>
                  <w:szCs w:val="18"/>
                  <w:u w:val="single" w:color="auto"/>
                  <w:color w:val="0000FF"/>
                  <w:w w:val="82"/>
                </w:rPr>
                <w:t>2016).</w:t>
              </w:r>
            </w:hyperlink>
          </w:p>
        </w:tc>
        <w:tc>
          <w:tcPr>
            <w:tcW w:w="2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20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9180" w:type="dxa"/>
            <w:vAlign w:val="bottom"/>
            <w:tcBorders>
              <w:bottom w:val="single" w:sz="8" w:color="0000FF"/>
            </w:tcBorders>
            <w:gridSpan w:val="17"/>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Description of Our Securities (incorporated by reference to Exhibit 4.19 to our Annual Report on Form 10-K for the year ended</w:t>
              </w:r>
            </w:hyperlink>
          </w:p>
        </w:tc>
        <w:tc>
          <w:tcPr>
            <w:tcW w:w="24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166">
              <w:r>
                <w:rPr>
                  <w:rFonts w:ascii="Arial" w:cs="Arial" w:eastAsia="Arial" w:hAnsi="Arial"/>
                  <w:sz w:val="18"/>
                  <w:szCs w:val="18"/>
                  <w:color w:val="0000FF"/>
                  <w:w w:val="88"/>
                </w:rPr>
                <w:t>December 31, 2019).</w:t>
              </w:r>
            </w:hyperlink>
          </w:p>
        </w:tc>
        <w:tc>
          <w:tcPr>
            <w:tcW w:w="7660" w:type="dxa"/>
            <w:vAlign w:val="bottom"/>
            <w:gridSpan w:val="16"/>
          </w:tcPr>
          <w:p>
            <w:pPr>
              <w:spacing w:after="0"/>
              <w:rPr>
                <w:sz w:val="13"/>
                <w:szCs w:val="13"/>
                <w:color w:val="auto"/>
              </w:rPr>
            </w:pPr>
          </w:p>
        </w:tc>
        <w:tc>
          <w:tcPr>
            <w:tcW w:w="2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200" w:type="dxa"/>
            <w:vAlign w:val="bottom"/>
          </w:tcPr>
          <w:p>
            <w:pPr>
              <w:jc w:val="center"/>
              <w:spacing w:after="0"/>
              <w:rPr>
                <w:sz w:val="20"/>
                <w:szCs w:val="20"/>
                <w:color w:val="auto"/>
              </w:rPr>
            </w:pPr>
            <w:r>
              <w:rPr>
                <w:rFonts w:ascii="Arial" w:cs="Arial" w:eastAsia="Arial" w:hAnsi="Arial"/>
                <w:sz w:val="18"/>
                <w:szCs w:val="18"/>
                <w:color w:val="auto"/>
                <w:w w:val="87"/>
              </w:rPr>
              <w:t>31.1 †</w:t>
            </w:r>
          </w:p>
        </w:tc>
        <w:tc>
          <w:tcPr>
            <w:tcW w:w="1000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3">
              <w:r>
                <w:rPr>
                  <w:rFonts w:ascii="Arial" w:cs="Arial" w:eastAsia="Arial" w:hAnsi="Arial"/>
                  <w:sz w:val="18"/>
                  <w:szCs w:val="18"/>
                  <w:u w:val="single" w:color="auto"/>
                  <w:color w:val="0000FF"/>
                </w:rPr>
                <w:t>Certification of Principal Executive Officer pursuant to Exchange Act Rules 13a-14(a) and 15d-14(a).</w:t>
              </w:r>
            </w:hyperlink>
          </w:p>
        </w:tc>
        <w:tc>
          <w:tcPr>
            <w:tcW w:w="0" w:type="dxa"/>
            <w:vAlign w:val="bottom"/>
          </w:tcPr>
          <w:p>
            <w:pPr>
              <w:spacing w:after="0"/>
              <w:rPr>
                <w:sz w:val="1"/>
                <w:szCs w:val="1"/>
                <w:color w:val="auto"/>
              </w:rPr>
            </w:pPr>
          </w:p>
        </w:tc>
      </w:tr>
      <w:tr>
        <w:trPr>
          <w:trHeight w:val="378"/>
        </w:trPr>
        <w:tc>
          <w:tcPr>
            <w:tcW w:w="1200" w:type="dxa"/>
            <w:vAlign w:val="bottom"/>
          </w:tcPr>
          <w:p>
            <w:pPr>
              <w:jc w:val="center"/>
              <w:spacing w:after="0"/>
              <w:rPr>
                <w:sz w:val="20"/>
                <w:szCs w:val="20"/>
                <w:color w:val="auto"/>
              </w:rPr>
            </w:pPr>
            <w:r>
              <w:rPr>
                <w:rFonts w:ascii="Arial" w:cs="Arial" w:eastAsia="Arial" w:hAnsi="Arial"/>
                <w:sz w:val="18"/>
                <w:szCs w:val="18"/>
                <w:color w:val="auto"/>
                <w:w w:val="87"/>
              </w:rPr>
              <w:t>31.2 †</w:t>
            </w:r>
          </w:p>
        </w:tc>
        <w:tc>
          <w:tcPr>
            <w:tcW w:w="1000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4">
              <w:r>
                <w:rPr>
                  <w:rFonts w:ascii="Arial" w:cs="Arial" w:eastAsia="Arial" w:hAnsi="Arial"/>
                  <w:sz w:val="18"/>
                  <w:szCs w:val="18"/>
                  <w:u w:val="single" w:color="auto"/>
                  <w:color w:val="0000FF"/>
                </w:rPr>
                <w:t>Certification of Principal Financial Officer pursuant to Exchange Act Rules 13a-14(a) and 15d-14(a).</w:t>
              </w:r>
            </w:hyperlink>
          </w:p>
        </w:tc>
        <w:tc>
          <w:tcPr>
            <w:tcW w:w="0" w:type="dxa"/>
            <w:vAlign w:val="bottom"/>
          </w:tcPr>
          <w:p>
            <w:pPr>
              <w:spacing w:after="0"/>
              <w:rPr>
                <w:sz w:val="1"/>
                <w:szCs w:val="1"/>
                <w:color w:val="auto"/>
              </w:rPr>
            </w:pPr>
          </w:p>
        </w:tc>
      </w:tr>
      <w:tr>
        <w:trPr>
          <w:trHeight w:val="378"/>
        </w:trPr>
        <w:tc>
          <w:tcPr>
            <w:tcW w:w="120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1000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5">
              <w:r>
                <w:rPr>
                  <w:rFonts w:ascii="Arial" w:cs="Arial" w:eastAsia="Arial" w:hAnsi="Arial"/>
                  <w:sz w:val="18"/>
                  <w:szCs w:val="18"/>
                  <w:u w:val="single" w:color="auto"/>
                  <w:color w:val="0000FF"/>
                </w:rPr>
                <w:t>Certification of Principal Executive Officer pursuant to 18 U.S.C. 1350.</w:t>
              </w:r>
            </w:hyperlink>
          </w:p>
        </w:tc>
        <w:tc>
          <w:tcPr>
            <w:tcW w:w="0" w:type="dxa"/>
            <w:vAlign w:val="bottom"/>
          </w:tcPr>
          <w:p>
            <w:pPr>
              <w:spacing w:after="0"/>
              <w:rPr>
                <w:sz w:val="1"/>
                <w:szCs w:val="1"/>
                <w:color w:val="auto"/>
              </w:rPr>
            </w:pPr>
          </w:p>
        </w:tc>
      </w:tr>
      <w:tr>
        <w:trPr>
          <w:trHeight w:val="378"/>
        </w:trPr>
        <w:tc>
          <w:tcPr>
            <w:tcW w:w="120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1000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6">
              <w:r>
                <w:rPr>
                  <w:rFonts w:ascii="Arial" w:cs="Arial" w:eastAsia="Arial" w:hAnsi="Arial"/>
                  <w:sz w:val="18"/>
                  <w:szCs w:val="18"/>
                  <w:u w:val="single" w:color="auto"/>
                  <w:color w:val="0000FF"/>
                </w:rPr>
                <w:t>Certification of Principal Financial Officer pursuant to 18 U.S.C. 1350.</w:t>
              </w:r>
            </w:hyperlink>
          </w:p>
        </w:tc>
        <w:tc>
          <w:tcPr>
            <w:tcW w:w="0" w:type="dxa"/>
            <w:vAlign w:val="bottom"/>
          </w:tcPr>
          <w:p>
            <w:pPr>
              <w:spacing w:after="0"/>
              <w:rPr>
                <w:sz w:val="1"/>
                <w:szCs w:val="1"/>
                <w:color w:val="auto"/>
              </w:rPr>
            </w:pPr>
          </w:p>
        </w:tc>
      </w:tr>
      <w:tr>
        <w:trPr>
          <w:trHeight w:val="364"/>
        </w:trPr>
        <w:tc>
          <w:tcPr>
            <w:tcW w:w="1200" w:type="dxa"/>
            <w:vAlign w:val="bottom"/>
          </w:tcPr>
          <w:p>
            <w:pPr>
              <w:jc w:val="center"/>
              <w:spacing w:after="0"/>
              <w:rPr>
                <w:sz w:val="20"/>
                <w:szCs w:val="20"/>
                <w:color w:val="auto"/>
              </w:rPr>
            </w:pPr>
            <w:r>
              <w:rPr>
                <w:rFonts w:ascii="Arial" w:cs="Arial" w:eastAsia="Arial" w:hAnsi="Arial"/>
                <w:sz w:val="18"/>
                <w:szCs w:val="18"/>
                <w:color w:val="auto"/>
                <w:w w:val="90"/>
              </w:rPr>
              <w:t>101.INS†</w:t>
            </w:r>
          </w:p>
        </w:tc>
        <w:tc>
          <w:tcPr>
            <w:tcW w:w="10000" w:type="dxa"/>
            <w:vAlign w:val="bottom"/>
            <w:gridSpan w:val="24"/>
          </w:tcPr>
          <w:p>
            <w:pPr>
              <w:ind w:left="200"/>
              <w:spacing w:after="0"/>
              <w:rPr>
                <w:sz w:val="20"/>
                <w:szCs w:val="20"/>
                <w:color w:val="auto"/>
              </w:rPr>
            </w:pPr>
            <w:r>
              <w:rPr>
                <w:rFonts w:ascii="Arial" w:cs="Arial" w:eastAsia="Arial" w:hAnsi="Arial"/>
                <w:sz w:val="18"/>
                <w:szCs w:val="18"/>
                <w:color w:val="auto"/>
                <w:w w:val="97"/>
              </w:rPr>
              <w:t>—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23"/>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78"/>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1000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Schema Document</w:t>
            </w:r>
          </w:p>
        </w:tc>
        <w:tc>
          <w:tcPr>
            <w:tcW w:w="0" w:type="dxa"/>
            <w:vAlign w:val="bottom"/>
          </w:tcPr>
          <w:p>
            <w:pPr>
              <w:spacing w:after="0"/>
              <w:rPr>
                <w:sz w:val="1"/>
                <w:szCs w:val="1"/>
                <w:color w:val="auto"/>
              </w:rPr>
            </w:pPr>
          </w:p>
        </w:tc>
      </w:tr>
      <w:tr>
        <w:trPr>
          <w:trHeight w:val="378"/>
        </w:trPr>
        <w:tc>
          <w:tcPr>
            <w:tcW w:w="12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00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c>
          <w:tcPr>
            <w:tcW w:w="0" w:type="dxa"/>
            <w:vAlign w:val="bottom"/>
          </w:tcPr>
          <w:p>
            <w:pPr>
              <w:spacing w:after="0"/>
              <w:rPr>
                <w:sz w:val="1"/>
                <w:szCs w:val="1"/>
                <w:color w:val="auto"/>
              </w:rPr>
            </w:pPr>
          </w:p>
        </w:tc>
      </w:tr>
      <w:tr>
        <w:trPr>
          <w:trHeight w:val="378"/>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101.DEF†</w:t>
            </w:r>
          </w:p>
        </w:tc>
        <w:tc>
          <w:tcPr>
            <w:tcW w:w="1000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Definition Linkbase Document</w:t>
            </w:r>
          </w:p>
        </w:tc>
        <w:tc>
          <w:tcPr>
            <w:tcW w:w="0" w:type="dxa"/>
            <w:vAlign w:val="bottom"/>
          </w:tcPr>
          <w:p>
            <w:pPr>
              <w:spacing w:after="0"/>
              <w:rPr>
                <w:sz w:val="1"/>
                <w:szCs w:val="1"/>
                <w:color w:val="auto"/>
              </w:rPr>
            </w:pPr>
          </w:p>
        </w:tc>
      </w:tr>
      <w:tr>
        <w:trPr>
          <w:trHeight w:val="378"/>
        </w:trPr>
        <w:tc>
          <w:tcPr>
            <w:tcW w:w="1200" w:type="dxa"/>
            <w:vAlign w:val="bottom"/>
          </w:tcPr>
          <w:p>
            <w:pPr>
              <w:jc w:val="center"/>
              <w:spacing w:after="0"/>
              <w:rPr>
                <w:sz w:val="20"/>
                <w:szCs w:val="20"/>
                <w:color w:val="auto"/>
              </w:rPr>
            </w:pPr>
            <w:r>
              <w:rPr>
                <w:rFonts w:ascii="Arial" w:cs="Arial" w:eastAsia="Arial" w:hAnsi="Arial"/>
                <w:sz w:val="18"/>
                <w:szCs w:val="18"/>
                <w:color w:val="auto"/>
                <w:w w:val="96"/>
              </w:rPr>
              <w:t>101.LAB†</w:t>
            </w:r>
          </w:p>
        </w:tc>
        <w:tc>
          <w:tcPr>
            <w:tcW w:w="1000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c>
          <w:tcPr>
            <w:tcW w:w="0" w:type="dxa"/>
            <w:vAlign w:val="bottom"/>
          </w:tcPr>
          <w:p>
            <w:pPr>
              <w:spacing w:after="0"/>
              <w:rPr>
                <w:sz w:val="1"/>
                <w:szCs w:val="1"/>
                <w:color w:val="auto"/>
              </w:rPr>
            </w:pPr>
          </w:p>
        </w:tc>
      </w:tr>
      <w:tr>
        <w:trPr>
          <w:trHeight w:val="378"/>
        </w:trPr>
        <w:tc>
          <w:tcPr>
            <w:tcW w:w="1200" w:type="dxa"/>
            <w:vAlign w:val="bottom"/>
          </w:tcPr>
          <w:p>
            <w:pPr>
              <w:jc w:val="center"/>
              <w:spacing w:after="0"/>
              <w:rPr>
                <w:sz w:val="20"/>
                <w:szCs w:val="20"/>
                <w:color w:val="auto"/>
              </w:rPr>
            </w:pPr>
            <w:r>
              <w:rPr>
                <w:rFonts w:ascii="Arial" w:cs="Arial" w:eastAsia="Arial" w:hAnsi="Arial"/>
                <w:sz w:val="18"/>
                <w:szCs w:val="18"/>
                <w:color w:val="auto"/>
                <w:w w:val="87"/>
              </w:rPr>
              <w:t>101.PRE†</w:t>
            </w:r>
          </w:p>
        </w:tc>
        <w:tc>
          <w:tcPr>
            <w:tcW w:w="1000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Presentation Linkbase Document</w:t>
            </w:r>
          </w:p>
        </w:tc>
        <w:tc>
          <w:tcPr>
            <w:tcW w:w="0" w:type="dxa"/>
            <w:vAlign w:val="bottom"/>
          </w:tcPr>
          <w:p>
            <w:pPr>
              <w:spacing w:after="0"/>
              <w:rPr>
                <w:sz w:val="1"/>
                <w:szCs w:val="1"/>
                <w:color w:val="auto"/>
              </w:rPr>
            </w:pPr>
          </w:p>
        </w:tc>
      </w:tr>
      <w:tr>
        <w:trPr>
          <w:trHeight w:val="378"/>
        </w:trPr>
        <w:tc>
          <w:tcPr>
            <w:tcW w:w="1200" w:type="dxa"/>
            <w:vAlign w:val="bottom"/>
          </w:tcPr>
          <w:p>
            <w:pPr>
              <w:jc w:val="center"/>
              <w:spacing w:after="0"/>
              <w:rPr>
                <w:sz w:val="20"/>
                <w:szCs w:val="20"/>
                <w:color w:val="auto"/>
              </w:rPr>
            </w:pPr>
            <w:r>
              <w:rPr>
                <w:rFonts w:ascii="Arial" w:cs="Arial" w:eastAsia="Arial" w:hAnsi="Arial"/>
                <w:sz w:val="18"/>
                <w:szCs w:val="18"/>
                <w:color w:val="auto"/>
                <w:w w:val="89"/>
              </w:rPr>
              <w:t>104†</w:t>
            </w:r>
          </w:p>
        </w:tc>
        <w:tc>
          <w:tcPr>
            <w:tcW w:w="10000" w:type="dxa"/>
            <w:vAlign w:val="bottom"/>
            <w:gridSpan w:val="24"/>
          </w:tcPr>
          <w:p>
            <w:pPr>
              <w:ind w:left="20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c>
          <w:tcPr>
            <w:tcW w:w="0" w:type="dxa"/>
            <w:vAlign w:val="bottom"/>
          </w:tcPr>
          <w:p>
            <w:pPr>
              <w:spacing w:after="0"/>
              <w:rPr>
                <w:sz w:val="1"/>
                <w:szCs w:val="1"/>
                <w:color w:val="auto"/>
              </w:rPr>
            </w:pPr>
          </w:p>
        </w:tc>
      </w:tr>
      <w:tr>
        <w:trPr>
          <w:trHeight w:val="459"/>
        </w:trPr>
        <w:tc>
          <w:tcPr>
            <w:tcW w:w="1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/s/ Willie Chiang</w:t>
            </w:r>
          </w:p>
        </w:tc>
      </w:tr>
      <w:tr>
        <w:trPr>
          <w:trHeight w:val="27"/>
        </w:trPr>
        <w:tc>
          <w:tcPr>
            <w:tcW w:w="7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70"/>
        </w:trPr>
        <w:tc>
          <w:tcPr>
            <w:tcW w:w="70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7, 2020</w:t>
      </w:r>
    </w:p>
    <w:p>
      <w:pPr>
        <w:spacing w:after="0" w:line="333" w:lineRule="exact"/>
        <w:rPr>
          <w:sz w:val="20"/>
          <w:szCs w:val="20"/>
          <w:color w:val="auto"/>
        </w:rPr>
      </w:pPr>
    </w:p>
    <w:p>
      <w:pPr>
        <w:ind w:left="55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31750</wp:posOffset>
            </wp:positionV>
            <wp:extent cx="31546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3"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26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w:t>
      </w:r>
    </w:p>
    <w:p>
      <w:pPr>
        <w:spacing w:after="0" w:line="46" w:lineRule="exact"/>
        <w:rPr>
          <w:sz w:val="20"/>
          <w:szCs w:val="20"/>
          <w:color w:val="auto"/>
        </w:rPr>
      </w:pPr>
    </w:p>
    <w:p>
      <w:pPr>
        <w:ind w:left="6260"/>
        <w:spacing w:after="0"/>
        <w:rPr>
          <w:sz w:val="20"/>
          <w:szCs w:val="20"/>
          <w:color w:val="auto"/>
        </w:rPr>
      </w:pPr>
      <w:r>
        <w:rPr>
          <w:rFonts w:ascii="Arial" w:cs="Arial" w:eastAsia="Arial" w:hAnsi="Arial"/>
          <w:sz w:val="18"/>
          <w:szCs w:val="18"/>
          <w:b w:val="1"/>
          <w:bCs w:val="1"/>
          <w:i w:val="1"/>
          <w:iCs w:val="1"/>
          <w:color w:val="auto"/>
        </w:rPr>
        <w:t>All American GP LLC</w:t>
      </w:r>
    </w:p>
    <w:p>
      <w:pPr>
        <w:spacing w:after="0" w:line="49" w:lineRule="exact"/>
        <w:rPr>
          <w:sz w:val="20"/>
          <w:szCs w:val="20"/>
          <w:color w:val="auto"/>
        </w:rPr>
      </w:pPr>
    </w:p>
    <w:p>
      <w:pPr>
        <w:ind w:left="626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7, 2020</w:t>
      </w:r>
    </w:p>
    <w:p>
      <w:pPr>
        <w:spacing w:after="0" w:line="333" w:lineRule="exact"/>
        <w:rPr>
          <w:sz w:val="20"/>
          <w:szCs w:val="20"/>
          <w:color w:val="auto"/>
        </w:rPr>
      </w:pPr>
    </w:p>
    <w:p>
      <w:pPr>
        <w:ind w:left="55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31750</wp:posOffset>
            </wp:positionV>
            <wp:extent cx="31546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3"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i w:val="1"/>
          <w:iCs w:val="1"/>
          <w:color w:val="auto"/>
        </w:rPr>
        <w:t>Senior Vice President and Chief Accounting Officer of Plains All</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26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25"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9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9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August 7, 2020</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August 7,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903"/>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lowerRoman"/>
      <w:start w:val="2"/>
    </w:lvl>
  </w:abstractNum>
  <w:abstractNum w:abstractNumId="27">
    <w:nsid w:val="57E4CCAF"/>
    <w:multiLevelType w:val="hybridMultilevel"/>
    <w:lvl w:ilvl="0">
      <w:lvlJc w:val="left"/>
      <w:lvlText w:val="(%1)"/>
      <w:numFmt w:val="lowerRoman"/>
      <w:start w:val="5"/>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5"/>
    </w:lvl>
  </w:abstractNum>
  <w:abstractNum w:abstractNumId="31">
    <w:nsid w:val="6DE91B18"/>
    <w:multiLevelType w:val="hybridMultilevel"/>
    <w:lvl w:ilvl="0">
      <w:lvlJc w:val="left"/>
      <w:lvlText w:val="(%1)"/>
      <w:numFmt w:val="decimal"/>
      <w:start w:val="10"/>
    </w:lvl>
  </w:abstractNum>
  <w:abstractNum w:abstractNumId="32">
    <w:nsid w:val="38437FDB"/>
    <w:multiLevelType w:val="hybridMultilevel"/>
    <w:lvl w:ilvl="0">
      <w:lvlJc w:val="left"/>
      <w:lvlText w:val="(%1)"/>
      <w:numFmt w:val="decimal"/>
      <w:start w:val="16"/>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lowerRoman"/>
      <w:start w:val="3"/>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lowerRoman"/>
      <w:start w:val="2"/>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4"/>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lowerRoman"/>
      <w:start w:val="4"/>
    </w:lvl>
  </w:abstractNum>
  <w:abstractNum w:abstractNumId="46">
    <w:nsid w:val="4F4EF005"/>
    <w:multiLevelType w:val="hybridMultilevel"/>
    <w:lvl w:ilvl="0">
      <w:lvlJc w:val="left"/>
      <w:lvlText w:val="(%1)"/>
      <w:numFmt w:val="lowerRoman"/>
      <w:start w:val="4"/>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decimal"/>
      <w:start w:val="5"/>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5"/>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lowerRoman"/>
      <w:start w:val="1"/>
    </w:lvl>
  </w:abstractNum>
  <w:abstractNum w:abstractNumId="61">
    <w:nsid w:val="6157409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4" Type="http://schemas.openxmlformats.org/officeDocument/2006/relationships/image" Target="media/image114.png"/><Relationship Id="rId142" Type="http://schemas.openxmlformats.org/officeDocument/2006/relationships/image" Target="media/image115.png"/><Relationship Id="rId157"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21" Type="http://schemas.openxmlformats.org/officeDocument/2006/relationships/hyperlink" Target="http://www.sec.gov/Archives/edgar/data/1070423/000110465917061889/a17-22685_5ex3d1.htm#Exhibit3_1_122228" TargetMode="External"/><Relationship Id="rId122" Type="http://schemas.openxmlformats.org/officeDocument/2006/relationships/hyperlink" Target="http://www.sec.gov/Archives/edgar/data/1070423/000104746904016502/a2135501zex-3_2.htm" TargetMode="External"/><Relationship Id="rId123" Type="http://schemas.openxmlformats.org/officeDocument/2006/relationships/hyperlink" Target="http://www.sec.gov/Archives/edgar/data/1070423/000110465911010359/a11-2319_1ex3d9.htm" TargetMode="External"/><Relationship Id="rId125" Type="http://schemas.openxmlformats.org/officeDocument/2006/relationships/hyperlink" Target="http://www.sec.gov/Archives/edgar/data/1070423/000110465911010359/a11-2319_1ex3d10.htm" TargetMode="External"/><Relationship Id="rId126" Type="http://schemas.openxmlformats.org/officeDocument/2006/relationships/hyperlink" Target="http://www.sec.gov/Archives/edgar/data/1070423/000110465914014322/a13-25941_1ex3d7.htm" TargetMode="External"/><Relationship Id="rId127" Type="http://schemas.openxmlformats.org/officeDocument/2006/relationships/hyperlink" Target="http://www.sec.gov/Archives/edgar/data/1070423/000110465914014322/a13-25941_1ex3d8.htm" TargetMode="External"/><Relationship Id="rId128" Type="http://schemas.openxmlformats.org/officeDocument/2006/relationships/hyperlink" Target="http://www.sec.gov/Archives/edgar/data/1070423/000107042320000004/paa201910-kexhibit37.htm" TargetMode="External"/><Relationship Id="rId129" Type="http://schemas.openxmlformats.org/officeDocument/2006/relationships/hyperlink" Target="http://www.sec.gov/Archives/edgar/data/1070423/000104746904016502/a2135501zex-3_3.htm" TargetMode="External"/><Relationship Id="rId130" Type="http://schemas.openxmlformats.org/officeDocument/2006/relationships/hyperlink" Target="http://www.sec.gov/Archives/edgar/data/1070423/000110465914014322/a13-25941_1ex3d10.htm" TargetMode="External"/><Relationship Id="rId131" Type="http://schemas.openxmlformats.org/officeDocument/2006/relationships/hyperlink" Target="http://www.sec.gov/Archives/edgar/data/1070423/000110465916158355/a16-21841_1ex3d3.htm" TargetMode="External"/><Relationship Id="rId132" Type="http://schemas.openxmlformats.org/officeDocument/2006/relationships/hyperlink" Target="http://www.sec.gov/Archives/edgar/data/1070423/000110465916158355/a16-21841_1ex3d4.htm" TargetMode="External"/><Relationship Id="rId133" Type="http://schemas.openxmlformats.org/officeDocument/2006/relationships/hyperlink" Target="http://www.sec.gov/Archives/edgar/data/1070423/000110465918060011/a18-36196_1ex3d1.htm" TargetMode="External"/><Relationship Id="rId134" Type="http://schemas.openxmlformats.org/officeDocument/2006/relationships/hyperlink" Target="http://www.sec.gov/Archives/edgar/data/1070423/000110465919032810/a19-10856_1ex3d1.htm" TargetMode="External"/><Relationship Id="rId135" Type="http://schemas.openxmlformats.org/officeDocument/2006/relationships/hyperlink" Target="http://www.sec.gov/Archives/edgar/data/1070423/000095012907001096/h43224exv3w10.htm" TargetMode="External"/><Relationship Id="rId136" Type="http://schemas.openxmlformats.org/officeDocument/2006/relationships/hyperlink" Target="http://www.sec.gov/Archives/edgar/data/1070423/000095012907001096/h43224exv3w11.htm" TargetMode="External"/><Relationship Id="rId137" Type="http://schemas.openxmlformats.org/officeDocument/2006/relationships/hyperlink" Target="http://www.sec.gov/Archives/edgar/data/1070423/000095012908000071/h52770exv3w3.htm" TargetMode="External"/><Relationship Id="rId138" Type="http://schemas.openxmlformats.org/officeDocument/2006/relationships/hyperlink" Target="http://www.sec.gov/Archives/edgar/data/1581990/000104746913007875/a2216069zex-3_1.htm" TargetMode="External"/><Relationship Id="rId139" Type="http://schemas.openxmlformats.org/officeDocument/2006/relationships/hyperlink" Target="http://www.sec.gov/Archives/edgar/data/1581990/000110465916158356/a16-21845_1ex3d2.htm" TargetMode="External"/><Relationship Id="rId140" Type="http://schemas.openxmlformats.org/officeDocument/2006/relationships/hyperlink" Target="http://www.sec.gov/Archives/edgar/data/1581990/000104746913007875/a2216069zex-3_3.htm" TargetMode="External"/><Relationship Id="rId141" Type="http://schemas.openxmlformats.org/officeDocument/2006/relationships/hyperlink" Target="http://www.sec.gov/Archives/edgar/data/1070423/000110465917010601/a17-6891_1ex3d1.htm" TargetMode="External"/><Relationship Id="rId143" Type="http://schemas.openxmlformats.org/officeDocument/2006/relationships/hyperlink" Target="http://www.sec.gov/Archives/edgar/data/1070423/000110465918052848/a18-18381_3ex3d1.htm" TargetMode="External"/><Relationship Id="rId144" Type="http://schemas.openxmlformats.org/officeDocument/2006/relationships/hyperlink" Target="http://www.sec.gov/Archives/edgar/data/1070423/000110465918072384/a18-41341_1ex3d1.htm" TargetMode="External"/><Relationship Id="rId145" Type="http://schemas.openxmlformats.org/officeDocument/2006/relationships/hyperlink" Target="http://www.sec.gov/Archives/edgar/data/1070423/000110465919067782/tm1923979d1_ex3-1.htm" TargetMode="External"/><Relationship Id="rId146" Type="http://schemas.openxmlformats.org/officeDocument/2006/relationships/hyperlink" Target="http://www.sec.gov/Archives/edgar/data/1070423/000089924302002834/dex41.txt" TargetMode="External"/><Relationship Id="rId147" Type="http://schemas.openxmlformats.org/officeDocument/2006/relationships/hyperlink" Target="http://www.sec.gov/Archives/edgar/data/1070423/000110465906034368/a06-11663_1ex4d1.htm" TargetMode="External"/><Relationship Id="rId148" Type="http://schemas.openxmlformats.org/officeDocument/2006/relationships/hyperlink" Target="http://www.sec.gov/Archives/edgar/data/1070423/000095012906009235/h40667exv4w2.htm" TargetMode="External"/><Relationship Id="rId149" Type="http://schemas.openxmlformats.org/officeDocument/2006/relationships/hyperlink" Target="http://www.sec.gov/Archives/edgar/data/1070423/000095012311002051/h78739exv4w1.htm" TargetMode="External"/><Relationship Id="rId150" Type="http://schemas.openxmlformats.org/officeDocument/2006/relationships/hyperlink" Target="http://www.sec.gov/Archives/edgar/data/1070423/000119312512132295/d321017dex41.htm" TargetMode="External"/><Relationship Id="rId151" Type="http://schemas.openxmlformats.org/officeDocument/2006/relationships/hyperlink" Target="http://www.sec.gov/Archives/edgar/data/1070423/000119312512132295/d321017dex43.htm" TargetMode="External"/><Relationship Id="rId152" Type="http://schemas.openxmlformats.org/officeDocument/2006/relationships/hyperlink" Target="http://www.sec.gov/Archives/edgar/data/1070423/000119312512499932/d453762dex41.htm" TargetMode="External"/><Relationship Id="rId153" Type="http://schemas.openxmlformats.org/officeDocument/2006/relationships/hyperlink" Target="http://www.sec.gov/Archives/edgar/data/1070423/000119312512499932/d453762dex43.htm" TargetMode="External"/><Relationship Id="rId154" Type="http://schemas.openxmlformats.org/officeDocument/2006/relationships/hyperlink" Target="http://www.sec.gov/Archives/edgar/data/1070423/000119312513336066/d581734dex41.htm" TargetMode="External"/><Relationship Id="rId155" Type="http://schemas.openxmlformats.org/officeDocument/2006/relationships/hyperlink" Target="http://www.sec.gov/Archives/edgar/data/1070423/000119312514164183/d713938dex41.htm" TargetMode="External"/><Relationship Id="rId156" Type="http://schemas.openxmlformats.org/officeDocument/2006/relationships/hyperlink" Target="http://www.sec.gov/Archives/edgar/data/1070423/000119312514338289/d787160dex41.htm" TargetMode="External"/><Relationship Id="rId158" Type="http://schemas.openxmlformats.org/officeDocument/2006/relationships/hyperlink" Target="http://www.sec.gov/Archives/edgar/data/1070423/000119312514440007/d833885dex43.htm" TargetMode="External"/><Relationship Id="rId159" Type="http://schemas.openxmlformats.org/officeDocument/2006/relationships/hyperlink" Target="http://www.sec.gov/Archives/edgar/data/1070423/000119312515302829/d45393dex41.htm" TargetMode="External"/><Relationship Id="rId160" Type="http://schemas.openxmlformats.org/officeDocument/2006/relationships/hyperlink" Target="http://www.sec.gov/Archives/edgar/data/1070423/000110465916159593/a16-22232_1ex4d1.htm" TargetMode="External"/><Relationship Id="rId161" Type="http://schemas.openxmlformats.org/officeDocument/2006/relationships/hyperlink" Target="http://www.sec.gov/Archives/edgar/data/1070423/000141057819001281/tv529555_ex4-1.htm" TargetMode="External"/><Relationship Id="rId162" Type="http://schemas.openxmlformats.org/officeDocument/2006/relationships/hyperlink" Target="http://www.sec.gov/Archives/edgar/data/1070423/000110465920072270/tm2022235d1_ex4-1.htm" TargetMode="External"/><Relationship Id="rId163" Type="http://schemas.openxmlformats.org/officeDocument/2006/relationships/hyperlink" Target="http://www.sec.gov/Archives/edgar/data/1070423/000095012309050401/h68193exv4w1.htm" TargetMode="External"/><Relationship Id="rId164" Type="http://schemas.openxmlformats.org/officeDocument/2006/relationships/hyperlink" Target="http://www.sec.gov/Archives/edgar/data/1070423/000110465916093299/a16-3362_1ex4d1.htm" TargetMode="External"/><Relationship Id="rId165" Type="http://schemas.openxmlformats.org/officeDocument/2006/relationships/hyperlink" Target="http://www.sec.gov/Archives/edgar/data/1070423/000110465916158355/a16-21841_1ex10d4.htm" TargetMode="External"/><Relationship Id="rId166" Type="http://schemas.openxmlformats.org/officeDocument/2006/relationships/hyperlink" Target="http://www.sec.gov/Archives/edgar/data/1070423/000107042320000004/paa201910-kexhibit4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2020-08-10T06:07:30Z</dcterms:created>
  <dcterms:modified xsi:type="dcterms:W3CDTF">2020-08-10T06:07:30Z</dcterms:modified>
</cp:coreProperties>
</file>