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7220" w:space="720"/>
            <w:col w:w="324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2"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84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1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14"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30, 2021, there were 717,371,576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1"/>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2"/>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Comprehensive Income/(Loss):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six months ended June 30,</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gridSpan w:val="4"/>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 and 2020</w:t>
              </w:r>
            </w:hyperlink>
          </w:p>
        </w:tc>
        <w:tc>
          <w:tcPr>
            <w:tcW w:w="8080" w:type="dxa"/>
            <w:vAlign w:val="bottom"/>
            <w:tcBorders>
              <w:top w:val="single" w:sz="8" w:color="0000FF"/>
            </w:tcBorders>
            <w:gridSpan w:val="21"/>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380" w:type="dxa"/>
            <w:vAlign w:val="bottom"/>
            <w:gridSpan w:val="24"/>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six months ended June 30, 2021 and 2020</w:t>
              </w:r>
            </w:hyperlink>
          </w:p>
        </w:tc>
        <w:tc>
          <w:tcPr>
            <w:tcW w:w="2680" w:type="dxa"/>
            <w:vAlign w:val="bottom"/>
            <w:gridSpan w:val="6"/>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0"/>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Changes in Partners’ Capital: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300" w:type="dxa"/>
            <w:vAlign w:val="bottom"/>
            <w:tcBorders>
              <w:top w:val="single" w:sz="8" w:color="0000FF"/>
            </w:tcBorders>
            <w:gridSpan w:val="2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76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6"/>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2"/>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3260" w:type="dxa"/>
            <w:vAlign w:val="bottom"/>
            <w:gridSpan w:val="12"/>
          </w:tcPr>
          <w:p>
            <w:pPr>
              <w:ind w:left="20"/>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Summary of Significant Accounting Policies</w:t>
              </w:r>
            </w:hyperlink>
          </w:p>
        </w:tc>
        <w:tc>
          <w:tcPr>
            <w:tcW w:w="940" w:type="dxa"/>
            <w:vAlign w:val="bottom"/>
            <w:gridSpan w:val="4"/>
          </w:tcPr>
          <w:p>
            <w:pPr>
              <w:spacing w:after="0"/>
              <w:rPr>
                <w:sz w:val="18"/>
                <w:szCs w:val="18"/>
                <w:color w:val="auto"/>
              </w:rPr>
            </w:pPr>
          </w:p>
        </w:tc>
        <w:tc>
          <w:tcPr>
            <w:tcW w:w="552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3260" w:type="dxa"/>
            <w:vAlign w:val="bottom"/>
            <w:tcBorders>
              <w:top w:val="single" w:sz="8" w:color="0000FF"/>
            </w:tcBorders>
            <w:gridSpan w:val="12"/>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4.</w:t>
              </w:r>
            </w:hyperlink>
          </w:p>
        </w:tc>
        <w:tc>
          <w:tcPr>
            <w:tcW w:w="9720" w:type="dxa"/>
            <w:vAlign w:val="bottom"/>
            <w:gridSpan w:val="28"/>
          </w:tcPr>
          <w:p>
            <w:pPr>
              <w:ind w:left="20"/>
              <w:spacing w:after="0"/>
              <w:rPr>
                <w:rFonts w:ascii="Arial" w:cs="Arial" w:eastAsia="Arial" w:hAnsi="Arial"/>
                <w:sz w:val="18"/>
                <w:szCs w:val="18"/>
                <w:color w:val="0000FF"/>
              </w:rPr>
            </w:pPr>
            <w:hyperlink w:anchor="page16">
              <w:r>
                <w:rPr>
                  <w:rFonts w:ascii="Arial" w:cs="Arial" w:eastAsia="Arial" w:hAnsi="Arial"/>
                  <w:sz w:val="18"/>
                  <w:szCs w:val="18"/>
                  <w:color w:val="0000FF"/>
                </w:rPr>
                <w:t>Net Income/(Loss) Per Common Unit</w:t>
              </w:r>
            </w:hyperlink>
          </w:p>
        </w:tc>
        <w:tc>
          <w:tcPr>
            <w:tcW w:w="100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5.</w:t>
              </w:r>
            </w:hyperlink>
          </w:p>
        </w:tc>
        <w:tc>
          <w:tcPr>
            <w:tcW w:w="4240" w:type="dxa"/>
            <w:vAlign w:val="bottom"/>
            <w:tcBorders>
              <w:bottom w:val="single" w:sz="8" w:color="0000FF"/>
            </w:tcBorders>
            <w:gridSpan w:val="17"/>
          </w:tcPr>
          <w:p>
            <w:pPr>
              <w:ind w:left="20"/>
              <w:spacing w:after="0"/>
              <w:rPr>
                <w:rFonts w:ascii="Arial" w:cs="Arial" w:eastAsia="Arial" w:hAnsi="Arial"/>
                <w:sz w:val="18"/>
                <w:szCs w:val="18"/>
                <w:color w:val="0000FF"/>
                <w:w w:val="92"/>
              </w:rPr>
            </w:pPr>
            <w:hyperlink w:anchor="page17">
              <w:r>
                <w:rPr>
                  <w:rFonts w:ascii="Arial" w:cs="Arial" w:eastAsia="Arial" w:hAnsi="Arial"/>
                  <w:sz w:val="18"/>
                  <w:szCs w:val="18"/>
                  <w:color w:val="0000FF"/>
                  <w:w w:val="92"/>
                </w:rPr>
                <w:t>Inventory, Linefill and Base Gas and Long-term Inventory</w:t>
              </w:r>
            </w:hyperlink>
          </w:p>
        </w:tc>
        <w:tc>
          <w:tcPr>
            <w:tcW w:w="548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Debt</w:t>
              </w:r>
            </w:hyperlink>
          </w:p>
        </w:tc>
        <w:tc>
          <w:tcPr>
            <w:tcW w:w="934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7.</w:t>
              </w:r>
            </w:hyperlink>
          </w:p>
        </w:tc>
        <w:tc>
          <w:tcPr>
            <w:tcW w:w="258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Partners’ Capital and Distributions</w:t>
              </w:r>
            </w:hyperlink>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Derivatives and Risk Management Activities</w:t>
              </w:r>
            </w:hyperlink>
          </w:p>
        </w:tc>
        <w:tc>
          <w:tcPr>
            <w:tcW w:w="644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9.</w:t>
              </w:r>
            </w:hyperlink>
          </w:p>
        </w:tc>
        <w:tc>
          <w:tcPr>
            <w:tcW w:w="9720" w:type="dxa"/>
            <w:vAlign w:val="bottom"/>
            <w:gridSpan w:val="28"/>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10. Commitments and Contingencies</w:t>
              </w:r>
            </w:hyperlink>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11. Operating Segments</w:t>
              </w:r>
            </w:hyperlink>
          </w:p>
        </w:tc>
        <w:tc>
          <w:tcPr>
            <w:tcW w:w="814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9"/>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12. Acquisitions, Divestitures and Other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8"/>
          </w:tcPr>
          <w:p>
            <w:pPr>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59">
              <w:r>
                <w:rPr>
                  <w:rFonts w:ascii="Arial" w:cs="Arial" w:eastAsia="Arial" w:hAnsi="Arial"/>
                  <w:sz w:val="18"/>
                  <w:szCs w:val="18"/>
                  <w:color w:val="0000FF"/>
                  <w:w w:val="97"/>
                </w:rPr>
                <w:t>Item 3. QUANTITATIVE AND QUALITATIVE DISCLOSURES ABOUT MARKET RISK</w:t>
              </w:r>
            </w:hyperlink>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0000FF"/>
            </w:tcBorders>
            <w:gridSpan w:val="14"/>
          </w:tcPr>
          <w:p>
            <w:pPr>
              <w:spacing w:after="0"/>
              <w:rPr>
                <w:rFonts w:ascii="Arial" w:cs="Arial" w:eastAsia="Arial" w:hAnsi="Arial"/>
                <w:sz w:val="18"/>
                <w:szCs w:val="18"/>
                <w:color w:val="0000FF"/>
                <w:w w:val="94"/>
              </w:rPr>
            </w:pPr>
            <w:hyperlink w:anchor="page61">
              <w:r>
                <w:rPr>
                  <w:rFonts w:ascii="Arial" w:cs="Arial" w:eastAsia="Arial" w:hAnsi="Arial"/>
                  <w:sz w:val="18"/>
                  <w:szCs w:val="18"/>
                  <w:color w:val="0000FF"/>
                  <w:w w:val="94"/>
                </w:rPr>
                <w:t>Item 4. CONTROLS AND PROCEDURES</w:t>
              </w:r>
            </w:hyperlink>
          </w:p>
        </w:tc>
        <w:tc>
          <w:tcPr>
            <w:tcW w:w="698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1"/>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Item 1A. RISK FACTORS</w:t>
              </w:r>
            </w:hyperlink>
          </w:p>
        </w:tc>
        <w:tc>
          <w:tcPr>
            <w:tcW w:w="82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3"/>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3. DEFAULTS UPON SENIOR SECURITIES</w:t>
              </w:r>
            </w:hyperlink>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6. EXHIBITS</w:t>
              </w:r>
            </w:hyperlink>
          </w:p>
        </w:tc>
        <w:tc>
          <w:tcPr>
            <w:tcW w:w="776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882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3,665</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18,585</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14,611</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49"/>
        </w:trPr>
        <w:tc>
          <w:tcPr>
            <w:tcW w:w="8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4,112</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2,437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9,071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unitholders (717,371,576 and 722,380,416 units outstanding,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7,301</w:t>
            </w:r>
          </w:p>
        </w:tc>
      </w:tr>
      <w:tr>
        <w:trPr>
          <w:trHeight w:val="209"/>
        </w:trPr>
        <w:tc>
          <w:tcPr>
            <w:tcW w:w="8240" w:type="dxa"/>
            <w:vAlign w:val="bottom"/>
          </w:tcPr>
          <w:p>
            <w:pPr>
              <w:ind w:left="140"/>
              <w:spacing w:after="0"/>
              <w:rPr>
                <w:sz w:val="20"/>
                <w:szCs w:val="20"/>
                <w:color w:val="auto"/>
              </w:rPr>
            </w:pPr>
            <w:r>
              <w:rPr>
                <w:rFonts w:ascii="Arial" w:cs="Arial" w:eastAsia="Arial" w:hAnsi="Arial"/>
                <w:sz w:val="17"/>
                <w:szCs w:val="17"/>
                <w:color w:val="auto"/>
              </w:rPr>
              <w:t>Total partners’ capital excluding noncontrolling interests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9,593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9,893</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14,057</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Interest expense (net of capitalized interest of $5, $5, $10 and $11,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Net income/(loss) allocated to common unitholders — Basic and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1"/>
              </w:rPr>
              <w:t>(unaudited)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95"/>
              </w:rPr>
              <w:t>(657)</w:t>
            </w:r>
          </w:p>
        </w:tc>
        <w:tc>
          <w:tcPr>
            <w:tcW w:w="1080" w:type="dxa"/>
            <w:vAlign w:val="bottom"/>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95"/>
              </w:rPr>
              <w:t>(584)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period activity</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June 30, 2020</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income/(loss)</w:t>
            </w: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income/(loss) to net cash provided by operating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Goodwill impairment losses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 valuation adjustments</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Deferred income tax expense/(benefit)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(Gain)/loss on foreign currency revaluation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Settlement of terminated interest rate hedging instruments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Preferred Distribution Rate Reset Option (Note 8)</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Equity earnings in unconsolidated entities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on earnings from unconsolidated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(Gain on)/impairment of investments in unconsolidated entities, net</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1,026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paid in connection with acquisitions, net of cash acquired</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investing activities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repayments under commercial paper program (Note 6)</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repayments under senior secured hedged inventory facility (Note 6)</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the issuance of senior notes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of senior notes</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Repurchase of common units (Note 7)</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7)</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Series B preferred unitholders (Note 7)</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common unitholders (Note 7)</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activities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Effect of translation adjustment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 and restricted cash, end of period</w:t>
            </w:r>
          </w:p>
        </w:tc>
        <w:tc>
          <w:tcPr>
            <w:tcW w:w="920" w:type="dxa"/>
            <w:vAlign w:val="bottom"/>
            <w:tcBorders>
              <w:bottom w:val="single" w:sz="8" w:color="auto"/>
            </w:tcBorders>
            <w:shd w:val="clear" w:color="auto" w:fill="CCEEFF"/>
          </w:tcPr>
          <w:p>
            <w:pPr>
              <w:jc w:val="right"/>
              <w:ind w:right="737"/>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Cash paid for: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Income taxes, net of amounts refunded</w:t>
            </w: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3160" w:type="dxa"/>
            <w:vAlign w:val="bottom"/>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5"/>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(2,804)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(2,705)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5"/>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Note 11 for further discussion of our operating segments.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June 30, 2021, AAP also owned a limited partner interest in us through its ownership of approximately 245.0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2021, owned an approximate 79% limited partner interest in AAP. PAA GP Holdings LLC (“PAGP GP”) is the general partner of PAGP.</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and six months ended June 30, 2021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first quarter of 2021, we modified the useful lives of certain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and six months ended June 30, 2021, these reductions in useful lives increased depreciation expense by approximately $18 million and $36 million, respectively, which resulted in a decrease to both basic and diluted net income per common unit of approximately $0.02 for the three months ended June 30, 2021 and approximately $0.05 for the six months ended June 30, 2021 from what these amounts would have been absent the change in useful lives.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six months ended June 30, 2021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adopted the ASU listed below effective January 1, 2021 and our adoption did not have a material impact on our financial position, results of operations or cash flows (see Note 2 to our Consolidated Financial Statements included in Part IV of our 2020 Annual Report on Form 10-K for additional information regarding this ASU):</w:t>
      </w:r>
    </w:p>
    <w:p>
      <w:pPr>
        <w:spacing w:after="0" w:line="211" w:lineRule="exact"/>
        <w:rPr>
          <w:sz w:val="20"/>
          <w:szCs w:val="20"/>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2019-12, Income Taxes (Topic 740): Simplifying the Accounting for Income Taxes.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4"/>
          </w:tcPr>
          <w:p>
            <w:pPr>
              <w:jc w:val="center"/>
              <w:ind w:left="383"/>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2"/>
          </w:tcPr>
          <w:p>
            <w:pPr>
              <w:jc w:val="right"/>
              <w:ind w:right="60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9,619</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17,331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10,251</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7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9,904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10,806</w:t>
            </w:r>
          </w:p>
        </w:tc>
      </w:tr>
      <w:tr>
        <w:trPr>
          <w:trHeight w:val="21"/>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93"/>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4"/>
          </w:tcPr>
          <w:p>
            <w:pPr>
              <w:jc w:val="center"/>
              <w:ind w:left="403"/>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78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9"/>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0"/>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4"/>
          </w:tcPr>
          <w:p>
            <w:pPr>
              <w:jc w:val="center"/>
              <w:ind w:left="403"/>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780" w:type="dxa"/>
            <w:vAlign w:val="bottom"/>
            <w:gridSpan w:val="2"/>
          </w:tcPr>
          <w:p>
            <w:pPr>
              <w:jc w:val="right"/>
              <w:ind w:right="58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4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8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inventory exchanges, which were settled in the first quarter of 2021.</w:t>
      </w:r>
    </w:p>
    <w:p>
      <w:pPr>
        <w:spacing w:after="0" w:line="2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2021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7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93"/>
              </w:rPr>
              <w:t>3,177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2,317</w:t>
            </w: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20" w:type="dxa"/>
            <w:vAlign w:val="bottom"/>
          </w:tcPr>
          <w:p>
            <w:pPr>
              <w:jc w:val="center"/>
              <w:ind w:left="396"/>
              <w:spacing w:after="0"/>
              <w:rPr>
                <w:sz w:val="20"/>
                <w:szCs w:val="20"/>
                <w:color w:val="auto"/>
              </w:rPr>
            </w:pPr>
            <w:r>
              <w:rPr>
                <w:rFonts w:ascii="Arial" w:cs="Arial" w:eastAsia="Arial" w:hAnsi="Arial"/>
                <w:sz w:val="18"/>
                <w:szCs w:val="18"/>
                <w:color w:val="auto"/>
                <w:w w:val="93"/>
              </w:rPr>
              <w:t>4,807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8"/>
              </w:rPr>
              <w:t>2,818</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8"/>
                <w:szCs w:val="18"/>
                <w:color w:val="auto"/>
                <w:w w:val="91"/>
              </w:rPr>
              <w:t>(4,087)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(2,582)</w:t>
            </w:r>
          </w:p>
        </w:tc>
        <w:tc>
          <w:tcPr>
            <w:tcW w:w="0" w:type="dxa"/>
            <w:vAlign w:val="bottom"/>
          </w:tcPr>
          <w:p>
            <w:pPr>
              <w:spacing w:after="0"/>
              <w:rPr>
                <w:sz w:val="1"/>
                <w:szCs w:val="1"/>
                <w:color w:val="auto"/>
              </w:rPr>
            </w:pPr>
          </w:p>
        </w:tc>
      </w:tr>
      <w:tr>
        <w:trPr>
          <w:trHeight w:val="223"/>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w w:val="93"/>
              </w:rPr>
              <w:t>3,897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2,553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1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three and six months ended June 30, 2021 and 2020 as the effect was antidilutive for each period.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 For the three months ended June 30, 2020 and the six months ended June 30, 2021, equity-indexed compensation awards were dilutive; however, the approximately 0.1 million and 0.4 million awards, respectively, on a weighted-average basis, did not change the presentation of diluted weighted average common units outstanding or diluted net income per common unit for the period presented. For the three months ended June 30, 2021 and the six months ended June 30, 2020, approximately 0.7 million and 0.5 million equity-indexed compensation plan awards, respectively, on a weighted-average basis, were excluded from the computation of diluted net loss per common unit as the effect was antidilutive. See Note 18 to our Consolidated Financial Statements included in Part IV of our 2020 Annual Report on Form 10-K for a discussion of our equity-indexed compensation plan awards.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388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6"/>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(220)</w:t>
            </w:r>
          </w:p>
        </w:tc>
        <w:tc>
          <w:tcPr>
            <w:tcW w:w="12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40" w:type="dxa"/>
            <w:vAlign w:val="bottom"/>
            <w:gridSpan w:val="2"/>
          </w:tcPr>
          <w:p>
            <w:pPr>
              <w:ind w:left="18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(269)</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Basic and diluted weighted average common units outstanding</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7"/>
        </w:trPr>
        <w:tc>
          <w:tcPr>
            <w:tcW w:w="388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Basic and diluted net income/(loss) per common unit</w:t>
            </w: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(0.37)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1" w:lineRule="exact"/>
        <w:rPr>
          <w:sz w:val="20"/>
          <w:szCs w:val="20"/>
          <w:color w:val="auto"/>
        </w:rPr>
      </w:pPr>
    </w:p>
    <w:p>
      <w:pPr>
        <w:ind w:left="660" w:right="200" w:hanging="652"/>
        <w:spacing w:after="0" w:line="238"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Unit </w:t>
            </w:r>
            <w:r>
              <w:rPr>
                <w:rFonts w:ascii="Arial" w:cs="Arial" w:eastAsia="Arial" w:hAnsi="Arial"/>
                <w:sz w:val="9"/>
                <w:szCs w:val="9"/>
                <w:b w:val="1"/>
                <w:bCs w:val="1"/>
                <w:color w:val="auto"/>
                <w:w w:val="94"/>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9,674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3"/>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15,164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56.98</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08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2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 of June 30, 2021, $110 million of base gas was classified as held for sale on our Condensed Consolidated Balance Sheet (in “Other current assets”) related to the sale of our Pine Prairie and Southern Pines natural gas storage facilities, which closed on August 2, 2021. See Note 12 for additional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4" w:lineRule="exact"/>
        <w:rPr>
          <w:sz w:val="20"/>
          <w:szCs w:val="20"/>
          <w:color w:val="auto"/>
        </w:rPr>
      </w:pPr>
    </w:p>
    <w:p>
      <w:pPr>
        <w:ind w:left="8840"/>
        <w:spacing w:after="0"/>
        <w:tabs>
          <w:tab w:leader="none" w:pos="101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89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40"/>
          </w:cols>
          <w:pgMar w:left="320" w:top="125"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Commercial paper notes, bearing a weighted-average interest rate of 0.4% and 0.7%, respectively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Senior secured hedged inventory facility, bearing a weighted-average interest rate of 1.2%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3.65% senior notes due June 2022</w:t>
      </w:r>
    </w:p>
    <w:p>
      <w:pPr>
        <w:spacing w:after="0" w:line="23" w:lineRule="exact"/>
        <w:rPr>
          <w:sz w:val="20"/>
          <w:szCs w:val="20"/>
          <w:color w:val="auto"/>
        </w:rPr>
      </w:pPr>
    </w:p>
    <w:p>
      <w:pPr>
        <w:ind w:left="20" w:right="100"/>
        <w:spacing w:after="0" w:line="233" w:lineRule="auto"/>
        <w:rPr>
          <w:sz w:val="20"/>
          <w:szCs w:val="20"/>
          <w:color w:val="auto"/>
        </w:rPr>
      </w:pPr>
      <w:r>
        <w:rPr>
          <w:rFonts w:ascii="Arial" w:cs="Arial" w:eastAsia="Arial" w:hAnsi="Arial"/>
          <w:sz w:val="18"/>
          <w:szCs w:val="18"/>
          <w:color w:val="auto"/>
        </w:rPr>
        <w:t xml:space="preserve">GO Zone term loans, net of debt issuance costs of $1, bearing a weighted-average interest rate of 1.3%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062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notes, net of unamortized discounts and debt issuance costs of $57 and $62, respectively</w:t>
      </w:r>
    </w:p>
    <w:p>
      <w:pPr>
        <w:spacing w:after="0" w:line="34" w:lineRule="exact"/>
        <w:rPr>
          <w:sz w:val="20"/>
          <w:szCs w:val="20"/>
          <w:color w:val="auto"/>
        </w:rPr>
      </w:pPr>
    </w:p>
    <w:p>
      <w:pPr>
        <w:ind w:left="20" w:right="280"/>
        <w:spacing w:after="0" w:line="273" w:lineRule="auto"/>
        <w:rPr>
          <w:sz w:val="20"/>
          <w:szCs w:val="20"/>
          <w:color w:val="auto"/>
        </w:rPr>
      </w:pPr>
      <w:r>
        <w:rPr>
          <w:rFonts w:ascii="Arial" w:cs="Arial" w:eastAsia="Arial" w:hAnsi="Arial"/>
          <w:sz w:val="18"/>
          <w:szCs w:val="18"/>
          <w:color w:val="auto"/>
        </w:rPr>
        <w:t>GO Zone term loans, net of debt issuance costs of $1, bearing a weighted-average interest rate of 1.3%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4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58"/>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4"/>
        </w:trPr>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673"/>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9,071</w:t>
            </w:r>
          </w:p>
        </w:tc>
      </w:tr>
      <w:tr>
        <w:trPr>
          <w:trHeight w:val="229"/>
        </w:trPr>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700" w:space="720"/>
            <w:col w:w="2820"/>
          </w:cols>
          <w:pgMar w:left="320" w:top="125"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80" w:hanging="11"/>
        <w:spacing w:after="0" w:line="311" w:lineRule="auto"/>
        <w:rPr>
          <w:sz w:val="20"/>
          <w:szCs w:val="20"/>
          <w:color w:val="auto"/>
        </w:rPr>
      </w:pPr>
      <w:r>
        <w:rPr>
          <w:rFonts w:ascii="Arial" w:cs="Arial" w:eastAsia="Arial" w:hAnsi="Arial"/>
          <w:sz w:val="16"/>
          <w:szCs w:val="16"/>
          <w:color w:val="auto"/>
        </w:rPr>
        <w:t>We classified these commercial paper notes as short-term as of June 30, 2021 and December 31, 2020, respectively, and these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1" w:lineRule="exact"/>
        <w:rPr>
          <w:sz w:val="20"/>
          <w:szCs w:val="20"/>
          <w:color w:val="auto"/>
        </w:rPr>
      </w:pPr>
    </w:p>
    <w:p>
      <w:pPr>
        <w:ind w:right="320" w:hanging="11"/>
        <w:spacing w:after="0" w:line="342" w:lineRule="auto"/>
        <w:rPr>
          <w:sz w:val="20"/>
          <w:szCs w:val="20"/>
          <w:color w:val="auto"/>
        </w:rPr>
      </w:pPr>
      <w:r>
        <w:rPr>
          <w:rFonts w:ascii="Arial" w:cs="Arial" w:eastAsia="Arial" w:hAnsi="Arial"/>
          <w:sz w:val="16"/>
          <w:szCs w:val="16"/>
          <w:color w:val="auto"/>
        </w:rPr>
        <w:t>The GO Zone term loans were initially assumed by one of our subsidiaries in connection with the acquisition of the Southern Pines natural gas storage facility. In connection with the sale of that facility, the loans were repaid on August 2, 2021. See Note 12 for additional information.</w:t>
      </w:r>
    </w:p>
    <w:p>
      <w:pPr>
        <w:spacing w:after="0" w:line="16" w:lineRule="exact"/>
        <w:rPr>
          <w:sz w:val="20"/>
          <w:szCs w:val="20"/>
          <w:color w:val="auto"/>
        </w:rPr>
      </w:pPr>
    </w:p>
    <w:p>
      <w:pPr>
        <w:ind w:hanging="11"/>
        <w:spacing w:after="0" w:line="272" w:lineRule="auto"/>
        <w:rPr>
          <w:sz w:val="20"/>
          <w:szCs w:val="20"/>
          <w:color w:val="auto"/>
        </w:rPr>
      </w:pPr>
      <w:r>
        <w:rPr>
          <w:rFonts w:ascii="Arial" w:cs="Arial" w:eastAsia="Arial" w:hAnsi="Arial"/>
          <w:sz w:val="17"/>
          <w:szCs w:val="17"/>
          <w:color w:val="auto"/>
        </w:rPr>
        <w:t>Our fixed-rate senior notes had a face value of approximately $9.1 billion at both June 30, 2021 and December 31, 2020. We estimated the aggregate fair value of these notes as of June 30, 2021 and December 31, 2020 to be approximately $10.0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Total borrowings under our credit facilities and commercial paper program for the six months ended June 30, 2021 and 2020 were approximately $26.1 billion and $12.6 billion, respectively. Total repayments under our credit facilities and commercial paper program were approximately $26.4 billion and $13.0 billion for the six months ended June 30,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2021 and December 31, 2020, we had outstanding letters of credit of $81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4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722,380,416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2"/>
            <w:vMerge w:val="restart"/>
          </w:tcPr>
          <w:p>
            <w:pPr>
              <w:ind w:left="140"/>
              <w:spacing w:after="0" w:line="163"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vMerge w:val="continue"/>
          </w:tcPr>
          <w:p>
            <w:pPr>
              <w:spacing w:after="0"/>
              <w:rPr>
                <w:sz w:val="10"/>
                <w:szCs w:val="10"/>
                <w:color w:val="auto"/>
              </w:rPr>
            </w:pPr>
          </w:p>
        </w:tc>
        <w:tc>
          <w:tcPr>
            <w:tcW w:w="63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0"/>
                <w:szCs w:val="10"/>
                <w:color w:val="auto"/>
              </w:rPr>
            </w:pP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gridSpan w:val="2"/>
          </w:tcPr>
          <w:p>
            <w:pPr>
              <w:ind w:left="320"/>
              <w:spacing w:after="0" w:line="230" w:lineRule="exact"/>
              <w:rPr>
                <w:sz w:val="20"/>
                <w:szCs w:val="20"/>
                <w:color w:val="auto"/>
              </w:rPr>
            </w:pPr>
            <w:r>
              <w:rPr>
                <w:rFonts w:ascii="Arial" w:cs="Arial" w:eastAsia="Arial" w:hAnsi="Arial"/>
                <w:sz w:val="18"/>
                <w:szCs w:val="18"/>
                <w:color w:val="auto"/>
              </w:rPr>
              <w:t xml:space="preserve">Program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722,055,847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63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4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(4,940,592)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Program</w:t>
            </w:r>
          </w:p>
        </w:tc>
        <w:tc>
          <w:tcPr>
            <w:tcW w:w="4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3"/>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256,321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717,371,576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Series A</w:t>
            </w:r>
          </w:p>
        </w:tc>
        <w:tc>
          <w:tcPr>
            <w:tcW w:w="4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6360" w:type="dxa"/>
            <w:vAlign w:val="bottom"/>
            <w:tcBorders>
              <w:top w:val="single" w:sz="8" w:color="CCEEFF"/>
              <w:bottom w:val="single" w:sz="8" w:color="CCEEFF"/>
            </w:tcBorders>
            <w:gridSpan w:val="2"/>
            <w:shd w:val="clear" w:color="auto" w:fill="CCEEFF"/>
          </w:tcPr>
          <w:p>
            <w:pPr>
              <w:ind w:left="40"/>
              <w:spacing w:after="0" w:line="197" w:lineRule="exact"/>
              <w:rPr>
                <w:sz w:val="20"/>
                <w:szCs w:val="20"/>
                <w:color w:val="auto"/>
              </w:rPr>
            </w:pPr>
            <w:r>
              <w:rPr>
                <w:rFonts w:ascii="Arial" w:cs="Arial" w:eastAsia="Arial" w:hAnsi="Arial"/>
                <w:sz w:val="18"/>
                <w:szCs w:val="18"/>
                <w:color w:val="auto"/>
              </w:rPr>
              <w:t>Outstanding at December 31, 2019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800,000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728,028,576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360" w:type="dxa"/>
            <w:vAlign w:val="bottom"/>
            <w:tcBorders>
              <w:top w:val="single" w:sz="8" w:color="CCEEFF"/>
              <w:bottom w:val="single" w:sz="8" w:color="CCEEFF"/>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24,431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728,053,007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4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728,100,398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40" w:right="3800" w:hanging="5532"/>
        <w:spacing w:after="0" w:line="899" w:lineRule="auto"/>
        <w:tabs>
          <w:tab w:leader="none" w:pos="65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Trades for these units were executed in late December 2020, but settled in early January 2021.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We repurchased 5,290,592 common units under our Common Equity Repurchase Program (the “Program”) through open market purchases that settled during the six months ended June 30, 2021. The total purchase price of these repurchases was $53 million, including commissions and fees. The repurchased common units were canceled immediately upon acquisition, as were the PAGP Class C shares held by us associated with the repurchased common units. At June 30, 2021, the remaining available capacity under the Program was $397 million. See Note 12 to our Consolidated Financial Statements included in Part IV of our 2020 Annual Report on Form 10-K for additional information regarding the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6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176"/>
        </w:trPr>
        <w:tc>
          <w:tcPr>
            <w:tcW w:w="388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340" w:hanging="652"/>
        <w:spacing w:after="0" w:line="267"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30, 2021 for the period from April 1, 2021 through June 30, 2021. At June 30, 2021, such amount was accrued as distributions payable in “Other current liabilities” on our Condensed Consolidated Balance Sheet.</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paid to our Series B preferred unitholders (in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17, 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200" w:lineRule="exact"/>
        <w:rPr>
          <w:sz w:val="20"/>
          <w:szCs w:val="20"/>
          <w:color w:val="auto"/>
        </w:rPr>
      </w:pPr>
    </w:p>
    <w:p>
      <w:pPr>
        <w:spacing w:after="0" w:line="23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2021, approximately $6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Common Unitholders</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Cash Distribution per</w:t>
            </w:r>
          </w:p>
        </w:tc>
      </w:tr>
      <w:tr>
        <w:trPr>
          <w:trHeight w:val="201"/>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60" w:type="dxa"/>
            <w:vAlign w:val="bottom"/>
          </w:tcPr>
          <w:p>
            <w:pPr>
              <w:jc w:val="right"/>
              <w:ind w:right="97"/>
              <w:spacing w:after="0"/>
              <w:rPr>
                <w:sz w:val="20"/>
                <w:szCs w:val="20"/>
                <w:color w:val="auto"/>
              </w:rPr>
            </w:pPr>
            <w:r>
              <w:rPr>
                <w:rFonts w:ascii="Arial" w:cs="Arial" w:eastAsia="Arial" w:hAnsi="Arial"/>
                <w:sz w:val="14"/>
                <w:szCs w:val="14"/>
                <w:b w:val="1"/>
                <w:bCs w:val="1"/>
                <w:color w:val="auto"/>
              </w:rPr>
              <w:t>Public</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00" w:type="dxa"/>
            <w:vAlign w:val="bottom"/>
          </w:tcPr>
          <w:p>
            <w:pPr>
              <w:spacing w:after="0"/>
              <w:rPr>
                <w:sz w:val="17"/>
                <w:szCs w:val="17"/>
                <w:color w:val="auto"/>
              </w:rPr>
            </w:pPr>
          </w:p>
        </w:tc>
        <w:tc>
          <w:tcPr>
            <w:tcW w:w="1460" w:type="dxa"/>
            <w:vAlign w:val="bottom"/>
          </w:tcPr>
          <w:p>
            <w:pPr>
              <w:jc w:val="right"/>
              <w:ind w:right="257"/>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40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1160" w:type="dxa"/>
            <w:vAlign w:val="bottom"/>
          </w:tcPr>
          <w:p>
            <w:pPr>
              <w:jc w:val="right"/>
              <w:ind w:right="95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40" w:type="dxa"/>
            <w:vAlign w:val="bottom"/>
          </w:tcPr>
          <w:p>
            <w:pPr>
              <w:jc w:val="right"/>
              <w:ind w:right="105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60" w:type="dxa"/>
            <w:vAlign w:val="bottom"/>
          </w:tcPr>
          <w:p>
            <w:pPr>
              <w:jc w:val="right"/>
              <w:ind w:right="47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116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175"/>
        </w:trPr>
        <w:tc>
          <w:tcPr>
            <w:tcW w:w="38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30, 2021 for the period from April 1, 2021 through June 30, 2021.</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2021, we paid distributions of $6 million to noncontrolling interests in Red River Pipeline Company LLC.</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80" w:firstLine="607"/>
        <w:spacing w:after="0" w:line="311" w:lineRule="auto"/>
        <w:rPr>
          <w:sz w:val="20"/>
          <w:szCs w:val="20"/>
          <w:color w:val="auto"/>
        </w:rPr>
      </w:pPr>
      <w:r>
        <w:rPr>
          <w:rFonts w:ascii="Arial" w:cs="Arial" w:eastAsia="Arial" w:hAnsi="Arial"/>
          <w:sz w:val="16"/>
          <w:szCs w:val="16"/>
          <w:color w:val="auto"/>
        </w:rPr>
        <w:t>At June 30,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2021, net derivative positions related to these activities included:</w:t>
      </w:r>
    </w:p>
    <w:p>
      <w:pPr>
        <w:spacing w:after="0" w:line="146" w:lineRule="exact"/>
        <w:rPr>
          <w:sz w:val="20"/>
          <w:szCs w:val="20"/>
          <w:color w:val="auto"/>
        </w:rPr>
      </w:pPr>
    </w:p>
    <w:p>
      <w:pPr>
        <w:ind w:left="980" w:right="40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1.6 million barrels associated with our crude oil purchases, which was unwound ratably during July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8.4 million barrels, which hedges a portion of our anticipated crude oil lease gathering purchases through September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ind w:left="980" w:right="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crude oil basis spread position of 8.6 million barrels at multiple locations through December 2022.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net short position of 16.2 million barrels through December 2022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51.9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(9.0)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(2.6)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(0.8)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30"/>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10.3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0.7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A summary of the impact of our commodity derivatives recognized in earnings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4"/>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1"/>
                <w:szCs w:val="11"/>
                <w:color w:val="auto"/>
              </w:rPr>
            </w:pPr>
          </w:p>
        </w:tc>
        <w:tc>
          <w:tcPr>
            <w:tcW w:w="10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40" w:type="dxa"/>
            <w:vAlign w:val="bottom"/>
          </w:tcPr>
          <w:p>
            <w:pPr>
              <w:spacing w:after="0"/>
              <w:rPr>
                <w:sz w:val="8"/>
                <w:szCs w:val="8"/>
                <w:color w:val="auto"/>
              </w:rPr>
            </w:pPr>
          </w:p>
        </w:tc>
        <w:tc>
          <w:tcPr>
            <w:tcW w:w="106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Netting</w:t>
            </w:r>
          </w:p>
        </w:tc>
        <w:tc>
          <w:tcPr>
            <w:tcW w:w="14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2021 (notional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60" w:type="dxa"/>
            <w:vAlign w:val="bottom"/>
            <w:gridSpan w:val="2"/>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June 30, 2021, there was a net loss of $223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June 30, 2021; thus, actual amounts to be reclassified will differ and could vary materially as a result of changes in market conditions.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8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3"/>
              </w:rPr>
              <w:t>Six Months Ended</w:t>
            </w:r>
          </w:p>
        </w:tc>
        <w:tc>
          <w:tcPr>
            <w:tcW w:w="400" w:type="dxa"/>
            <w:vAlign w:val="bottom"/>
          </w:tcPr>
          <w:p>
            <w:pPr>
              <w:spacing w:after="0"/>
              <w:rPr>
                <w:sz w:val="14"/>
                <w:szCs w:val="14"/>
                <w:color w:val="auto"/>
              </w:rPr>
            </w:pPr>
          </w:p>
        </w:tc>
      </w:tr>
      <w:tr>
        <w:trPr>
          <w:trHeight w:val="188"/>
        </w:trPr>
        <w:tc>
          <w:tcPr>
            <w:tcW w:w="5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32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June 30, 2021, the net fair value of our interest rate hedges, which were included in “Other long-term assets, net” on our Condensed Consolidated Balance Sheet, totaled $75 million. At December 31, 2020, the net fair value of these hedges totaled $46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$1.23</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These derivatives are not designated in a hedging relationship for accounting purposes. As such, changes in fair value are recognized in earnings as a component of Supply and Logistics segment revenues. For the three months ended June 30, 2021 and 2020, the amounts recognized in earnings for our currency exchange rate hedges were gains of $2 million in each respective period. For the six months ended June 30, 2021 and 2020, the amounts recognized in earnings for our currency exchange rate hedges were a gain of $3 million and a loss of $4 million, respectively.</w:t>
      </w:r>
    </w:p>
    <w:p>
      <w:pPr>
        <w:spacing w:after="0" w:line="198"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At June 30, 2021, the net fair value of these currency exchange rate hedges, which was included in “Other current assets” on our Condensed Consolidated Balance Sheet, totaled less than $1 million. At December 31, 2020, the net fair value of these currency exchange rate hedges, which was included in “Other current assets” on our Condensed Consolidated Balance Sheet, totaled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June 30, 2021 and 2020, we recognized a gain of $77 million and a loss of $9 million, respectively. For the six months ended June 30, 2021 and 2020, we recognized net gains of $9 million and $17 million, respectively. The fair value of the Preferred Distribution Rate Reset Option, which was included in “Other long-term liabilities and deferred credits” on our Condensed Consolidated Balance Sheets, totaled $5 million and $14 million at June 30, 2021 and December 31, 2020, respectively. See Note 12 to our Consolidated Financial Statements included in Part IV of our 2020 Annual Report on Form 10-K for additional information regarding our Series A preferred units and the Preferred Distribution Rate Reset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5"/>
              </w:rPr>
              <w:t>Fair Value as of December 31,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5" w:lineRule="exact"/>
        <w:rPr>
          <w:sz w:val="20"/>
          <w:szCs w:val="20"/>
          <w:color w:val="auto"/>
        </w:rPr>
      </w:pPr>
    </w:p>
    <w:p>
      <w:pPr>
        <w:jc w:val="both"/>
        <w:ind w:left="660" w:right="360"/>
        <w:spacing w:after="0" w:line="301"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 in unrealized losses included in earnings relating to Level 3 derivatives</w:t>
            </w:r>
          </w:p>
        </w:tc>
        <w:tc>
          <w:tcPr>
            <w:tcW w:w="840" w:type="dxa"/>
            <w:vAlign w:val="bottom"/>
            <w:vMerge w:val="restart"/>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still held at the end of the period</w:t>
            </w:r>
          </w:p>
        </w:tc>
        <w:tc>
          <w:tcPr>
            <w:tcW w:w="84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three and six months ended June 30,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224"/>
        </w:trPr>
        <w:tc>
          <w:tcPr>
            <w:tcW w:w="572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6"/>
        </w:trPr>
        <w:tc>
          <w:tcPr>
            <w:tcW w:w="38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162"/>
        </w:trPr>
        <w:tc>
          <w:tcPr>
            <w:tcW w:w="3880" w:type="dxa"/>
            <w:vAlign w:val="bottom"/>
            <w:tcBorders>
              <w:bottom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34"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176"/>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At June 30, 2021, our estimated undiscounted reserve for environmental liabilities (including liabilities related to the Line 901 incident, as discussed further below) totaled $159 million, of which $112 million was classified as short-term and $47 million was classified as long-term. At December 31, 2020, our estimated undiscounted reserve for environmental liabilities (including liabilities related to the Line 901 incident) totaled $141 million, of which $94 million was classified as short-term and $47 million was classified as long-term. Such short-term liabilities are reflected in “Trade accounts payable” and “Other current liabilities” and long-term liabilities are reflected in “Other long-term liabilities and deferred credits” on our Condensed Consolidated Balance Sheets. At June 30, 2021, we had recorded receivables totaling $114 million for amounts probable of recovery under insurance and from third parties under indemnification agreements, of which $113 million was classified as short-term and $1 million was classified as long-term. At December 31, 2020, we had recorded $97 million of such receivables, of which $96 million was classified as short-term and $1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in 2021 on the issue of whether there were any “direct victims” of the spill that are entitled to restitution under applicable law. The Superior Court is currently in the process of conducting such hearings pursuant to a schedule that provides for various potential “direct victims” to present their claims to the Court on designated dates over the course of a several month period.</w:t>
      </w:r>
    </w:p>
    <w:p>
      <w:pPr>
        <w:spacing w:after="0" w:line="1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the Partnership against PAGP and certain of the Partnership’s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June 30, 2021, we estimate that the aggregate total costs we have incurred or will incur with respect to the Line 901 incident will be approximately $485 million, which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June 30, 2021, we had a remaining undiscounted gross liability of $104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2021, we had collected, subject to customary reservations, $250 million out of the approximate $360 million of release costs that we believe are probable of recovery from insurance carriers, net of deductibles. Therefore, as of June 30,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76"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60" w:hanging="652"/>
        <w:spacing w:after="0" w:line="269" w:lineRule="auto"/>
        <w:tabs>
          <w:tab w:leader="none" w:pos="6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6"/>
        </w:trPr>
        <w:tc>
          <w:tcPr>
            <w:tcW w:w="584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(163)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(8)</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(196)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Goodwill impairment losses</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Income/(loss) before tax</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(226)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60" w:hanging="11"/>
        <w:spacing w:after="0" w:line="286" w:lineRule="auto"/>
        <w:rPr>
          <w:sz w:val="20"/>
          <w:szCs w:val="20"/>
          <w:color w:val="auto"/>
        </w:rPr>
      </w:pPr>
      <w:r>
        <w:rPr>
          <w:rFonts w:ascii="Arial" w:cs="Arial" w:eastAsia="Arial" w:hAnsi="Arial"/>
          <w:sz w:val="17"/>
          <w:szCs w:val="17"/>
          <w:color w:val="auto"/>
        </w:rPr>
        <w:t>Includes expenses associated with the Permian Basin joint venture transaction announced in July 2021 and the acquisition of Felix Midstream LLC in 2020. See Note 12 for further discussion of the joint venture transaction and Note 7 to our Consolidated Financial Statements included in Part IV of our 2020 Annual Report on Form 10-K for additional discussion of the Felix Midstream LLC acquisition.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Acquisitions,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2021, we closed on an asset exchange agreement (the “Asset Exchange”) with Inter Pipeline Ltd., through which we acquired additional interests in two straddle plants included in our Facilities segment that we currently operate, in exchange for a pipeline and related storage and truck offload facilities previously included in our Transportation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Condensed Consolidated Statement of Operations, based on the difference between the fair value of the divested assets and their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June 2021, we signed a definitive agreement to sell our Pine Prairie and Southern Pines natural gas storage facilities included in our Facilities segment for $850 million, subject to certain adjustments. As of June 30, 2021, we classified the assets related to this transaction (primarily “Property and equipment”), valued at the lower of the carrying amount or fair value less costs to sell, of approximately $832 million as assets held for sale on our Condensed Consolidated Balance Sheet (in “Other current assets”) with approximately $18 million of deferred losses on hedges remaining in other comprehensive income on our Condensed Consolidated Balance Sheet (in “Total partners’ capital excluding noncontrolling interests”). This transaction closed on August 2, 2021.</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this classification to assets held for sale, we recognized a corresponding non-cash impairment loss of approximately $475 million during the second quarter of 2021. This impairment loss is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2021, we entered into a definitive agreement with Oryx Midstream Holdings LLC (“Oryx Midstream”) pursuant to which we and Oryx Midstream intend to merge, in a cashless, debt-free transaction, our respective Permian Basin assets, operations and commercial activities into a newly formed joint venture, Plains Oryx Permian Basin LLC (“Plains Oryx Permian Basin”). The transaction will include all of Oryx’s Permian Basin assets and, with the exception of our long-haul pipeline systems and certain of our intra-basin terminal assets, the vast majority of our assets located within the Permian Basin. We will own 65% of Plains Oryx Permian Basin, operate the combined assets, and consolidate the financial results of the joint venture into our financial statements. Subject to satisfaction of customary and other closing conditions and receipt of regulatory approvals, the transactions contemplated by the merger agreement are expected to close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“—Results of Operations—Analysis of Operating Segments”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six months of 2021, we recognized net income of $207 million as compared to a net loss of $2.701 billion recognized during the first six months of 2020.</w:t>
      </w:r>
    </w:p>
    <w:p>
      <w:pPr>
        <w:spacing w:after="0" w:line="19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net loss for the 2020 period was primarily driven by goodwill impairment losses and non-cash impairment charges related to the write-down of certain pipeline and other long-lived assets, certain of our investments in unconsolidated entities, and assets upon classification as held for sale totaling approximately $3.24 billion. In addition, we recognized approximately $232 million of inventory valuation adjustments due to declines in commodity prices during the first quarter of 2020. The comparable six month 2021 period includes a net loss on asset sales and asset impairments of $370 million.</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Results from our reporting segments during the first six months of 2021 decreased from the comparable 2020 period driven primarily by the impact of less favorable crude oil market conditions combined with lower realized NGL margins in our Supply and Logistics segment. In addition, our Facilities segment was unfavorably impacted by reduced NGL capacity utilization and market rates as well as the impact of asset sales. These unfavorable results were partially offset by favorable Transportation segment results that benefited from the collection of deficiency payments associated with minimum volume commitments and lower operating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invested $142 million in midstream infrastructure projects during the six months ended June 30, 2021, which primarily related to projects under development in the Permian Basin.</w:t>
      </w:r>
    </w:p>
    <w:p>
      <w:pPr>
        <w:spacing w:after="0" w:line="19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paid cash distributions of approximately $260 million to our common unitholders, approximately $74 million to our Series A preferred unitholders and $25 million to our Series B preferred unitholders during the six months ended June 30, 2021.</w:t>
      </w:r>
    </w:p>
    <w:p>
      <w:pPr>
        <w:spacing w:after="0" w:line="19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repurchased 5,290,592 common units for $53 million during the six months ended June 30, 2021, including $3 million associated with repurchases executed in December 2020 that settled in January 2021. See “—Liquidity and Capital Resources—Financing Activities—Common Equity Repurchase Program”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July 2021, we entered into a definitive agreement with Oryx Midstream pursuant to which we and Oryx Midstream intend to merge our respective Permian Basin assets, operations and commercial activities into a newly formed strategic joint venture, Plains Oryx Permian Basin. The transaction will include all of Oryx’s Permian Basin assets and, with the exception of our long-haul pipeline systems and certain of our intra-basin terminal assets, the vast majority of our assets located within the Permian Basin. We will own 65% of Plains Oryx Permian Basin, operate the combined assets, and consolidate the financial results of the joint venture into our financial statements. Structured as a debt-free joint venture entity through a cashless transaction, this aligns with our financial and portfolio optimization strategies, is near-term free cash flow accretive, and reinforces our ability to maximize free cash flow for our investors, while enhancing our overall credit profile. Subject to satisfaction of customary and other closing conditions and receipt of regulatory approvals, the transactions contemplated by the merger agreement are expected to close in the fourth quarter of 2021.</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August 2, 2021, we completed the sale of our Pine Prairie and Southern Pines natural gas storage facilities for $850 million, subject to certain adjustments. See Note 12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w w:val="93"/>
              </w:rPr>
              <w:t xml:space="preserve">Transportation Segment Adjusted EBITDA </w:t>
            </w:r>
            <w:r>
              <w:rPr>
                <w:rFonts w:ascii="Arial" w:cs="Arial" w:eastAsia="Arial" w:hAnsi="Arial"/>
                <w:sz w:val="23"/>
                <w:szCs w:val="23"/>
                <w:color w:val="auto"/>
                <w:w w:val="93"/>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180"/>
              <w:spacing w:after="0" w:line="17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common unit</w:t>
            </w: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Basic and diluted weighted average common</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outstanding</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280" w:hanging="652"/>
        <w:spacing w:after="0" w:line="260" w:lineRule="auto"/>
        <w:tabs>
          <w:tab w:leader="none" w:pos="64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primary additional measures used by management are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Resources—Liquidity Measures” for additional information regarding Free Cash Flow and Free Cash Flow after Distributions.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ind w:right="220" w:firstLine="8"/>
        <w:spacing w:after="0" w:line="286"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and Implied DCF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5"/>
        </w:trPr>
        <w:tc>
          <w:tcPr>
            <w:tcW w:w="3560" w:type="dxa"/>
            <w:vAlign w:val="bottom"/>
          </w:tcPr>
          <w:p>
            <w:pPr>
              <w:ind w:left="18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impairments,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unconsolidated entities, net</w:t>
            </w:r>
          </w:p>
        </w:tc>
        <w:tc>
          <w:tcPr>
            <w:tcW w:w="1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(Gains)/losses from derivative activities and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w w:val="98"/>
              </w:rPr>
              <w:t>Long-term inventory costing adjustments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gain on foreign currency revaluation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w w:val="99"/>
              </w:rPr>
              <w:t>Significant transaction-related expenses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line="230" w:lineRule="exact"/>
              <w:rPr>
                <w:sz w:val="20"/>
                <w:szCs w:val="20"/>
                <w:color w:val="auto"/>
              </w:rPr>
            </w:pPr>
            <w:r>
              <w:rPr>
                <w:rFonts w:ascii="Arial" w:cs="Arial" w:eastAsia="Arial" w:hAnsi="Arial"/>
                <w:sz w:val="18"/>
                <w:szCs w:val="18"/>
                <w:color w:val="auto"/>
                <w:w w:val="94"/>
              </w:rPr>
              <w:t xml:space="preserve">(Gains)/losses from derivative activities </w:t>
            </w:r>
            <w:r>
              <w:rPr>
                <w:rFonts w:ascii="Arial" w:cs="Arial" w:eastAsia="Arial" w:hAnsi="Arial"/>
                <w:sz w:val="23"/>
                <w:szCs w:val="23"/>
                <w:color w:val="auto"/>
                <w:w w:val="94"/>
                <w:vertAlign w:val="superscript"/>
              </w:rPr>
              <w:t>(3)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360"/>
              <w:spacing w:after="0" w:line="176" w:lineRule="exact"/>
              <w:rPr>
                <w:sz w:val="20"/>
                <w:szCs w:val="20"/>
                <w:color w:val="auto"/>
              </w:rPr>
            </w:pPr>
            <w:r>
              <w:rPr>
                <w:rFonts w:ascii="Arial" w:cs="Arial" w:eastAsia="Arial" w:hAnsi="Arial"/>
                <w:sz w:val="18"/>
                <w:szCs w:val="18"/>
                <w:color w:val="auto"/>
                <w:w w:val="91"/>
              </w:rPr>
              <w:t>Net gain on early repayment of senior notes</w:t>
            </w:r>
          </w:p>
        </w:tc>
        <w:tc>
          <w:tcPr>
            <w:tcW w:w="16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560" w:type="dxa"/>
            <w:vAlign w:val="bottom"/>
          </w:tcPr>
          <w:p>
            <w:pPr>
              <w:ind w:left="52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580" w:type="dxa"/>
            <w:vAlign w:val="bottom"/>
          </w:tcPr>
          <w:p>
            <w:pPr>
              <w:ind w:left="180"/>
              <w:spacing w:after="0" w:line="176" w:lineRule="exact"/>
              <w:rPr>
                <w:sz w:val="20"/>
                <w:szCs w:val="20"/>
                <w:color w:val="auto"/>
              </w:rPr>
            </w:pPr>
            <w:r>
              <w:rPr>
                <w:rFonts w:ascii="Arial" w:cs="Arial" w:eastAsia="Arial" w:hAnsi="Arial"/>
                <w:sz w:val="18"/>
                <w:szCs w:val="18"/>
                <w:color w:val="auto"/>
                <w:w w:val="90"/>
              </w:rPr>
              <w:t>Interest expense, net of certain non-cash items</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62"/>
        </w:trPr>
        <w:tc>
          <w:tcPr>
            <w:tcW w:w="3580" w:type="dxa"/>
            <w:vAlign w:val="bottom"/>
          </w:tcPr>
          <w:p>
            <w:pPr>
              <w:ind w:left="360"/>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Distributions from unconsolidated entities in</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excess of/(less than) adjusted equity</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(9)</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line="230" w:lineRule="exact"/>
              <w:rPr>
                <w:sz w:val="20"/>
                <w:szCs w:val="20"/>
                <w:color w:val="auto"/>
              </w:rPr>
            </w:pPr>
            <w:r>
              <w:rPr>
                <w:rFonts w:ascii="Arial" w:cs="Arial" w:eastAsia="Arial" w:hAnsi="Arial"/>
                <w:sz w:val="18"/>
                <w:szCs w:val="18"/>
                <w:color w:val="auto"/>
                <w:w w:val="98"/>
              </w:rPr>
              <w:t xml:space="preserve">Distributions to noncontrolling interests </w:t>
            </w:r>
            <w:r>
              <w:rPr>
                <w:rFonts w:ascii="Arial" w:cs="Arial" w:eastAsia="Arial" w:hAnsi="Arial"/>
                <w:sz w:val="23"/>
                <w:szCs w:val="23"/>
                <w:color w:val="auto"/>
                <w:w w:val="98"/>
                <w:vertAlign w:val="superscript"/>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(10)</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Implied DCF Available to Common Unitholders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2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94" w:lineRule="exact"/>
        <w:rPr>
          <w:rFonts w:ascii="Arial" w:cs="Arial" w:eastAsia="Arial" w:hAnsi="Arial"/>
          <w:sz w:val="23"/>
          <w:szCs w:val="23"/>
          <w:color w:val="auto"/>
          <w:vertAlign w:val="superscript"/>
        </w:rPr>
      </w:pPr>
    </w:p>
    <w:p>
      <w:pPr>
        <w:ind w:left="660" w:right="40" w:hanging="652"/>
        <w:spacing w:after="0" w:line="238"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 w:right="280" w:hanging="11"/>
        <w:spacing w:after="0" w:line="259"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w:t>
      </w:r>
    </w:p>
    <w:p>
      <w:pPr>
        <w:spacing w:after="0" w:line="117" w:lineRule="exact"/>
        <w:rPr>
          <w:sz w:val="20"/>
          <w:szCs w:val="20"/>
          <w:color w:val="auto"/>
        </w:rPr>
      </w:pPr>
    </w:p>
    <w:p>
      <w:pPr>
        <w:ind w:left="20" w:right="48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2"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860" w:hanging="652"/>
        <w:spacing w:after="0" w:line="234"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0"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82" w:lineRule="exact"/>
        <w:rPr>
          <w:rFonts w:ascii="Arial" w:cs="Arial" w:eastAsia="Arial" w:hAnsi="Arial"/>
          <w:sz w:val="23"/>
          <w:szCs w:val="23"/>
          <w:color w:val="auto"/>
          <w:vertAlign w:val="superscript"/>
        </w:rPr>
      </w:pPr>
    </w:p>
    <w:p>
      <w:pPr>
        <w:ind w:left="640" w:hanging="632"/>
        <w:spacing w:after="0" w:line="219" w:lineRule="auto"/>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(including write-downs related to cancelled projects)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PAA.</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1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5"/>
          </w:tcPr>
          <w:p>
            <w:pPr>
              <w:jc w:val="center"/>
              <w:ind w:left="18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Pr>
          <w:p>
            <w:pPr>
              <w:spacing w:after="0"/>
              <w:rPr>
                <w:sz w:val="15"/>
                <w:szCs w:val="15"/>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60" w:type="dxa"/>
            <w:vAlign w:val="bottom"/>
          </w:tcPr>
          <w:p>
            <w:pPr>
              <w:spacing w:after="0"/>
              <w:rPr>
                <w:sz w:val="15"/>
                <w:szCs w:val="15"/>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2"/>
        </w:trPr>
        <w:tc>
          <w:tcPr>
            <w:tcW w:w="3420" w:type="dxa"/>
            <w:vAlign w:val="bottom"/>
          </w:tcPr>
          <w:p>
            <w:pPr>
              <w:ind w:left="18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Losses from derivative activities and</w:t>
            </w:r>
          </w:p>
        </w:tc>
        <w:tc>
          <w:tcPr>
            <w:tcW w:w="16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4"/>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24"/>
                <w:szCs w:val="24"/>
                <w:color w:val="auto"/>
              </w:rPr>
            </w:pPr>
          </w:p>
        </w:tc>
        <w:tc>
          <w:tcPr>
            <w:tcW w:w="16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14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2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tcPr>
          <w:p>
            <w:pPr>
              <w:ind w:left="180"/>
              <w:spacing w:after="0"/>
              <w:rPr>
                <w:sz w:val="20"/>
                <w:szCs w:val="20"/>
                <w:color w:val="auto"/>
              </w:rPr>
            </w:pPr>
            <w:r>
              <w:rPr>
                <w:rFonts w:ascii="Arial" w:cs="Arial" w:eastAsia="Arial" w:hAnsi="Arial"/>
                <w:sz w:val="18"/>
                <w:szCs w:val="18"/>
                <w:color w:val="auto"/>
              </w:rPr>
              <w:t>Crude oil pipelines (by region):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Gulf Coast</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Western</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Crude oil pipelines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Transportation segment total volumes</w:t>
            </w:r>
          </w:p>
        </w:tc>
        <w:tc>
          <w:tcPr>
            <w:tcW w:w="160" w:type="dxa"/>
            <w:vAlign w:val="bottom"/>
          </w:tcPr>
          <w:p>
            <w:pPr>
              <w:spacing w:after="0"/>
              <w:rPr>
                <w:sz w:val="22"/>
                <w:szCs w:val="22"/>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6,248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40"/>
          </w:cols>
          <w:pgMar w:left="320" w:top="125" w:right="399" w:bottom="1440" w:gutter="0" w:footer="0" w:header="0"/>
          <w:type w:val="continuous"/>
        </w:sectPr>
      </w:pPr>
    </w:p>
    <w:p>
      <w:pPr>
        <w:spacing w:after="0" w:line="52" w:lineRule="exact"/>
        <w:rPr>
          <w:sz w:val="20"/>
          <w:szCs w:val="20"/>
          <w:color w:val="auto"/>
        </w:rPr>
      </w:pPr>
    </w:p>
    <w:p>
      <w:pPr>
        <w:ind w:right="38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86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gridSpan w:val="9"/>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1"/>
                <w:szCs w:val="11"/>
                <w:color w:val="auto"/>
              </w:rPr>
            </w:pPr>
          </w:p>
        </w:tc>
        <w:tc>
          <w:tcPr>
            <w:tcW w:w="286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2021-2020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2021-2020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1"/>
                <w:szCs w:val="11"/>
                <w:color w:val="auto"/>
              </w:rPr>
            </w:pPr>
          </w:p>
        </w:tc>
        <w:tc>
          <w:tcPr>
            <w:tcW w:w="7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40" w:type="dxa"/>
            <w:vAlign w:val="bottom"/>
          </w:tcPr>
          <w:p>
            <w:pPr>
              <w:spacing w:after="0"/>
              <w:rPr>
                <w:sz w:val="11"/>
                <w:szCs w:val="11"/>
                <w:color w:val="auto"/>
              </w:rPr>
            </w:pPr>
          </w:p>
        </w:tc>
        <w:tc>
          <w:tcPr>
            <w:tcW w:w="800" w:type="dxa"/>
            <w:vAlign w:val="bottom"/>
          </w:tcPr>
          <w:p>
            <w:pPr>
              <w:jc w:val="right"/>
              <w:ind w:right="174"/>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6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93"/>
              </w:rPr>
              <w:t>(16)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regions, NGL pipelines, trucking and</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pipeline loss allowance revenue</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332"/>
              <w:spacing w:after="0"/>
              <w:rPr>
                <w:sz w:val="20"/>
                <w:szCs w:val="20"/>
                <w:color w:val="auto"/>
              </w:rPr>
            </w:pPr>
            <w:r>
              <w:rPr>
                <w:rFonts w:ascii="Arial" w:cs="Arial" w:eastAsia="Arial" w:hAnsi="Arial"/>
                <w:sz w:val="18"/>
                <w:szCs w:val="18"/>
                <w:color w:val="auto"/>
                <w:w w:val="93"/>
              </w:rPr>
              <w:t>(16)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80" w:hanging="324"/>
        <w:spacing w:after="0" w:line="269" w:lineRule="auto"/>
        <w:tabs>
          <w:tab w:leader="none" w:pos="975"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increased by $44 million and $14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six months ended June 30, 2021, respectively, compared to the same periods in 2020 primarily due to the recognition of revenue associated with minimum volume commitments. The recognition of previously deferred revenue associated with minimum volume commitments is reflected as an “Adjustment” in the table above as discussed further below under “—</w:t>
      </w:r>
      <w:r>
        <w:rPr>
          <w:rFonts w:ascii="Arial" w:cs="Arial" w:eastAsia="Arial" w:hAnsi="Arial"/>
          <w:sz w:val="17"/>
          <w:szCs w:val="17"/>
          <w:i w:val="1"/>
          <w:iCs w:val="1"/>
          <w:color w:val="auto"/>
        </w:rPr>
        <w:t>Adjustments: Deficiencies under</w:t>
      </w:r>
      <w:r>
        <w:rPr>
          <w:rFonts w:ascii="Arial" w:cs="Arial" w:eastAsia="Arial" w:hAnsi="Arial"/>
          <w:sz w:val="17"/>
          <w:szCs w:val="17"/>
          <w:color w:val="auto"/>
        </w:rPr>
        <w:t xml:space="preserve"> </w:t>
      </w:r>
      <w:r>
        <w:rPr>
          <w:rFonts w:ascii="Arial" w:cs="Arial" w:eastAsia="Arial" w:hAnsi="Arial"/>
          <w:sz w:val="17"/>
          <w:szCs w:val="17"/>
          <w:i w:val="1"/>
          <w:iCs w:val="1"/>
          <w:color w:val="auto"/>
        </w:rPr>
        <w:t>minimum volume commitments, net.</w:t>
      </w:r>
      <w:r>
        <w:rPr>
          <w:rFonts w:ascii="Arial" w:cs="Arial" w:eastAsia="Arial" w:hAnsi="Arial"/>
          <w:sz w:val="17"/>
          <w:szCs w:val="17"/>
          <w:color w:val="auto"/>
        </w:rPr>
        <w:t>” The three-month comparative period was further favorably impacted by higher long-haul movements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Cushing, Oklahoma in the second quarter of 2021, as well as an increase in volumes on our gathering pipelines as a result of new connections and increased production, partially offset by lower volumes on our intra-basin pipelines. The six-month comparative period was further unfavorably impacted by lower volumes of crude oil produced in the Permian Basin in the first quarter of 2021, driven by the COVID-19 pandemic-related reset to production and compounded by shut-ins from the extreme winter weather event that occurred in February of 2021 (“Winter Storm Uri”).</w:t>
      </w:r>
    </w:p>
    <w:p>
      <w:pPr>
        <w:spacing w:after="0" w:line="212" w:lineRule="exact"/>
        <w:rPr>
          <w:rFonts w:ascii="Arial" w:cs="Arial" w:eastAsia="Arial" w:hAnsi="Arial"/>
          <w:sz w:val="17"/>
          <w:szCs w:val="17"/>
          <w:b w:val="1"/>
          <w:bCs w:val="1"/>
          <w:i w:val="1"/>
          <w:iCs w:val="1"/>
          <w:color w:val="auto"/>
        </w:rPr>
      </w:pPr>
    </w:p>
    <w:p>
      <w:pPr>
        <w:ind w:left="980" w:right="20"/>
        <w:spacing w:after="0" w:line="296" w:lineRule="auto"/>
        <w:rPr>
          <w:rFonts w:ascii="Arial" w:cs="Arial" w:eastAsia="Arial" w:hAnsi="Arial"/>
          <w:sz w:val="17"/>
          <w:szCs w:val="17"/>
          <w:b w:val="1"/>
          <w:bCs w:val="1"/>
          <w:i w:val="1"/>
          <w:iCs w:val="1"/>
          <w:color w:val="auto"/>
        </w:rPr>
      </w:pPr>
      <w:r>
        <w:rPr>
          <w:rFonts w:ascii="Arial" w:cs="Arial" w:eastAsia="Arial" w:hAnsi="Arial"/>
          <w:sz w:val="16"/>
          <w:szCs w:val="16"/>
          <w:color w:val="auto"/>
        </w:rPr>
        <w:t>Equity earnings decreased for the three and six months ended June 30, 2021 compared to the same periods in 2020 primarily due to our proportionate share of the write-off of costs associated with a capital project canceled during the second quarter of 2021, which is included in the table above as an “Adjustment” in “Depreciation and amortization of unconsolidated entities.” The six-month comparative period was further unfavorably impacted by depreciation expense and transition costs associated with phase one of the Wink to Webster pipeline being placed into service during the first quarter of 2021, partially offset by lower power costs related to Winter Storm Uri.</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60" w:hanging="324"/>
        <w:spacing w:after="0" w:line="277" w:lineRule="auto"/>
        <w:tabs>
          <w:tab w:leader="none" w:pos="97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decreased for the six months ended June 30, 2021 compared to the same periods in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production, including curtailments from Winter Storm Uri.</w:t>
      </w:r>
    </w:p>
    <w:p>
      <w:pPr>
        <w:spacing w:after="0" w:line="197" w:lineRule="exact"/>
        <w:rPr>
          <w:rFonts w:ascii="Arial" w:cs="Arial" w:eastAsia="Arial" w:hAnsi="Arial"/>
          <w:sz w:val="18"/>
          <w:szCs w:val="18"/>
          <w:b w:val="1"/>
          <w:bCs w:val="1"/>
          <w:i w:val="1"/>
          <w:iCs w:val="1"/>
          <w:color w:val="auto"/>
        </w:rPr>
      </w:pPr>
    </w:p>
    <w:p>
      <w:pPr>
        <w:ind w:left="980" w:right="20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from our 50% interest in Eagle Ford Pipeline LLC decreased for the six months ended June 30, 2021 compared to the same period in 2020 due to a combination of lower joint tariff volumes from the Permian Basin via our Cactus I pipeline, and to a lesser extent, lower regional receipts, partially offset by the recognition of previously deferred revenue associated with minimum volume commitments. The recognition of such revenue is reflected as an “Adjustment” in the table above as discussed further below under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w:t>
      </w:r>
      <w:r>
        <w:rPr>
          <w:rFonts w:ascii="Arial" w:cs="Arial" w:eastAsia="Arial" w:hAnsi="Arial"/>
          <w:sz w:val="18"/>
          <w:szCs w:val="18"/>
          <w:i w:val="1"/>
          <w:iCs w:val="1"/>
          <w:color w:val="auto"/>
        </w:rPr>
        <w:t>Deficiencies under minimum volume commitments, net.</w:t>
      </w:r>
      <w:r>
        <w:rPr>
          <w:rFonts w:ascii="Arial" w:cs="Arial" w:eastAsia="Arial" w:hAnsi="Arial"/>
          <w:sz w:val="18"/>
          <w:szCs w:val="18"/>
          <w:color w:val="auto"/>
        </w:rPr>
        <w:t>”</w:t>
      </w:r>
    </w:p>
    <w:p>
      <w:pPr>
        <w:spacing w:after="0" w:line="214" w:lineRule="exact"/>
        <w:rPr>
          <w:rFonts w:ascii="Arial" w:cs="Arial" w:eastAsia="Arial" w:hAnsi="Arial"/>
          <w:sz w:val="18"/>
          <w:szCs w:val="18"/>
          <w:b w:val="1"/>
          <w:bCs w:val="1"/>
          <w:i w:val="1"/>
          <w:iCs w:val="1"/>
          <w:color w:val="auto"/>
        </w:rPr>
      </w:pPr>
    </w:p>
    <w:p>
      <w:pPr>
        <w:ind w:left="980" w:hanging="324"/>
        <w:spacing w:after="0" w:line="263"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Revenues increased for the three and six months ended June 30, 2021 compared to the same periods in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on certain of our pipelines in the region, including the Red River pipeline, as a result of an increase in committed volumes and an expansion placed into service in October 2020.</w:t>
      </w:r>
    </w:p>
    <w:p>
      <w:pPr>
        <w:spacing w:after="0" w:line="210" w:lineRule="exact"/>
        <w:rPr>
          <w:rFonts w:ascii="Arial" w:cs="Arial" w:eastAsia="Arial" w:hAnsi="Arial"/>
          <w:sz w:val="18"/>
          <w:szCs w:val="18"/>
          <w:i w:val="1"/>
          <w:iCs w:val="1"/>
          <w:color w:val="auto"/>
        </w:rPr>
      </w:pPr>
    </w:p>
    <w:p>
      <w:pPr>
        <w:ind w:left="98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Equity earnings decreased for the three and six months ended June 30, 2021 compared to the same periods in 2020 primarily due our proportionate share of Diamond Pipeline’s write-off of costs associated with the cancellation of the Byhalia Connection construction project during the second quarter of 2021, which is included in the table above as an “Adjustment” in “Depreciation and amortization of unconsolidated entities.”</w:t>
      </w:r>
    </w:p>
    <w:p>
      <w:pPr>
        <w:spacing w:after="0" w:line="213" w:lineRule="exact"/>
        <w:rPr>
          <w:rFonts w:ascii="Arial" w:cs="Arial" w:eastAsia="Arial" w:hAnsi="Arial"/>
          <w:sz w:val="18"/>
          <w:szCs w:val="18"/>
          <w:i w:val="1"/>
          <w:iCs w:val="1"/>
          <w:color w:val="auto"/>
        </w:rPr>
      </w:pPr>
    </w:p>
    <w:p>
      <w:pPr>
        <w:ind w:left="980" w:right="280" w:hanging="324"/>
        <w:spacing w:after="0" w:line="259"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Equity earnings decreased for the three and six months ended June 30, 2021 compared to the same periods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our proportionate share of Capline Pipeline’s write-off of costs associated with the cancellation of the Byhalia Connection construction project during the second quarter of 2021, which is included in the table above as an “Adjustment” in “Depreciation and amortization of unconsolidated entities.”</w:t>
      </w:r>
    </w:p>
    <w:p>
      <w:pPr>
        <w:spacing w:after="0" w:line="213" w:lineRule="exact"/>
        <w:rPr>
          <w:rFonts w:ascii="Arial" w:cs="Arial" w:eastAsia="Arial" w:hAnsi="Arial"/>
          <w:sz w:val="18"/>
          <w:szCs w:val="18"/>
          <w:i w:val="1"/>
          <w:iCs w:val="1"/>
          <w:color w:val="auto"/>
        </w:rPr>
      </w:pPr>
    </w:p>
    <w:p>
      <w:pPr>
        <w:ind w:left="980" w:right="700" w:hanging="324"/>
        <w:spacing w:after="0" w:line="277"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Revenues increased for the three and six months ended June 30, 2021 compared to the same periods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volumes.</w:t>
      </w:r>
    </w:p>
    <w:p>
      <w:pPr>
        <w:spacing w:after="0" w:line="197" w:lineRule="exact"/>
        <w:rPr>
          <w:rFonts w:ascii="Arial" w:cs="Arial" w:eastAsia="Arial" w:hAnsi="Arial"/>
          <w:sz w:val="18"/>
          <w:szCs w:val="18"/>
          <w:i w:val="1"/>
          <w:iCs w:val="1"/>
          <w:color w:val="auto"/>
        </w:rPr>
      </w:pPr>
    </w:p>
    <w:p>
      <w:pPr>
        <w:ind w:left="980" w:right="3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Equity earnings decreased for the three and six months ended June 30, 2021 compared to the same periods in 2020 primarily due to the expiration of higher-tariff volume commitments in the current period on the White Cliffs pipeline, partially offset by higher volumes from committed shippers on the Saddlehorn pipeline.</w:t>
      </w:r>
    </w:p>
    <w:p>
      <w:pPr>
        <w:spacing w:after="0" w:line="210" w:lineRule="exact"/>
        <w:rPr>
          <w:rFonts w:ascii="Arial" w:cs="Arial" w:eastAsia="Arial" w:hAnsi="Arial"/>
          <w:sz w:val="18"/>
          <w:szCs w:val="18"/>
          <w:i w:val="1"/>
          <w:iCs w:val="1"/>
          <w:color w:val="auto"/>
        </w:rPr>
      </w:pPr>
    </w:p>
    <w:p>
      <w:pPr>
        <w:ind w:left="980" w:right="100" w:hanging="324"/>
        <w:spacing w:after="0" w:line="259" w:lineRule="auto"/>
        <w:tabs>
          <w:tab w:leader="none" w:pos="97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Revenues increased for the three and six months ended June 30, 2021 compared to the same periods in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from increased production and favorable foreign exchange impacts. Such favorable impacts were partially offset by a decrease in intersegment fees to reflect lower utilization and market rates, which had an offsetting favorable impact on our Supply and Logistics segment.</w:t>
      </w:r>
    </w:p>
    <w:p>
      <w:pPr>
        <w:spacing w:after="0" w:line="213" w:lineRule="exact"/>
        <w:rPr>
          <w:rFonts w:ascii="Arial" w:cs="Arial" w:eastAsia="Arial" w:hAnsi="Arial"/>
          <w:sz w:val="18"/>
          <w:szCs w:val="18"/>
          <w:b w:val="1"/>
          <w:bCs w:val="1"/>
          <w:i w:val="1"/>
          <w:iCs w:val="1"/>
          <w:color w:val="auto"/>
        </w:rPr>
      </w:pPr>
    </w:p>
    <w:p>
      <w:pPr>
        <w:ind w:left="980" w:right="20" w:hanging="324"/>
        <w:spacing w:after="0" w:line="257" w:lineRule="auto"/>
        <w:tabs>
          <w:tab w:leader="none" w:pos="97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Other regions, NGL pipelines, trucking and pipeline loss allowance revenue. </w:t>
      </w:r>
      <w:r>
        <w:rPr>
          <w:rFonts w:ascii="Arial" w:cs="Arial" w:eastAsia="Arial" w:hAnsi="Arial"/>
          <w:sz w:val="18"/>
          <w:szCs w:val="18"/>
          <w:color w:val="auto"/>
        </w:rPr>
        <w:t>The increase in net revenues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was primarily due to higher pipeline loss allowance revenue in 2021 primarily due to higher prices. The decrease in net revenues for the six months ended June 30, 2021 compared to the same period in 2020 was primarily due to lower pipeline loss allowance revenue due to lower volumes, partially offset by higher prices. Such unfavorable impacts were offset by lower trucking costs driven by lower volumes.</w:t>
      </w:r>
    </w:p>
    <w:p>
      <w:pPr>
        <w:spacing w:after="0" w:line="21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For the three months ended June 30, 2021 and 2020, amounts billed to counterparties exceeded revenue recognized during the periods that was previously deferred. For the six months ended June 30, 2021, the recognition of previously deferred revenue exceeded amounts billed to counterparties associated with deficiencies under minimum volume commitments.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six months ended June 30, 2021 compared to the same period in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 lower power costs, including the impact of gains related to hedged power costs resulting from Winter Storm Uri and (ii) streamlining efforts which have resulted in decreases in variable costs and maintenance and chemicals and additives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increase in segment general and administrative expenses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2021 compared to the same periods in 2020 was primarily due to increased information systems costs and reduced wage subsidies received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subsidiary in the current periods.</w:t>
      </w:r>
    </w:p>
    <w:p>
      <w:pPr>
        <w:spacing w:after="0" w:line="23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Maintenance Capital</w:t>
      </w:r>
      <w:r>
        <w:rPr>
          <w:rFonts w:ascii="Arial" w:cs="Arial" w:eastAsia="Arial" w:hAnsi="Arial"/>
          <w:sz w:val="17"/>
          <w:szCs w:val="17"/>
          <w:color w:val="auto"/>
        </w:rPr>
        <w:t>. Maintenance capital consists of capital expenditures for the replacement and/or refurbishment of partially or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depreciated assets in order to maintain the operating and/or earnings capacity of our existing assets. The decrease in maintenance capital spending for the three and six months ended June 30, 2021 compared to the same periods in 2020 was primarily due to timing changes,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00" w:type="dxa"/>
            <w:vAlign w:val="bottom"/>
            <w:gridSpan w:val="10"/>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4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9"/>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Pr>
          <w:p>
            <w:pPr>
              <w:spacing w:after="0"/>
              <w:rPr>
                <w:sz w:val="15"/>
                <w:szCs w:val="15"/>
                <w:color w:val="auto"/>
              </w:rPr>
            </w:pPr>
          </w:p>
        </w:tc>
        <w:tc>
          <w:tcPr>
            <w:tcW w:w="6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0.40</w:t>
            </w: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93"/>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14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9"/>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Liquids storage (average monthly capacity in</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5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thousands of barrels per day)</w:t>
            </w:r>
          </w:p>
        </w:tc>
        <w:tc>
          <w:tcPr>
            <w:tcW w:w="14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14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6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00" w:hanging="4"/>
        <w:spacing w:after="0" w:line="508"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net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40" w:hanging="324"/>
        <w:spacing w:after="0" w:line="290" w:lineRule="auto"/>
        <w:tabs>
          <w:tab w:leader="none" w:pos="97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Revenues from our NGL operations decreased by $16 million and $57 million for the three and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respectively, compared to the same periods in 2020 primarily due to lower intersegment facility fee revenues due to rate decreases at certain of our storage, fractionation and processing facilities to reflect lower utilization and market rates (which had an offsetting favorable impact on our Supply and Logistics segment). The six-month comparative period was further unfavorably impacted by (i) a benefit in the 2020 comparative period from the receipt of a deficiency payment of approximately $20 million upon the expiration of a multi-year contract and (ii) the sale of certain NGL terminals in the second quarter of 2020. Such unfavorable impacts were partially offset for the three- and six-month comparative periods by more favorable foreign exchange impacts in 2021 of approximately $13 million and $19 million, respectively, and, for the six-month comparative period, gains at certain of our fractionation facilities in the first quarter of 2021.</w:t>
      </w:r>
    </w:p>
    <w:p>
      <w:pPr>
        <w:spacing w:after="0" w:line="192" w:lineRule="exact"/>
        <w:rPr>
          <w:rFonts w:ascii="Arial" w:cs="Arial" w:eastAsia="Arial" w:hAnsi="Arial"/>
          <w:sz w:val="16"/>
          <w:szCs w:val="16"/>
          <w:i w:val="1"/>
          <w:iCs w:val="1"/>
          <w:color w:val="auto"/>
        </w:rPr>
      </w:pPr>
    </w:p>
    <w:p>
      <w:pPr>
        <w:ind w:left="980" w:right="280" w:hanging="324"/>
        <w:spacing w:after="0" w:line="263"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decreased by $16 million and $31 million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respectively, compared to the same periods in 2020 primarily due to the sale of our Los Angeles Basin terminals in October of 2020.</w:t>
      </w:r>
    </w:p>
    <w:p>
      <w:pPr>
        <w:spacing w:after="0" w:line="210" w:lineRule="exact"/>
        <w:rPr>
          <w:rFonts w:ascii="Arial" w:cs="Arial" w:eastAsia="Arial" w:hAnsi="Arial"/>
          <w:sz w:val="18"/>
          <w:szCs w:val="18"/>
          <w:i w:val="1"/>
          <w:iCs w:val="1"/>
          <w:color w:val="auto"/>
        </w:rPr>
      </w:pPr>
    </w:p>
    <w:p>
      <w:pPr>
        <w:ind w:left="980" w:right="280" w:hanging="324"/>
        <w:spacing w:after="0" w:line="277"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Net revenues increased by $17 million for the six months ended June 30,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margins from hub activities in the first quarter of 2021 related to Winter Storm Uri.</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six months ended June 30,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the sale of our Los Angeles Basin terminals and certain NGL terminals, (ii) decreased power costs related to derivative activity and (iii) reduced activity at our rail terminals.</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to the same periods in 2020 was primarily due to the impact of 2020 legal costs, partially offset by reduced wage subsidies received by our Canadian subsidiary in the current period.</w:t>
      </w:r>
    </w:p>
    <w:p>
      <w:pPr>
        <w:spacing w:after="0" w:line="21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and six months ended June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2020 was primarily due to timing changes, the impact of asset sales, the completion of multi-year reliability improvement programs and application of updated regulatory guidance, among other factors.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(iii) the relationship between NGL prices and natural gas prices and (iv)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76"/>
        </w:trPr>
        <w:tc>
          <w:tcPr>
            <w:tcW w:w="3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4"/>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inventory valuation adjustments</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180"/>
              <w:spacing w:after="0"/>
              <w:rPr>
                <w:sz w:val="20"/>
                <w:szCs w:val="20"/>
                <w:color w:val="auto"/>
              </w:rPr>
            </w:pPr>
            <w:r>
              <w:rPr>
                <w:rFonts w:ascii="Arial" w:cs="Arial" w:eastAsia="Arial" w:hAnsi="Arial"/>
                <w:sz w:val="18"/>
                <w:szCs w:val="18"/>
                <w:color w:val="auto"/>
                <w:w w:val="98"/>
              </w:rPr>
              <w:t>Long-term inventory costing adjustments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ind w:right="8"/>
              <w:spacing w:after="0" w:line="203" w:lineRule="exact"/>
              <w:rPr>
                <w:sz w:val="20"/>
                <w:szCs w:val="20"/>
                <w:color w:val="auto"/>
              </w:rPr>
            </w:pPr>
            <w:r>
              <w:rPr>
                <w:rFonts w:ascii="Arial" w:cs="Arial" w:eastAsia="Arial" w:hAnsi="Arial"/>
                <w:sz w:val="18"/>
                <w:szCs w:val="18"/>
                <w:color w:val="auto"/>
              </w:rPr>
              <w:t>0.04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493"/>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160" w:type="dxa"/>
            <w:vAlign w:val="bottom"/>
          </w:tcPr>
          <w:p>
            <w:pPr>
              <w:spacing w:after="0"/>
              <w:rPr>
                <w:sz w:val="24"/>
                <w:szCs w:val="24"/>
                <w:color w:val="auto"/>
              </w:rPr>
            </w:pPr>
          </w:p>
        </w:tc>
        <w:tc>
          <w:tcPr>
            <w:tcW w:w="16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4"/>
                <w:szCs w:val="24"/>
                <w:color w:val="auto"/>
              </w:rPr>
            </w:pPr>
          </w:p>
        </w:tc>
        <w:tc>
          <w:tcPr>
            <w:tcW w:w="11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Volumes</w:t>
            </w:r>
          </w:p>
        </w:tc>
        <w:tc>
          <w:tcPr>
            <w:tcW w:w="64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sales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5"/>
        </w:trPr>
        <w:tc>
          <w:tcPr>
            <w:tcW w:w="340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8"/>
                <w:szCs w:val="18"/>
                <w:color w:val="auto"/>
              </w:rPr>
              <w:t>Supply and Logistics segment total</w:t>
            </w:r>
          </w:p>
        </w:tc>
        <w:tc>
          <w:tcPr>
            <w:tcW w:w="16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volumes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7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June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Six Months Ended June 30, 2021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2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157"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80" w:hanging="324"/>
        <w:spacing w:after="0" w:line="259" w:lineRule="auto"/>
        <w:tabs>
          <w:tab w:leader="none" w:pos="97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were slightly lower in the three-month period as contango margins were</w:t>
      </w:r>
      <w:r>
        <w:rPr>
          <w:rFonts w:ascii="Arial" w:cs="Arial" w:eastAsia="Arial" w:hAnsi="Arial"/>
          <w:sz w:val="18"/>
          <w:szCs w:val="18"/>
          <w:i w:val="1"/>
          <w:iCs w:val="1"/>
          <w:color w:val="auto"/>
        </w:rPr>
        <w:t xml:space="preserve"> </w:t>
      </w:r>
      <w:r>
        <w:rPr>
          <w:rFonts w:ascii="Arial" w:cs="Arial" w:eastAsia="Arial" w:hAnsi="Arial"/>
          <w:sz w:val="18"/>
          <w:szCs w:val="18"/>
          <w:color w:val="auto"/>
        </w:rPr>
        <w:t>better in the 2020 period; however, this was largely offset by lease gathering margins and certain differentials that were more favorable in the 2021 period. For the six months ended June 30, 2021 compared to the same period in 2020, net revenues from our crude oil operations were lower due to less favorable market conditions.</w:t>
      </w:r>
    </w:p>
    <w:p>
      <w:pPr>
        <w:spacing w:after="0" w:line="213" w:lineRule="exact"/>
        <w:rPr>
          <w:rFonts w:ascii="Arial" w:cs="Arial" w:eastAsia="Arial" w:hAnsi="Arial"/>
          <w:sz w:val="18"/>
          <w:szCs w:val="18"/>
          <w:i w:val="1"/>
          <w:iCs w:val="1"/>
          <w:color w:val="auto"/>
        </w:rPr>
      </w:pPr>
    </w:p>
    <w:p>
      <w:pPr>
        <w:ind w:left="980" w:hanging="324"/>
        <w:spacing w:after="0" w:line="275" w:lineRule="auto"/>
        <w:tabs>
          <w:tab w:leader="none" w:pos="975"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were slightly higher for the three months ended June 30, 2021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2020 due to a decrease in intersegment fees. Net revenues from our NGL operations decreased for the six months ended June 30, 2021 compared to the same period in 2020, primarily due to lower realized margins on our NGL sales activities, partially offset by a decrease in intersegment fees. The intersegment fees were reduced in the 2021 periods to reflect lower utilization and market rates, and had an offsetting unfavorable impact on our Facilities and Transportation segments.</w:t>
      </w:r>
    </w:p>
    <w:p>
      <w:pPr>
        <w:spacing w:after="0" w:line="176" w:lineRule="exact"/>
        <w:rPr>
          <w:rFonts w:ascii="Arial" w:cs="Arial" w:eastAsia="Arial" w:hAnsi="Arial"/>
          <w:sz w:val="17"/>
          <w:szCs w:val="17"/>
          <w:i w:val="1"/>
          <w:iCs w:val="1"/>
          <w:color w:val="auto"/>
        </w:rPr>
      </w:pPr>
    </w:p>
    <w:p>
      <w:pPr>
        <w:ind w:left="980" w:right="100" w:hanging="324"/>
        <w:spacing w:after="0" w:line="254" w:lineRule="auto"/>
        <w:tabs>
          <w:tab w:leader="none" w:pos="97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r>
        <w:rPr>
          <w:rFonts w:ascii="Arial" w:cs="Arial" w:eastAsia="Arial" w:hAnsi="Arial"/>
          <w:sz w:val="18"/>
          <w:szCs w:val="18"/>
          <w:b w:val="1"/>
          <w:bCs w:val="1"/>
          <w:color w:val="auto"/>
        </w:rPr>
        <w:t>.</w:t>
      </w:r>
      <w:r>
        <w:rPr>
          <w:rFonts w:ascii="Arial" w:cs="Arial" w:eastAsia="Arial" w:hAnsi="Arial"/>
          <w:sz w:val="18"/>
          <w:szCs w:val="18"/>
          <w:color w:val="auto"/>
        </w:rPr>
        <w:t xml:space="preserv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60" w:hanging="324"/>
        <w:spacing w:after="0" w:line="279"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hanging="324"/>
        <w:spacing w:after="0" w:line="342" w:lineRule="auto"/>
        <w:tabs>
          <w:tab w:leader="none" w:pos="975"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six months ended June 30, 2021 compared to the same period in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lower trucking costs due to more supply connected to pipelines resulting in lower trucking activity in the 2021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six months ended June 30, 2021 compared to the same periods in 2020 was largely driven by a reduction in the useful lives of certain assets. See Note 2 to our Condensed Consolidated Financial Statements for additional information.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net loss on asset sales and asset impairments for the three and six months ended June 30, 2021, was primarily driven by an approximate $475 million non-cash impairment charge related to the write-down of our Pine Prairie and Southern Pines natural gas storage facilities upon classification as held for sale during the second quarter, which were subsequently sold on August 2, 2021, partially offset by a gain of $106 million related to the Asset Exchange transaction. See Note 12 to our Condensed Consolidated Financial Statements for additional information. The net loss on asset sales and asset impairments for the six months ended June 30, 2020 was largely driven by (i) non-cash impairment losses of approximately $446 million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quarter, which were subsequently sold.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During the three and six months ended June 30, 2020, we recognized losses of $69 million and $112 million, respectively, related to the write-down of certain of our investments in unconsolidated entities. Additionally, during the six months ended June 30, 2020, we recognized a gain of $21 million related to our sale of a 10% interest in Saddlehorn Pipeline Company, LLC.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4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68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Gain/(loss) related to mark-to-market adjustment of our Preferred Distribution Rate Reset</w:t>
            </w:r>
          </w:p>
        </w:tc>
        <w:tc>
          <w:tcPr>
            <w:tcW w:w="700" w:type="dxa"/>
            <w:vAlign w:val="bottom"/>
            <w:vMerge w:val="restart"/>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60" w:firstLine="8"/>
        <w:spacing w:after="0" w:line="253"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220" w:firstLine="648"/>
        <w:spacing w:after="0" w:line="284" w:lineRule="auto"/>
        <w:rPr>
          <w:sz w:val="20"/>
          <w:szCs w:val="20"/>
          <w:color w:val="auto"/>
        </w:rPr>
      </w:pPr>
      <w:r>
        <w:rPr>
          <w:rFonts w:ascii="Arial" w:cs="Arial" w:eastAsia="Arial" w:hAnsi="Arial"/>
          <w:sz w:val="17"/>
          <w:szCs w:val="17"/>
          <w:color w:val="auto"/>
        </w:rPr>
        <w:t>As of June 30, 2021, although we had a working capital deficit of $487 million, we had approximately $2.6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6"/>
        </w:trPr>
        <w:tc>
          <w:tcPr>
            <w:tcW w:w="38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right"/>
              <w:ind w:right="615"/>
              <w:spacing w:after="0" w:line="146" w:lineRule="exact"/>
              <w:rPr>
                <w:sz w:val="20"/>
                <w:szCs w:val="20"/>
                <w:color w:val="auto"/>
              </w:rPr>
            </w:pPr>
            <w:r>
              <w:rPr>
                <w:rFonts w:ascii="Arial" w:cs="Arial" w:eastAsia="Arial" w:hAnsi="Arial"/>
                <w:sz w:val="14"/>
                <w:szCs w:val="14"/>
                <w:b w:val="1"/>
                <w:bCs w:val="1"/>
                <w:color w:val="auto"/>
              </w:rPr>
              <w:t>As of</w:t>
            </w:r>
          </w:p>
        </w:tc>
      </w:tr>
      <w:tr>
        <w:trPr>
          <w:trHeight w:val="188"/>
        </w:trPr>
        <w:tc>
          <w:tcPr>
            <w:tcW w:w="388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2021</w:t>
            </w:r>
          </w:p>
        </w:tc>
      </w:tr>
      <w:tr>
        <w:trPr>
          <w:trHeight w:val="224"/>
        </w:trPr>
        <w:tc>
          <w:tcPr>
            <w:tcW w:w="95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9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commercial paper program</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3"/>
        </w:trPr>
        <w:tc>
          <w:tcPr>
            <w:tcW w:w="954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2,531</w:t>
            </w:r>
          </w:p>
        </w:tc>
      </w:t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0"/>
        </w:trPr>
        <w:tc>
          <w:tcPr>
            <w:tcW w:w="3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36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$68 million and $13 million, respectively.</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June 30, 2021.</w:t>
      </w: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2020 Annual Report on Form 10-K for further discussion regarding risks that may impact our 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175"/>
        </w:trPr>
        <w:tc>
          <w:tcPr>
            <w:tcW w:w="58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Adjustments to reconcile net cash provided by operating activities to free cash</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flow:</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8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58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(192)</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cash provided by operating activities for the first six months of 2021 and 2020 was $1.026 billion and $974 million, respectively, and primarily resulted from earnings from our operations. Additionally, during the six months ended June 30, 2020, we increased the volume of our crude oil inventory to be stored during the contango market; however, this increase was offset by lower prices for our inventory stored at the end of the current period compared to the end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ind w:right="220" w:hanging="11"/>
        <w:spacing w:after="0" w:line="263" w:lineRule="auto"/>
        <w:rPr>
          <w:sz w:val="20"/>
          <w:szCs w:val="20"/>
          <w:color w:val="auto"/>
        </w:rPr>
      </w:pPr>
      <w:r>
        <w:rPr>
          <w:rFonts w:ascii="Arial" w:cs="Arial" w:eastAsia="Arial" w:hAnsi="Arial"/>
          <w:sz w:val="18"/>
          <w:szCs w:val="18"/>
          <w:color w:val="auto"/>
        </w:rPr>
        <w:t>Acquisition capital for 2021 represents the cash consideration paid as part of the Asset Exchange transaction. See Note 12 to our Condensed Consolidated Financial Statements for additional information. Acquisition capital for 2020 primarily includes Felix Midstream LLC, a crude oil gathering system located in the Delaware Basin.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$325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continue to evaluate potential sales of non-core assets and/or sales of partial interests in assets to strategic joint venture partners. The following table summarizes the proceeds received during the first six months of 2021 and 2020 from sales of assets, which were previously reported in our Transportation and Facilities segments (in millions):</w:t>
      </w:r>
    </w:p>
    <w:p>
      <w:pPr>
        <w:spacing w:after="0" w:line="23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Proceeds from divestitures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w:t>
        <w:tab/>
        <w:t>$</w:t>
      </w:r>
      <w:r>
        <w:rPr>
          <w:sz w:val="20"/>
          <w:szCs w:val="20"/>
          <w:color w:val="auto"/>
        </w:rPr>
        <w:tab/>
      </w:r>
      <w:r>
        <w:rPr>
          <w:rFonts w:ascii="Arial" w:cs="Arial" w:eastAsia="Arial" w:hAnsi="Arial"/>
          <w:sz w:val="15"/>
          <w:szCs w:val="15"/>
          <w:color w:val="auto"/>
        </w:rPr>
        <w:t>245</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from divestitures were used to reduce debt levels and fund our investment capital projects.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August 2, 2021, we closed the sale of our Pine Prairie and Southern Pines natural gas storage facilities for $850 million, subject to certain adjustments. See Note 12 to our Condensed Consolidated Financial Statements for additional information.</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joint ventures, joint ownership arrangements and acquisitions involve risks that may adversely affect our business” included in our 2020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six months ended June 30, 2021, we had net repayments on our credit facilities and commercial paper program of $326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six months ended June 30, 2020, we had net repayments on our credit facilities and commercial paper program of $418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1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 connection with the sale of our Pine Prairie and Southern Pines natural gas storage facilities on August 2, 2021, we repaid our two GO Zone term loans totaling $200 million. See Note 12 for additional information regarding the sale of our natural gas storage facilities.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repurchased 5,290,592 common units under the Program through open market purchases that settled during the six months ended June 30, 2021. The total purchase price of these repurchases was $53 million, including commissions and fees. At June 30, 2021, the remaining available capacity under the Program was $397 million.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June 30, 2021.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2020 Annual Report on Form 10-K for additional discussion regarding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7 to our Condensed Consolidated Financial Statements for details of distributions paid during or pertaining to the first six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2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135,358</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 w:right="16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6 to our Condensed Consolidated Financial Statements.</w:t>
      </w:r>
    </w:p>
    <w:p>
      <w:pPr>
        <w:spacing w:after="0" w:line="84"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53"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$1.9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June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June 30, 2021 and December 31, 2020, we had outstanding letters of credit of approximately $81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Pipelines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60" w:hanging="324"/>
        <w:spacing w:after="0" w:line="254"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86"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right="360" w:hanging="324"/>
        <w:spacing w:after="0" w:line="25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20" w:hanging="324"/>
        <w:spacing w:after="0" w:line="308"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6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40" w:hanging="324"/>
        <w:spacing w:after="0" w:line="286"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10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right="260" w:hanging="324"/>
        <w:spacing w:after="0" w:line="311" w:lineRule="auto"/>
        <w:tabs>
          <w:tab w:leader="none" w:pos="9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2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1300" w:right="4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2021 that would be expected from a 10% price increase or decrease is shown in the table below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797"/>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derivatives to hedge interest rate risk associated with anticipated interest payments and, in certain cases, outstanding debt instruments. All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senior notes are fixed rate notes and thus are not subject to interest rate risk. Our variable rate debt outstanding at June 30, 2021,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$588 million, was subject to interest rate re-sets that generally range from one day to approximately one month. The average interest rate on variable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that was outstanding during the six months ended June 30, 2021 was 0.8%, based upon rates in effect during such period. The fair value of our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derivatives was a net asset of $75 million as of June 30, 2021. A 10% increase in the forward LIBOR curve as of June 30, 2021 would have resulted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of $17 million to the fair value of our interest rate derivatives. A 10% decrease in the forward LIBOR curve as of June 30, 2021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a decrease of $17 million to the fair value of our interest rate derivatives. See Note 8 to our Condensed Consolidated Financial Statements for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discussion of our interest rate risk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June 30, 2021. A 10% increase in the exchange rate (USD-to-CAD) would have resulted in an increase of less than $1 million to the fair value of our foreign currency derivatives. A 10% decrease in the exchange rate (USD-to-CAD) would have resulted in a decrease of less than $1 million to the fair value of our foreign currency derivatives. See Note 8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$5 million as of June 30, 2021. A 10% increase or decrease in the fair value would have an impact of less than $1 million. See Note 8 to our Condensed Consolidated Financial Statements for a discussion of embedded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second quarter of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Average Price Paid per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Common Units</w:t>
            </w:r>
          </w:p>
        </w:tc>
        <w:tc>
          <w:tcPr>
            <w:tcW w:w="140" w:type="dxa"/>
            <w:vAlign w:val="bottom"/>
          </w:tcPr>
          <w:p>
            <w:pPr>
              <w:spacing w:after="0"/>
              <w:rPr>
                <w:sz w:val="14"/>
                <w:szCs w:val="14"/>
                <w:color w:val="auto"/>
              </w:rPr>
            </w:pPr>
          </w:p>
        </w:tc>
        <w:tc>
          <w:tcPr>
            <w:tcW w:w="200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Common Units</w:t>
            </w:r>
          </w:p>
        </w:tc>
        <w:tc>
          <w:tcPr>
            <w:tcW w:w="1660" w:type="dxa"/>
            <w:vAlign w:val="bottom"/>
            <w:gridSpan w:val="3"/>
            <w:vMerge w:val="continue"/>
          </w:tcPr>
          <w:p>
            <w:pPr>
              <w:spacing w:after="0"/>
              <w:rPr>
                <w:sz w:val="11"/>
                <w:szCs w:val="11"/>
                <w:color w:val="auto"/>
              </w:rPr>
            </w:pPr>
          </w:p>
        </w:tc>
        <w:tc>
          <w:tcPr>
            <w:tcW w:w="22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140" w:type="dxa"/>
            <w:vAlign w:val="bottom"/>
            <w:gridSpan w:val="2"/>
          </w:tcPr>
          <w:p>
            <w:pPr>
              <w:jc w:val="right"/>
              <w:ind w:right="16"/>
              <w:spacing w:after="0" w:line="135" w:lineRule="exact"/>
              <w:rPr>
                <w:sz w:val="20"/>
                <w:szCs w:val="20"/>
                <w:color w:val="auto"/>
              </w:rPr>
            </w:pPr>
            <w:r>
              <w:rPr>
                <w:rFonts w:ascii="Arial" w:cs="Arial" w:eastAsia="Arial" w:hAnsi="Arial"/>
                <w:sz w:val="14"/>
                <w:szCs w:val="14"/>
                <w:b w:val="1"/>
                <w:bCs w:val="1"/>
                <w:color w:val="auto"/>
                <w:w w:val="97"/>
              </w:rPr>
              <w:t>Common Units that May Yet Be</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6"/>
                <w:szCs w:val="16"/>
                <w:color w:val="auto"/>
              </w:rPr>
            </w:pPr>
          </w:p>
        </w:tc>
        <w:tc>
          <w:tcPr>
            <w:tcW w:w="14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Common Unit </w:t>
            </w:r>
            <w:r>
              <w:rPr>
                <w:rFonts w:ascii="Arial" w:cs="Arial" w:eastAsia="Arial" w:hAnsi="Arial"/>
                <w:sz w:val="18"/>
                <w:szCs w:val="18"/>
                <w:b w:val="1"/>
                <w:bCs w:val="1"/>
                <w:color w:val="auto"/>
                <w:w w:val="92"/>
                <w:vertAlign w:val="superscript"/>
              </w:rPr>
              <w:t>(1)</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Announced Program</w:t>
            </w:r>
          </w:p>
        </w:tc>
        <w:tc>
          <w:tcPr>
            <w:tcW w:w="2140" w:type="dxa"/>
            <w:vAlign w:val="bottom"/>
            <w:gridSpan w:val="2"/>
          </w:tcPr>
          <w:p>
            <w:pPr>
              <w:jc w:val="right"/>
              <w:spacing w:after="0" w:line="189" w:lineRule="exact"/>
              <w:rPr>
                <w:sz w:val="20"/>
                <w:szCs w:val="20"/>
                <w:color w:val="auto"/>
              </w:rPr>
            </w:pPr>
            <w:r>
              <w:rPr>
                <w:rFonts w:ascii="Arial" w:cs="Arial" w:eastAsia="Arial" w:hAnsi="Arial"/>
                <w:sz w:val="14"/>
                <w:szCs w:val="14"/>
                <w:b w:val="1"/>
                <w:bCs w:val="1"/>
                <w:color w:val="auto"/>
                <w:w w:val="93"/>
              </w:rPr>
              <w:t xml:space="preserve">Purchased under the Program </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 2021 - May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4,488,635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4,488,635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401,536,039</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June 1, 2021 - June 30, 2021</w:t>
            </w:r>
          </w:p>
        </w:tc>
        <w:tc>
          <w:tcPr>
            <w:tcW w:w="1460" w:type="dxa"/>
            <w:vAlign w:val="bottom"/>
          </w:tcPr>
          <w:p>
            <w:pPr>
              <w:jc w:val="right"/>
              <w:spacing w:after="0"/>
              <w:rPr>
                <w:sz w:val="20"/>
                <w:szCs w:val="20"/>
                <w:color w:val="auto"/>
              </w:rPr>
            </w:pPr>
            <w:r>
              <w:rPr>
                <w:rFonts w:ascii="Arial" w:cs="Arial" w:eastAsia="Arial" w:hAnsi="Arial"/>
                <w:sz w:val="18"/>
                <w:szCs w:val="18"/>
                <w:color w:val="auto"/>
              </w:rPr>
              <w:t>451,957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20"/>
                <w:szCs w:val="20"/>
                <w:color w:val="auto"/>
              </w:rPr>
            </w:pPr>
          </w:p>
        </w:tc>
        <w:tc>
          <w:tcPr>
            <w:tcW w:w="2140" w:type="dxa"/>
            <w:vAlign w:val="bottom"/>
          </w:tcPr>
          <w:p>
            <w:pPr>
              <w:jc w:val="right"/>
              <w:ind w:right="1"/>
              <w:spacing w:after="0"/>
              <w:rPr>
                <w:sz w:val="20"/>
                <w:szCs w:val="20"/>
                <w:color w:val="auto"/>
              </w:rPr>
            </w:pPr>
            <w:r>
              <w:rPr>
                <w:rFonts w:ascii="Arial" w:cs="Arial" w:eastAsia="Arial" w:hAnsi="Arial"/>
                <w:sz w:val="18"/>
                <w:szCs w:val="18"/>
                <w:color w:val="auto"/>
              </w:rPr>
              <w:t>451,957</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396,761,566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Average price paid per common unit includes costs associated with the repurchases.</w:t>
      </w:r>
    </w:p>
    <w:p>
      <w:pPr>
        <w:spacing w:after="0" w:line="117"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88">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380" w:right="6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97">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00">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2006).</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40" w:right="80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3.15       —  </w:t>
      </w:r>
      <w:hyperlink r:id="rId103">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03">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right="4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FF"/>
          </w:rPr>
          <w:t>Holdings, L.P. (incorporated by reference to Exhibit 3.1 to PAGP’s Current Report on Form 8-K filed April 9, 2020).</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380" w:right="26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10">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10">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380" w:right="1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color w:val="auto"/>
        </w:rPr>
        <w:t xml:space="preserve">— </w:t>
      </w:r>
      <w:hyperlink r:id="rId112">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12">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380" w:right="1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 xml:space="preserve">— </w:t>
      </w:r>
      <w:hyperlink r:id="rId113">
        <w:r>
          <w:rPr>
            <w:rFonts w:ascii="Arial" w:cs="Arial" w:eastAsia="Arial" w:hAnsi="Arial"/>
            <w:sz w:val="17"/>
            <w:szCs w:val="17"/>
            <w:u w:val="single" w:color="auto"/>
            <w:color w:val="0000FF"/>
          </w:rPr>
          <w:t>Amendment No. 4 dated February 25, 2021 to the Third Amended and Restated Limited Liability Company Agreement of PAA</w:t>
        </w:r>
      </w:hyperlink>
      <w:r>
        <w:rPr>
          <w:rFonts w:ascii="Arial" w:cs="Arial" w:eastAsia="Arial" w:hAnsi="Arial"/>
          <w:sz w:val="17"/>
          <w:szCs w:val="17"/>
          <w:color w:val="auto"/>
        </w:rPr>
        <w:t xml:space="preserve"> </w:t>
      </w:r>
      <w:hyperlink r:id="rId113">
        <w:r>
          <w:rPr>
            <w:rFonts w:ascii="Arial" w:cs="Arial" w:eastAsia="Arial" w:hAnsi="Arial"/>
            <w:sz w:val="17"/>
            <w:szCs w:val="17"/>
            <w:u w:val="single" w:color="auto"/>
            <w:color w:val="0000FF"/>
          </w:rPr>
          <w:t>GP Holdings LLC (incorporated by reference to Exhibit 3.1 to our Current Report on Form 8-K filed March 3, 2021).</w:t>
        </w:r>
      </w:hyperlink>
    </w:p>
    <w:p>
      <w:pPr>
        <w:spacing w:after="0" w:line="93" w:lineRule="exact"/>
        <w:rPr>
          <w:sz w:val="20"/>
          <w:szCs w:val="20"/>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16">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Report on Form 8-K filed March 26, 2012).</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4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100" w:hanging="1263"/>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6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Exhibit 4.1 to our Current Report on Form 8-K filed September 11, 2014).</w:t>
        </w:r>
      </w:hyperlink>
    </w:p>
    <w:p>
      <w:pPr>
        <w:spacing w:after="0" w:line="109" w:lineRule="exact"/>
        <w:rPr>
          <w:rFonts w:ascii="Arial" w:cs="Arial" w:eastAsia="Arial" w:hAnsi="Arial"/>
          <w:sz w:val="18"/>
          <w:szCs w:val="18"/>
          <w:color w:val="auto"/>
        </w:rPr>
      </w:pPr>
    </w:p>
    <w:p>
      <w:pPr>
        <w:jc w:val="both"/>
        <w:ind w:left="1380" w:right="580" w:hanging="1305"/>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Twenty-Eighth Supplemental Indenture (4.90% Senior Notes due 2045) dated December 9, 2014, by and among Plains All</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Exhibit 4.3 to our Current Report on Form 8-K filed December 11, 2014).</w:t>
        </w:r>
      </w:hyperlink>
    </w:p>
    <w:p>
      <w:pPr>
        <w:spacing w:after="0" w:line="109" w:lineRule="exact"/>
        <w:rPr>
          <w:rFonts w:ascii="Arial" w:cs="Arial" w:eastAsia="Arial" w:hAnsi="Arial"/>
          <w:sz w:val="18"/>
          <w:szCs w:val="18"/>
          <w:color w:val="auto"/>
        </w:rPr>
      </w:pPr>
    </w:p>
    <w:p>
      <w:pPr>
        <w:jc w:val="both"/>
        <w:ind w:left="1380" w:right="4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Current Report on Form 8-K filed August 26, 2015).</w:t>
        </w:r>
      </w:hyperlink>
    </w:p>
    <w:p>
      <w:pPr>
        <w:spacing w:after="0" w:line="109" w:lineRule="exact"/>
        <w:rPr>
          <w:rFonts w:ascii="Arial" w:cs="Arial" w:eastAsia="Arial" w:hAnsi="Arial"/>
          <w:sz w:val="18"/>
          <w:szCs w:val="18"/>
          <w:color w:val="auto"/>
        </w:rPr>
      </w:pPr>
    </w:p>
    <w:p>
      <w:pPr>
        <w:jc w:val="both"/>
        <w:ind w:left="1380" w:right="100" w:hanging="1308"/>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Current Report on Form 8-K filed November 29, 2016)</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ind w:left="1380" w:right="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Thirty-First Supplemental Indenture (3.55% Senior Notes due 2029) dated September 16, 2019, by and among Plains All</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American Pipeline, L.P., PAA Finance Corp. and U.S. Bank National Association, as trustee (incorporated by reference to Exhibit</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4.1 to our Current Report on Form 8-K filed September 17, 2019).</w:t>
        </w:r>
      </w:hyperlink>
    </w:p>
    <w:p>
      <w:pPr>
        <w:spacing w:after="0" w:line="109" w:lineRule="exact"/>
        <w:rPr>
          <w:rFonts w:ascii="Arial" w:cs="Arial" w:eastAsia="Arial" w:hAnsi="Arial"/>
          <w:sz w:val="18"/>
          <w:szCs w:val="18"/>
          <w:color w:val="auto"/>
        </w:rPr>
      </w:pPr>
    </w:p>
    <w:p>
      <w:pPr>
        <w:ind w:left="1380" w:right="10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Thirty-Second Supplemental Indenture (3.80% Senior Notes due 2030) dated June 11, 2020, by and among Plains All American</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Current Report on Form 8-K filed June 11, 2020).</w:t>
        </w:r>
      </w:hyperlink>
    </w:p>
    <w:p>
      <w:pPr>
        <w:spacing w:after="0" w:line="109" w:lineRule="exact"/>
        <w:rPr>
          <w:rFonts w:ascii="Arial" w:cs="Arial" w:eastAsia="Arial" w:hAnsi="Arial"/>
          <w:sz w:val="18"/>
          <w:szCs w:val="18"/>
          <w:color w:val="auto"/>
        </w:rPr>
      </w:pPr>
    </w:p>
    <w:p>
      <w:pPr>
        <w:ind w:left="1380" w:right="480" w:hanging="1308"/>
        <w:spacing w:after="0" w:line="289"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FF"/>
          </w:rPr>
          <w:t>Registration Rights Agreement dated September 3, 2009 by and between Plains All American Pipeline, L.P. and Vulcan Gas</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FF"/>
          </w:rPr>
          <w:t>Storage LLC (incorporated by reference to Exhibit 4.1 to our Registration Statement on Form S-3, File No. 333-162477).</w:t>
        </w:r>
      </w:hyperlink>
    </w:p>
    <w:p>
      <w:pPr>
        <w:spacing w:after="0" w:line="70" w:lineRule="exact"/>
        <w:rPr>
          <w:sz w:val="20"/>
          <w:szCs w:val="20"/>
          <w:color w:val="auto"/>
        </w:rPr>
      </w:pPr>
    </w:p>
    <w:p>
      <w:pPr>
        <w:ind w:left="1380" w:right="12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 xml:space="preserve">— </w:t>
      </w:r>
      <w:hyperlink r:id="rId131">
        <w:r>
          <w:rPr>
            <w:rFonts w:ascii="Arial" w:cs="Arial" w:eastAsia="Arial" w:hAnsi="Arial"/>
            <w:sz w:val="17"/>
            <w:szCs w:val="17"/>
            <w:u w:val="single" w:color="auto"/>
            <w:color w:val="0000FF"/>
          </w:rPr>
          <w:t>Registration Rights Agreement dated as of January 28, 2016 among Plains All American Pipeline, L.P. and the Purchasers named</w:t>
        </w:r>
      </w:hyperlink>
      <w:r>
        <w:rPr>
          <w:rFonts w:ascii="Arial" w:cs="Arial" w:eastAsia="Arial" w:hAnsi="Arial"/>
          <w:sz w:val="17"/>
          <w:szCs w:val="17"/>
          <w:color w:val="auto"/>
        </w:rPr>
        <w:t xml:space="preserve"> </w:t>
      </w:r>
      <w:hyperlink r:id="rId131">
        <w:r>
          <w:rPr>
            <w:rFonts w:ascii="Arial" w:cs="Arial" w:eastAsia="Arial" w:hAnsi="Arial"/>
            <w:sz w:val="17"/>
            <w:szCs w:val="17"/>
            <w:u w:val="single" w:color="auto"/>
            <w:color w:val="0000FF"/>
          </w:rPr>
          <w:t>therein (incorporated by reference to Exhibit 4.1 to our Current Report on Form 8-K filed February 2, 2016).</w:t>
        </w:r>
      </w:hyperlink>
    </w:p>
    <w:p>
      <w:pPr>
        <w:spacing w:after="0" w:line="77"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w:t>
      </w:r>
      <w:r>
        <w:rPr>
          <w:sz w:val="20"/>
          <w:szCs w:val="20"/>
          <w:color w:val="auto"/>
        </w:rPr>
        <w:tab/>
      </w:r>
      <w:hyperlink r:id="rId132">
        <w:r>
          <w:rPr>
            <w:rFonts w:ascii="Arial" w:cs="Arial" w:eastAsia="Arial" w:hAnsi="Arial"/>
            <w:sz w:val="16"/>
            <w:szCs w:val="16"/>
            <w:u w:val="single" w:color="auto"/>
            <w:color w:val="0000FF"/>
          </w:rPr>
          <w:t>Registration Rights Agreement by and among Plains All American Pipeline, L.P. and the Holders defined therein, dated November</w:t>
        </w:r>
      </w:hyperlink>
    </w:p>
    <w:p>
      <w:pPr>
        <w:ind w:left="176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15, 2016 (incorporated by reference to Exhibit 10.4 to our Current Report on Form 8-K filed November 21, 2016).</w:t>
        </w:r>
      </w:hyperlink>
    </w:p>
    <w:p>
      <w:pPr>
        <w:spacing w:after="0" w:line="115" w:lineRule="exact"/>
        <w:rPr>
          <w:sz w:val="20"/>
          <w:szCs w:val="20"/>
          <w:color w:val="auto"/>
        </w:rPr>
      </w:pPr>
    </w:p>
    <w:p>
      <w:pPr>
        <w:ind w:left="1380" w:right="24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Description of Our Securities (incorporated by reference to Exhibit 4.19 to our Annual Report on Form 10-K for the year ended</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December 31, 2020).</w:t>
        </w:r>
      </w:hyperlink>
    </w:p>
    <w:p>
      <w:pPr>
        <w:spacing w:after="0" w:line="108" w:lineRule="exact"/>
        <w:rPr>
          <w:sz w:val="20"/>
          <w:szCs w:val="20"/>
          <w:color w:val="auto"/>
        </w:rPr>
      </w:pPr>
    </w:p>
    <w:p>
      <w:pPr>
        <w:ind w:left="3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hyperlink w:anchor="page68">
        <w:r>
          <w:rPr>
            <w:rFonts w:ascii="Arial" w:cs="Arial" w:eastAsia="Arial" w:hAnsi="Arial"/>
            <w:sz w:val="16"/>
            <w:szCs w:val="16"/>
            <w:u w:val="single" w:color="auto"/>
            <w:color w:val="0000FF"/>
          </w:rPr>
          <w:t>Certification of Principal Executive Officer pursuant to Exchange Act Rules 13a-14(a) and 15d-14(a).</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31.2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0">
              <w:r>
                <w:rPr>
                  <w:rFonts w:ascii="Arial" w:cs="Arial" w:eastAsia="Arial" w:hAnsi="Arial"/>
                  <w:sz w:val="18"/>
                  <w:szCs w:val="18"/>
                  <w:color w:val="0000FF"/>
                </w:rPr>
                <w:t>Certification of Principal Executive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2"/>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1">
              <w:r>
                <w:rPr>
                  <w:rFonts w:ascii="Arial" w:cs="Arial" w:eastAsia="Arial" w:hAnsi="Arial"/>
                  <w:sz w:val="18"/>
                  <w:szCs w:val="18"/>
                  <w:color w:val="0000FF"/>
                </w:rPr>
                <w:t>Certification of Principal Financial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0"/>
              </w:rPr>
              <w:t>101.INS†</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w w:val="91"/>
              </w:rPr>
              <w:t>—  XBRL Instance Document - the instance document does not appear in the Interactive Data File because its XBRL tags are</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101.SCH†</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4"/>
              </w:rPr>
              <w:t>101.CAL†</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3"/>
              </w:rPr>
              <w:t>101.DEF†</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6"/>
              </w:rPr>
              <w:t>101.LAB†</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101.PRE†</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104†</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5" w:right="10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0"/>
              </w:rPr>
              <w:t>Senior Vice President and Chief Accounting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6, 2021</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lowerRoman"/>
      <w:start w:val="2"/>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lowerRoman"/>
      <w:start w:val="2"/>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9"/>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Roman"/>
      <w:start w:val="3"/>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Roman"/>
      <w:start w:val="5"/>
    </w:lvl>
  </w:abstractNum>
  <w:abstractNum w:abstractNumId="41">
    <w:nsid w:val="32FFF902"/>
    <w:multiLevelType w:val="hybridMultilevel"/>
    <w:lvl w:ilvl="0">
      <w:lvlJc w:val="left"/>
      <w:lvlText w:val="(%1)"/>
      <w:numFmt w:val="lowerRoman"/>
      <w:start w:val="4"/>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2" Type="http://schemas.openxmlformats.org/officeDocument/2006/relationships/image" Target="media/image81.png"/><Relationship Id="rId119"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88" Type="http://schemas.openxmlformats.org/officeDocument/2006/relationships/hyperlink" Target="http://www.sec.gov/Archives/edgar/data/1070423/000110465917061889/a17-22685_5ex3d1.htm#Exhibit3_1_122228" TargetMode="External"/><Relationship Id="rId89" Type="http://schemas.openxmlformats.org/officeDocument/2006/relationships/hyperlink" Target="http://www.sec.gov/Archives/edgar/data/1070423/000104746904016502/a2135501zex-3_2.htm" TargetMode="External"/><Relationship Id="rId90" Type="http://schemas.openxmlformats.org/officeDocument/2006/relationships/hyperlink" Target="http://www.sec.gov/Archives/edgar/data/1070423/000110465911010359/a11-2319_1ex3d9.htm" TargetMode="External"/><Relationship Id="rId91" Type="http://schemas.openxmlformats.org/officeDocument/2006/relationships/hyperlink" Target="http://www.sec.gov/Archives/edgar/data/1070423/000110465911010359/a11-2319_1ex3d10.htm" TargetMode="External"/><Relationship Id="rId92" Type="http://schemas.openxmlformats.org/officeDocument/2006/relationships/hyperlink" Target="http://www.sec.gov/Archives/edgar/data/1070423/000110465914014322/a13-25941_1ex3d7.htm" TargetMode="External"/><Relationship Id="rId93" Type="http://schemas.openxmlformats.org/officeDocument/2006/relationships/hyperlink" Target="http://www.sec.gov/Archives/edgar/data/1070423/000110465914014322/a13-25941_1ex3d8.htm" TargetMode="External"/><Relationship Id="rId94" Type="http://schemas.openxmlformats.org/officeDocument/2006/relationships/hyperlink" Target="http://www.sec.gov/Archives/edgar/data/1070423/000107042320000004/paa201910-kexhibit37.htm" TargetMode="External"/><Relationship Id="rId95" Type="http://schemas.openxmlformats.org/officeDocument/2006/relationships/hyperlink" Target="http://www.sec.gov/Archives/edgar/data/1070423/000104746904016502/a2135501zex-3_3.htm" TargetMode="External"/><Relationship Id="rId96" Type="http://schemas.openxmlformats.org/officeDocument/2006/relationships/hyperlink" Target="http://www.sec.gov/Archives/edgar/data/1070423/000110465914014322/a13-25941_1ex3d10.htm" TargetMode="External"/><Relationship Id="rId97" Type="http://schemas.openxmlformats.org/officeDocument/2006/relationships/hyperlink" Target="http://www.sec.gov/Archives/edgar/data/1070423/000110465916158355/a16-21841_1ex3d3.htm" TargetMode="External"/><Relationship Id="rId98" Type="http://schemas.openxmlformats.org/officeDocument/2006/relationships/hyperlink" Target="http://www.sec.gov/Archives/edgar/data/1070423/000110465916158355/a16-21841_1ex3d4.htm" TargetMode="External"/><Relationship Id="rId99" Type="http://schemas.openxmlformats.org/officeDocument/2006/relationships/hyperlink" Target="http://www.sec.gov/Archives/edgar/data/1070423/000110465918060011/a18-36196_1ex3d1.htm" TargetMode="External"/><Relationship Id="rId100" Type="http://schemas.openxmlformats.org/officeDocument/2006/relationships/hyperlink" Target="http://www.sec.gov/Archives/edgar/data/1070423/000110465919032810/a19-10856_1ex3d1.htm" TargetMode="External"/><Relationship Id="rId101" Type="http://schemas.openxmlformats.org/officeDocument/2006/relationships/hyperlink" Target="http://www.sec.gov/Archives/edgar/data/1070423/000095012907001096/h43224exv3w10.htm" TargetMode="External"/><Relationship Id="rId103" Type="http://schemas.openxmlformats.org/officeDocument/2006/relationships/hyperlink" Target="http://www.sec.gov/Archives/edgar/data/1070423/000095012907001096/h43224exv3w11.htm" TargetMode="External"/><Relationship Id="rId104" Type="http://schemas.openxmlformats.org/officeDocument/2006/relationships/hyperlink" Target="http://www.sec.gov/Archives/edgar/data/1070423/000095012908000071/h52770exv3w3.htm" TargetMode="External"/><Relationship Id="rId105" Type="http://schemas.openxmlformats.org/officeDocument/2006/relationships/hyperlink" Target="http://www.sec.gov/Archives/edgar/data/1581990/000104746913007875/a2216069zex-3_1.htm" TargetMode="External"/><Relationship Id="rId106" Type="http://schemas.openxmlformats.org/officeDocument/2006/relationships/hyperlink" Target="http://www.sec.gov/Archives/edgar/data/1581990/000110465916158356/a16-21845_1ex3d2.htm" TargetMode="External"/><Relationship Id="rId107" Type="http://schemas.openxmlformats.org/officeDocument/2006/relationships/hyperlink" Target="http://www.sec.gov/Archives/edgar/data/1581990/000158199020000012/exhibit31.htm" TargetMode="External"/><Relationship Id="rId108" Type="http://schemas.openxmlformats.org/officeDocument/2006/relationships/hyperlink" Target="http://www.sec.gov/Archives/edgar/data/1581990/000104746913007875/a2216069zex-3_3.htm" TargetMode="External"/><Relationship Id="rId109" Type="http://schemas.openxmlformats.org/officeDocument/2006/relationships/hyperlink" Target="http://www.sec.gov/Archives/edgar/data/1070423/000110465917010601/a17-6891_1ex3d1.htm" TargetMode="External"/><Relationship Id="rId110" Type="http://schemas.openxmlformats.org/officeDocument/2006/relationships/hyperlink" Target="http://www.sec.gov/Archives/edgar/data/1070423/000110465918052848/a18-18381_3ex3d1.htm" TargetMode="External"/><Relationship Id="rId111" Type="http://schemas.openxmlformats.org/officeDocument/2006/relationships/hyperlink" Target="http://www.sec.gov/Archives/edgar/data/1070423/000110465918072384/a18-41341_1ex3d1.htm" TargetMode="External"/><Relationship Id="rId112" Type="http://schemas.openxmlformats.org/officeDocument/2006/relationships/hyperlink" Target="http://www.sec.gov/Archives/edgar/data/1070423/000110465919067782/tm1923979d1_ex3-1.htm" TargetMode="External"/><Relationship Id="rId113" Type="http://schemas.openxmlformats.org/officeDocument/2006/relationships/hyperlink" Target="http://www.sec.gov/Archives/edgar/data/1070423/000110465921031455/tm218523d2_ex3-1.htm" TargetMode="External"/><Relationship Id="rId114" Type="http://schemas.openxmlformats.org/officeDocument/2006/relationships/hyperlink" Target="http://www.sec.gov/Archives/edgar/data/1070423/000089924302002834/dex41.txt" TargetMode="External"/><Relationship Id="rId115" Type="http://schemas.openxmlformats.org/officeDocument/2006/relationships/hyperlink" Target="http://www.sec.gov/Archives/edgar/data/1070423/000110465906034368/a06-11663_1ex4d1.htm" TargetMode="External"/><Relationship Id="rId116" Type="http://schemas.openxmlformats.org/officeDocument/2006/relationships/hyperlink" Target="http://www.sec.gov/Archives/edgar/data/1070423/000095012906009235/h40667exv4w2.htm" TargetMode="External"/><Relationship Id="rId117" Type="http://schemas.openxmlformats.org/officeDocument/2006/relationships/hyperlink" Target="http://www.sec.gov/Archives/edgar/data/1070423/000119312512132295/d321017dex41.htm" TargetMode="External"/><Relationship Id="rId118" Type="http://schemas.openxmlformats.org/officeDocument/2006/relationships/hyperlink" Target="http://www.sec.gov/Archives/edgar/data/1070423/000119312512132295/d321017dex43.htm" TargetMode="External"/><Relationship Id="rId120" Type="http://schemas.openxmlformats.org/officeDocument/2006/relationships/hyperlink" Target="http://www.sec.gov/Archives/edgar/data/1070423/000119312512499932/d453762dex41.htm" TargetMode="External"/><Relationship Id="rId121" Type="http://schemas.openxmlformats.org/officeDocument/2006/relationships/hyperlink" Target="http://www.sec.gov/Archives/edgar/data/1070423/000119312512499932/d453762dex43.htm" TargetMode="External"/><Relationship Id="rId122" Type="http://schemas.openxmlformats.org/officeDocument/2006/relationships/hyperlink" Target="http://www.sec.gov/Archives/edgar/data/1070423/000119312513336066/d581734dex41.htm" TargetMode="External"/><Relationship Id="rId123" Type="http://schemas.openxmlformats.org/officeDocument/2006/relationships/hyperlink" Target="http://www.sec.gov/Archives/edgar/data/1070423/000119312514164183/d713938dex41.htm" TargetMode="External"/><Relationship Id="rId124" Type="http://schemas.openxmlformats.org/officeDocument/2006/relationships/hyperlink" Target="http://www.sec.gov/Archives/edgar/data/1070423/000119312514338289/d787160dex41.htm" TargetMode="External"/><Relationship Id="rId125" Type="http://schemas.openxmlformats.org/officeDocument/2006/relationships/hyperlink" Target="http://www.sec.gov/Archives/edgar/data/1070423/000119312514440007/d833885dex43.htm" TargetMode="External"/><Relationship Id="rId126" Type="http://schemas.openxmlformats.org/officeDocument/2006/relationships/hyperlink" Target="http://www.sec.gov/Archives/edgar/data/1070423/000119312515302829/d45393dex41.htm" TargetMode="External"/><Relationship Id="rId127" Type="http://schemas.openxmlformats.org/officeDocument/2006/relationships/hyperlink" Target="http://www.sec.gov/Archives/edgar/data/1070423/000110465916159593/a16-22232_1ex4d1.htm" TargetMode="External"/><Relationship Id="rId128" Type="http://schemas.openxmlformats.org/officeDocument/2006/relationships/hyperlink" Target="http://www.sec.gov/Archives/edgar/data/1070423/000141057819001281/tv529555_ex4-1.htm" TargetMode="External"/><Relationship Id="rId129" Type="http://schemas.openxmlformats.org/officeDocument/2006/relationships/hyperlink" Target="http://www.sec.gov/Archives/edgar/data/1070423/000110465920072270/tm2022235d1_ex4-1.htm" TargetMode="External"/><Relationship Id="rId130" Type="http://schemas.openxmlformats.org/officeDocument/2006/relationships/hyperlink" Target="http://www.sec.gov/Archives/edgar/data/1070423/000095012309050401/h68193exv4w1.htm" TargetMode="External"/><Relationship Id="rId131" Type="http://schemas.openxmlformats.org/officeDocument/2006/relationships/hyperlink" Target="http://www.sec.gov/Archives/edgar/data/1070423/000110465916093299/a16-3362_1ex4d1.htm" TargetMode="External"/><Relationship Id="rId132" Type="http://schemas.openxmlformats.org/officeDocument/2006/relationships/hyperlink" Target="http://www.sec.gov/Archives/edgar/data/1070423/000110465916158355/a16-21841_1ex10d4.htm" TargetMode="External"/><Relationship Id="rId133" Type="http://schemas.openxmlformats.org/officeDocument/2006/relationships/hyperlink" Target="http://www.sec.gov/Archives/edgar/data/1070423/000107042321000008/paa2020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2021-08-06T17:19:58Z</dcterms:created>
  <dcterms:modified xsi:type="dcterms:W3CDTF">2021-08-06T17:19:58Z</dcterms:modified>
</cp:coreProperties>
</file>