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color w:val="000000"/>
          <w:sz w:val="10"/>
        </w:rPr>
      </w:pPr>
      <w:r>
        <w:rPr>
          <w:rFonts w:ascii="Times New Roman;sans-serif" w:hAnsi="Times New Roman;sans-serif"/>
          <w:b/>
          <w:color w:val="000000"/>
          <w:sz w:val="10"/>
        </w:rPr>
        <w:t>________________________________________________________________________________________________________________________________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1-14569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PLAINS ALL AMERICAN PIPELINE, L.P.</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76-0582150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333 Clay Street, Suite 1600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Houston, Texas 77002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(713) 646-4100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Units</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PAA</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pPr>
      <w:r>
        <w:rPr>
          <w:color w:val="000000"/>
        </w:rPr>
        <w:t> </w:t>
      </w: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360"/>
        <w:jc w:val="left"/>
        <w:rPr/>
      </w:pPr>
      <w:r>
        <w:rPr>
          <w:color w:val="000000"/>
        </w:rPr>
        <w:t> </w:t>
      </w: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October 31, 2023, there were 700,992,512 Common Units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21"/>
        <w:gridCol w:w="3079"/>
        <w:gridCol w:w="3092"/>
        <w:gridCol w:w="149"/>
        <w:gridCol w:w="149"/>
        <w:gridCol w:w="215"/>
      </w:tblGrid>
      <w:tr>
        <w:trPr/>
        <w:tc>
          <w:tcPr>
            <w:tcW w:w="3521"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06b1a9b33b94f419eb62da963f5db0c_10">
              <w:r>
                <w:rPr>
                  <w:rStyle w:val="InternetLink"/>
                  <w:rFonts w:ascii="Times New Roman;sans-serif" w:hAnsi="Times New Roman;sans-serif"/>
                  <w:b/>
                  <w:color w:val="0000FF"/>
                  <w:sz w:val="20"/>
                  <w:u w:val="single"/>
                </w:rPr>
                <w:t>PART I.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3">
              <w:r>
                <w:rPr>
                  <w:rStyle w:val="InternetLink"/>
                  <w:rFonts w:ascii="Times New Roman;sans-serif" w:hAnsi="Times New Roman;sans-serif"/>
                  <w:b w:val="false"/>
                  <w:color w:val="0000FF"/>
                  <w:sz w:val="20"/>
                  <w:u w:val="single"/>
                </w:rPr>
                <w:t>Item 1. UNAUDITED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6">
              <w:r>
                <w:rPr>
                  <w:rStyle w:val="InternetLink"/>
                  <w:rFonts w:ascii="Times New Roman;sans-serif" w:hAnsi="Times New Roman;sans-serif"/>
                  <w:b w:val="false"/>
                  <w:color w:val="000080"/>
                  <w:sz w:val="20"/>
                  <w:u w:val="single"/>
                </w:rPr>
                <w:t xml:space="preserve">Condensed Consolidated Balance Sheets: As of </w:t>
              </w:r>
            </w:hyperlink>
            <w:hyperlink w:anchor="i406b1a9b33b94f419eb62da963f5db0c_16">
              <w:r>
                <w:rPr>
                  <w:rStyle w:val="InternetLink"/>
                  <w:rFonts w:ascii="Times New Roman;sans-serif" w:hAnsi="Times New Roman;sans-serif"/>
                  <w:b w:val="false"/>
                  <w:color w:val="000080"/>
                  <w:sz w:val="20"/>
                  <w:u w:val="single"/>
                </w:rPr>
                <w:t>September</w:t>
              </w:r>
            </w:hyperlink>
            <w:hyperlink w:anchor="i406b1a9b33b94f419eb62da963f5db0c_16">
              <w:r>
                <w:rPr>
                  <w:rStyle w:val="InternetLink"/>
                  <w:rFonts w:ascii="Times New Roman;sans-serif" w:hAnsi="Times New Roman;sans-serif"/>
                  <w:b w:val="false"/>
                  <w:color w:val="000080"/>
                  <w:sz w:val="20"/>
                  <w:u w:val="single"/>
                </w:rPr>
                <w:t xml:space="preserve"> 30, 2023 and December 31,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16">
              <w:r>
                <w:rPr>
                  <w:rStyle w:val="InternetLink"/>
                  <w:rFonts w:ascii="Times New Roman;sans-serif" w:hAnsi="Times New Roman;sans-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06b1a9b33b94f419eb62da963f5db0c_22">
              <w:r>
                <w:rPr>
                  <w:rStyle w:val="InternetLink"/>
                  <w:rFonts w:ascii="Times New Roman;sans-serif" w:hAnsi="Times New Roman;sans-serif"/>
                  <w:b w:val="false"/>
                  <w:color w:val="000080"/>
                  <w:sz w:val="20"/>
                  <w:u w:val="single"/>
                </w:rPr>
                <w:t xml:space="preserve">Condensed Consolidated Statements of Operations: For the three and </w:t>
              </w:r>
            </w:hyperlink>
            <w:hyperlink w:anchor="i406b1a9b33b94f419eb62da963f5db0c_22">
              <w:r>
                <w:rPr>
                  <w:rStyle w:val="InternetLink"/>
                  <w:rFonts w:ascii="Times New Roman;sans-serif" w:hAnsi="Times New Roman;sans-serif"/>
                  <w:b w:val="false"/>
                  <w:color w:val="000080"/>
                  <w:sz w:val="20"/>
                  <w:u w:val="single"/>
                </w:rPr>
                <w:t>nine</w:t>
              </w:r>
            </w:hyperlink>
            <w:hyperlink w:anchor="i406b1a9b33b94f419eb62da963f5db0c_22">
              <w:r>
                <w:rPr>
                  <w:rStyle w:val="InternetLink"/>
                  <w:rFonts w:ascii="Times New Roman;sans-serif" w:hAnsi="Times New Roman;sans-serif"/>
                  <w:b w:val="false"/>
                  <w:color w:val="000080"/>
                  <w:sz w:val="20"/>
                  <w:u w:val="single"/>
                </w:rPr>
                <w:t xml:space="preserve"> months ended </w:t>
              </w:r>
            </w:hyperlink>
            <w:hyperlink w:anchor="i406b1a9b33b94f419eb62da963f5db0c_22">
              <w:r>
                <w:rPr>
                  <w:rStyle w:val="InternetLink"/>
                  <w:rFonts w:ascii="Times New Roman;sans-serif" w:hAnsi="Times New Roman;sans-serif"/>
                  <w:b w:val="false"/>
                  <w:color w:val="000080"/>
                  <w:sz w:val="20"/>
                  <w:u w:val="single"/>
                </w:rPr>
                <w:t>September</w:t>
              </w:r>
            </w:hyperlink>
            <w:hyperlink w:anchor="i406b1a9b33b94f419eb62da963f5db0c_22">
              <w:r>
                <w:rPr>
                  <w:rStyle w:val="InternetLink"/>
                  <w:rFonts w:ascii="Times New Roman;sans-serif" w:hAnsi="Times New Roman;sans-serif"/>
                  <w:b w:val="false"/>
                  <w:color w:val="000080"/>
                  <w:sz w:val="20"/>
                  <w:u w:val="single"/>
                </w:rPr>
                <w:t xml:space="preserve"> 30, 2023 and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22">
              <w:r>
                <w:rPr>
                  <w:rStyle w:val="InternetLink"/>
                  <w:rFonts w:ascii="Times New Roman;sans-serif" w:hAnsi="Times New Roman;sans-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06b1a9b33b94f419eb62da963f5db0c_25">
              <w:r>
                <w:rPr>
                  <w:rStyle w:val="InternetLink"/>
                  <w:rFonts w:ascii="Times New Roman;sans-serif" w:hAnsi="Times New Roman;sans-serif"/>
                  <w:b w:val="false"/>
                  <w:color w:val="000080"/>
                  <w:sz w:val="20"/>
                  <w:u w:val="single"/>
                </w:rPr>
                <w:t xml:space="preserve">Condensed Consolidated Statements of Comprehensive Income/(Loss): For the three and </w:t>
              </w:r>
            </w:hyperlink>
            <w:hyperlink w:anchor="i406b1a9b33b94f419eb62da963f5db0c_25">
              <w:r>
                <w:rPr>
                  <w:rStyle w:val="InternetLink"/>
                  <w:rFonts w:ascii="Times New Roman;sans-serif" w:hAnsi="Times New Roman;sans-serif"/>
                  <w:b w:val="false"/>
                  <w:color w:val="000080"/>
                  <w:sz w:val="20"/>
                  <w:u w:val="single"/>
                </w:rPr>
                <w:t xml:space="preserve">nine </w:t>
              </w:r>
            </w:hyperlink>
            <w:hyperlink w:anchor="i406b1a9b33b94f419eb62da963f5db0c_25">
              <w:r>
                <w:rPr>
                  <w:rStyle w:val="InternetLink"/>
                  <w:rFonts w:ascii="Times New Roman;sans-serif" w:hAnsi="Times New Roman;sans-serif"/>
                  <w:b w:val="false"/>
                  <w:color w:val="000080"/>
                  <w:sz w:val="20"/>
                  <w:u w:val="single"/>
                </w:rPr>
                <w:t xml:space="preserve">months ended </w:t>
              </w:r>
            </w:hyperlink>
            <w:hyperlink w:anchor="i406b1a9b33b94f419eb62da963f5db0c_25">
              <w:r>
                <w:rPr>
                  <w:rStyle w:val="InternetLink"/>
                  <w:rFonts w:ascii="Times New Roman;sans-serif" w:hAnsi="Times New Roman;sans-serif"/>
                  <w:b w:val="false"/>
                  <w:color w:val="000080"/>
                  <w:sz w:val="20"/>
                  <w:u w:val="single"/>
                </w:rPr>
                <w:t>September</w:t>
              </w:r>
            </w:hyperlink>
            <w:hyperlink w:anchor="i406b1a9b33b94f419eb62da963f5db0c_25">
              <w:r>
                <w:rPr>
                  <w:rStyle w:val="InternetLink"/>
                  <w:rFonts w:ascii="Times New Roman;sans-serif" w:hAnsi="Times New Roman;sans-serif"/>
                  <w:b w:val="false"/>
                  <w:color w:val="000080"/>
                  <w:sz w:val="20"/>
                  <w:u w:val="single"/>
                </w:rPr>
                <w:t xml:space="preserve"> 30, 2023 and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25">
              <w:r>
                <w:rPr>
                  <w:rStyle w:val="InternetLink"/>
                  <w:rFonts w:ascii="Times New Roman;sans-serif" w:hAnsi="Times New Roman;sans-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06b1a9b33b94f419eb62da963f5db0c_28">
              <w:r>
                <w:rPr>
                  <w:rStyle w:val="InternetLink"/>
                  <w:rFonts w:ascii="Times New Roman;sans-serif" w:hAnsi="Times New Roman;sans-serif"/>
                  <w:b w:val="false"/>
                  <w:color w:val="000080"/>
                  <w:sz w:val="20"/>
                  <w:u w:val="single"/>
                </w:rPr>
                <w:t xml:space="preserve">Condensed Consolidated Statements of Changes in Accumulated Other Comprehensive Income/(Loss): For the three and </w:t>
              </w:r>
            </w:hyperlink>
            <w:hyperlink w:anchor="i406b1a9b33b94f419eb62da963f5db0c_28">
              <w:r>
                <w:rPr>
                  <w:rStyle w:val="InternetLink"/>
                  <w:rFonts w:ascii="Times New Roman;sans-serif" w:hAnsi="Times New Roman;sans-serif"/>
                  <w:b w:val="false"/>
                  <w:color w:val="000080"/>
                  <w:sz w:val="20"/>
                  <w:u w:val="single"/>
                </w:rPr>
                <w:t>nine</w:t>
              </w:r>
            </w:hyperlink>
            <w:hyperlink w:anchor="i406b1a9b33b94f419eb62da963f5db0c_28">
              <w:r>
                <w:rPr>
                  <w:rStyle w:val="InternetLink"/>
                  <w:rFonts w:ascii="Times New Roman;sans-serif" w:hAnsi="Times New Roman;sans-serif"/>
                  <w:b w:val="false"/>
                  <w:color w:val="000080"/>
                  <w:sz w:val="20"/>
                  <w:u w:val="single"/>
                </w:rPr>
                <w:t xml:space="preserve"> months ended </w:t>
              </w:r>
            </w:hyperlink>
            <w:hyperlink w:anchor="i406b1a9b33b94f419eb62da963f5db0c_28">
              <w:r>
                <w:rPr>
                  <w:rStyle w:val="InternetLink"/>
                  <w:rFonts w:ascii="Times New Roman;sans-serif" w:hAnsi="Times New Roman;sans-serif"/>
                  <w:b w:val="false"/>
                  <w:color w:val="000080"/>
                  <w:sz w:val="20"/>
                  <w:u w:val="single"/>
                </w:rPr>
                <w:t>September</w:t>
              </w:r>
            </w:hyperlink>
            <w:hyperlink w:anchor="i406b1a9b33b94f419eb62da963f5db0c_28">
              <w:r>
                <w:rPr>
                  <w:rStyle w:val="InternetLink"/>
                  <w:rFonts w:ascii="Times New Roman;sans-serif" w:hAnsi="Times New Roman;sans-serif"/>
                  <w:b w:val="false"/>
                  <w:color w:val="000080"/>
                  <w:sz w:val="20"/>
                  <w:u w:val="single"/>
                </w:rPr>
                <w:t xml:space="preserve"> 30, 2023 and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28">
              <w:r>
                <w:rPr>
                  <w:rStyle w:val="InternetLink"/>
                  <w:rFonts w:ascii="Times New Roman;sans-serif" w:hAnsi="Times New Roman;sans-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31">
              <w:r>
                <w:rPr>
                  <w:rStyle w:val="InternetLink"/>
                  <w:rFonts w:ascii="Times New Roman;sans-serif" w:hAnsi="Times New Roman;sans-serif"/>
                  <w:b w:val="false"/>
                  <w:color w:val="000080"/>
                  <w:sz w:val="20"/>
                  <w:u w:val="single"/>
                </w:rPr>
                <w:t xml:space="preserve">Condensed Consolidated Statements of Cash Flows: For the </w:t>
              </w:r>
            </w:hyperlink>
            <w:hyperlink w:anchor="i406b1a9b33b94f419eb62da963f5db0c_31">
              <w:r>
                <w:rPr>
                  <w:rStyle w:val="InternetLink"/>
                  <w:rFonts w:ascii="Times New Roman;sans-serif" w:hAnsi="Times New Roman;sans-serif"/>
                  <w:b w:val="false"/>
                  <w:color w:val="000080"/>
                  <w:sz w:val="20"/>
                  <w:u w:val="single"/>
                </w:rPr>
                <w:t>nine</w:t>
              </w:r>
            </w:hyperlink>
            <w:hyperlink w:anchor="i406b1a9b33b94f419eb62da963f5db0c_31">
              <w:r>
                <w:rPr>
                  <w:rStyle w:val="InternetLink"/>
                  <w:rFonts w:ascii="Times New Roman;sans-serif" w:hAnsi="Times New Roman;sans-serif"/>
                  <w:b w:val="false"/>
                  <w:color w:val="000080"/>
                  <w:sz w:val="20"/>
                  <w:u w:val="single"/>
                </w:rPr>
                <w:t xml:space="preserve"> months ended </w:t>
              </w:r>
            </w:hyperlink>
            <w:hyperlink w:anchor="i406b1a9b33b94f419eb62da963f5db0c_31">
              <w:r>
                <w:rPr>
                  <w:rStyle w:val="InternetLink"/>
                  <w:rFonts w:ascii="Times New Roman;sans-serif" w:hAnsi="Times New Roman;sans-serif"/>
                  <w:b w:val="false"/>
                  <w:color w:val="000080"/>
                  <w:sz w:val="20"/>
                  <w:u w:val="single"/>
                </w:rPr>
                <w:t>September</w:t>
              </w:r>
            </w:hyperlink>
            <w:hyperlink w:anchor="i406b1a9b33b94f419eb62da963f5db0c_31">
              <w:r>
                <w:rPr>
                  <w:rStyle w:val="InternetLink"/>
                  <w:rFonts w:ascii="Times New Roman;sans-serif" w:hAnsi="Times New Roman;sans-serif"/>
                  <w:b w:val="false"/>
                  <w:color w:val="000080"/>
                  <w:sz w:val="20"/>
                  <w:u w:val="single"/>
                </w:rPr>
                <w:t xml:space="preserve"> 30, 2023 and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31">
              <w:r>
                <w:rPr>
                  <w:rStyle w:val="InternetLink"/>
                  <w:rFonts w:ascii="Times New Roman;sans-serif" w:hAnsi="Times New Roman;sans-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06b1a9b33b94f419eb62da963f5db0c_34">
              <w:r>
                <w:rPr>
                  <w:rStyle w:val="InternetLink"/>
                  <w:rFonts w:ascii="Times New Roman;sans-serif" w:hAnsi="Times New Roman;sans-serif"/>
                  <w:b w:val="false"/>
                  <w:color w:val="000080"/>
                  <w:sz w:val="20"/>
                  <w:u w:val="single"/>
                </w:rPr>
                <w:t xml:space="preserve">Condensed Consolidated Statements of Changes in Partners’ Capital: For the three and </w:t>
              </w:r>
            </w:hyperlink>
            <w:hyperlink w:anchor="i406b1a9b33b94f419eb62da963f5db0c_34">
              <w:r>
                <w:rPr>
                  <w:rStyle w:val="InternetLink"/>
                  <w:rFonts w:ascii="Times New Roman;sans-serif" w:hAnsi="Times New Roman;sans-serif"/>
                  <w:b w:val="false"/>
                  <w:color w:val="000080"/>
                  <w:sz w:val="20"/>
                  <w:u w:val="single"/>
                </w:rPr>
                <w:t>nine</w:t>
              </w:r>
            </w:hyperlink>
            <w:hyperlink w:anchor="i406b1a9b33b94f419eb62da963f5db0c_34">
              <w:r>
                <w:rPr>
                  <w:rStyle w:val="InternetLink"/>
                  <w:rFonts w:ascii="Times New Roman;sans-serif" w:hAnsi="Times New Roman;sans-serif"/>
                  <w:b w:val="false"/>
                  <w:color w:val="000080"/>
                  <w:sz w:val="20"/>
                  <w:u w:val="single"/>
                </w:rPr>
                <w:t xml:space="preserve"> months ended </w:t>
              </w:r>
            </w:hyperlink>
            <w:hyperlink w:anchor="i406b1a9b33b94f419eb62da963f5db0c_34">
              <w:r>
                <w:rPr>
                  <w:rStyle w:val="InternetLink"/>
                  <w:rFonts w:ascii="Times New Roman;sans-serif" w:hAnsi="Times New Roman;sans-serif"/>
                  <w:b w:val="false"/>
                  <w:color w:val="000080"/>
                  <w:sz w:val="20"/>
                  <w:u w:val="single"/>
                </w:rPr>
                <w:t>September</w:t>
              </w:r>
            </w:hyperlink>
            <w:hyperlink w:anchor="i406b1a9b33b94f419eb62da963f5db0c_34">
              <w:r>
                <w:rPr>
                  <w:rStyle w:val="InternetLink"/>
                  <w:rFonts w:ascii="Times New Roman;sans-serif" w:hAnsi="Times New Roman;sans-serif"/>
                  <w:b w:val="false"/>
                  <w:color w:val="000080"/>
                  <w:sz w:val="20"/>
                  <w:u w:val="single"/>
                </w:rPr>
                <w:t xml:space="preserve"> 30, 2023 and 2022</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34">
              <w:r>
                <w:rPr>
                  <w:rStyle w:val="InternetLink"/>
                  <w:rFonts w:ascii="Times New Roman;sans-serif" w:hAnsi="Times New Roman;sans-serif"/>
                  <w:b w:val="false"/>
                  <w:color w:val="0000FF"/>
                  <w:sz w:val="20"/>
                  <w:u w:val="single"/>
                </w:rPr>
                <w:t>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37">
              <w:r>
                <w:rPr>
                  <w:rStyle w:val="InternetLink"/>
                  <w:rFonts w:ascii="Times New Roman;sans-serif" w:hAnsi="Times New Roman;sans-serif"/>
                  <w:b w:val="false"/>
                  <w:color w:val="0000FF"/>
                  <w:sz w:val="20"/>
                  <w:u w:val="single"/>
                </w:rPr>
                <w:t>Notes to the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40">
              <w:r>
                <w:rPr>
                  <w:rStyle w:val="InternetLink"/>
                  <w:rFonts w:ascii="Times New Roman;sans-serif" w:hAnsi="Times New Roman;sans-serif"/>
                  <w:b w:val="false"/>
                  <w:color w:val="0000FF"/>
                  <w:sz w:val="20"/>
                  <w:u w:val="single"/>
                </w:rPr>
                <w:t>1. Organization and Basis of Consolidation and Presentation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40">
              <w:r>
                <w:rPr>
                  <w:rStyle w:val="InternetLink"/>
                  <w:rFonts w:ascii="Times New Roman;sans-serif" w:hAnsi="Times New Roman;sans-serif"/>
                  <w:b w:val="false"/>
                  <w:color w:val="0000FF"/>
                  <w:sz w:val="20"/>
                  <w:u w:val="single"/>
                </w:rPr>
                <w:t>9</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46">
              <w:r>
                <w:rPr>
                  <w:rStyle w:val="InternetLink"/>
                  <w:rFonts w:ascii="Times New Roman;sans-serif" w:hAnsi="Times New Roman;sans-serif"/>
                  <w:b w:val="false"/>
                  <w:color w:val="0000FF"/>
                  <w:sz w:val="20"/>
                  <w:u w:val="single"/>
                </w:rPr>
                <w:t>2. Revenues and Accounts Receivable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46">
              <w:r>
                <w:rPr>
                  <w:rStyle w:val="InternetLink"/>
                  <w:rFonts w:ascii="Times New Roman;sans-serif" w:hAnsi="Times New Roman;sans-serif"/>
                  <w:b w:val="false"/>
                  <w:color w:val="0000FF"/>
                  <w:sz w:val="20"/>
                  <w:u w:val="single"/>
                </w:rPr>
                <w:t>11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52">
              <w:r>
                <w:rPr>
                  <w:rStyle w:val="InternetLink"/>
                  <w:rFonts w:ascii="Times New Roman;sans-serif" w:hAnsi="Times New Roman;sans-serif"/>
                  <w:b w:val="false"/>
                  <w:color w:val="0000FF"/>
                  <w:sz w:val="20"/>
                  <w:u w:val="single"/>
                </w:rPr>
                <w:t>3. Net Income Per Common Unit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52">
              <w:r>
                <w:rPr>
                  <w:rStyle w:val="InternetLink"/>
                  <w:rFonts w:ascii="Times New Roman;sans-serif" w:hAnsi="Times New Roman;sans-serif"/>
                  <w:b w:val="false"/>
                  <w:color w:val="0000FF"/>
                  <w:sz w:val="20"/>
                  <w:u w:val="single"/>
                </w:rPr>
                <w:t>14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55">
              <w:r>
                <w:rPr>
                  <w:rStyle w:val="InternetLink"/>
                  <w:rFonts w:ascii="Times New Roman;sans-serif" w:hAnsi="Times New Roman;sans-serif"/>
                  <w:b w:val="false"/>
                  <w:color w:val="0000FF"/>
                  <w:sz w:val="20"/>
                  <w:u w:val="single"/>
                </w:rPr>
                <w:t>4. Inventory, Linefill and Long-term Inventory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55">
              <w:r>
                <w:rPr>
                  <w:rStyle w:val="InternetLink"/>
                  <w:rFonts w:ascii="Times New Roman;sans-serif" w:hAnsi="Times New Roman;sans-serif"/>
                  <w:b w:val="false"/>
                  <w:color w:val="0000FF"/>
                  <w:sz w:val="20"/>
                  <w:u w:val="single"/>
                </w:rPr>
                <w:t>15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58">
              <w:r>
                <w:rPr>
                  <w:rStyle w:val="InternetLink"/>
                  <w:rFonts w:ascii="Times New Roman;sans-serif" w:hAnsi="Times New Roman;sans-serif"/>
                  <w:b w:val="false"/>
                  <w:color w:val="0000FF"/>
                  <w:sz w:val="20"/>
                  <w:u w:val="single"/>
                </w:rPr>
                <w:t>5. Debt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58">
              <w:r>
                <w:rPr>
                  <w:rStyle w:val="InternetLink"/>
                  <w:rFonts w:ascii="Times New Roman;sans-serif" w:hAnsi="Times New Roman;sans-serif"/>
                  <w:b w:val="false"/>
                  <w:color w:val="0000FF"/>
                  <w:sz w:val="20"/>
                  <w:u w:val="single"/>
                </w:rPr>
                <w:t>16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61">
              <w:r>
                <w:rPr>
                  <w:rStyle w:val="InternetLink"/>
                  <w:rFonts w:ascii="Times New Roman;sans-serif" w:hAnsi="Times New Roman;sans-serif"/>
                  <w:b w:val="false"/>
                  <w:color w:val="0000FF"/>
                  <w:sz w:val="20"/>
                  <w:u w:val="single"/>
                </w:rPr>
                <w:t>6. Partners’ Capital and Distributions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61">
              <w:r>
                <w:rPr>
                  <w:rStyle w:val="InternetLink"/>
                  <w:rFonts w:ascii="Times New Roman;sans-serif" w:hAnsi="Times New Roman;sans-serif"/>
                  <w:b w:val="false"/>
                  <w:color w:val="0000FF"/>
                  <w:sz w:val="20"/>
                  <w:u w:val="single"/>
                </w:rPr>
                <w:t>17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64">
              <w:r>
                <w:rPr>
                  <w:rStyle w:val="InternetLink"/>
                  <w:rFonts w:ascii="Times New Roman;sans-serif" w:hAnsi="Times New Roman;sans-serif"/>
                  <w:b w:val="false"/>
                  <w:color w:val="0000FF"/>
                  <w:sz w:val="20"/>
                  <w:u w:val="single"/>
                </w:rPr>
                <w:t>7. Derivatives and Risk Management Activities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64">
              <w:r>
                <w:rPr>
                  <w:rStyle w:val="InternetLink"/>
                  <w:rFonts w:ascii="Times New Roman;sans-serif" w:hAnsi="Times New Roman;sans-serif"/>
                  <w:b w:val="false"/>
                  <w:color w:val="0000FF"/>
                  <w:sz w:val="20"/>
                  <w:u w:val="single"/>
                </w:rPr>
                <w:t>19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67">
              <w:r>
                <w:rPr>
                  <w:rStyle w:val="InternetLink"/>
                  <w:rFonts w:ascii="Times New Roman;sans-serif" w:hAnsi="Times New Roman;sans-serif"/>
                  <w:b w:val="false"/>
                  <w:color w:val="0000FF"/>
                  <w:sz w:val="20"/>
                  <w:u w:val="single"/>
                </w:rPr>
                <w:t>8. Related Party Transactions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67">
              <w:r>
                <w:rPr>
                  <w:rStyle w:val="InternetLink"/>
                  <w:rFonts w:ascii="Times New Roman;sans-serif" w:hAnsi="Times New Roman;sans-serif"/>
                  <w:b w:val="false"/>
                  <w:color w:val="0000FF"/>
                  <w:sz w:val="20"/>
                  <w:u w:val="single"/>
                </w:rPr>
                <w:t>23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70">
              <w:r>
                <w:rPr>
                  <w:rStyle w:val="InternetLink"/>
                  <w:rFonts w:ascii="Times New Roman;sans-serif" w:hAnsi="Times New Roman;sans-serif"/>
                  <w:b w:val="false"/>
                  <w:color w:val="0000FF"/>
                  <w:sz w:val="20"/>
                  <w:u w:val="single"/>
                </w:rPr>
                <w:t>9. Commitments and Contingencies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70">
              <w:r>
                <w:rPr>
                  <w:rStyle w:val="InternetLink"/>
                  <w:rFonts w:ascii="Times New Roman;sans-serif" w:hAnsi="Times New Roman;sans-serif"/>
                  <w:b w:val="false"/>
                  <w:color w:val="0000FF"/>
                  <w:sz w:val="20"/>
                  <w:u w:val="single"/>
                </w:rPr>
                <w:t>25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73">
              <w:r>
                <w:rPr>
                  <w:rStyle w:val="InternetLink"/>
                  <w:rFonts w:ascii="Times New Roman;sans-serif" w:hAnsi="Times New Roman;sans-serif"/>
                  <w:b w:val="false"/>
                  <w:color w:val="0000FF"/>
                  <w:sz w:val="20"/>
                  <w:u w:val="single"/>
                </w:rPr>
                <w:t>10. Segment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73">
              <w:r>
                <w:rPr>
                  <w:rStyle w:val="InternetLink"/>
                  <w:rFonts w:ascii="Times New Roman;sans-serif" w:hAnsi="Times New Roman;sans-serif"/>
                  <w:b w:val="false"/>
                  <w:color w:val="0000FF"/>
                  <w:sz w:val="20"/>
                  <w:u w:val="single"/>
                </w:rPr>
                <w:t>30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76">
              <w:r>
                <w:rPr>
                  <w:rStyle w:val="InternetLink"/>
                  <w:rFonts w:ascii="Times New Roman;sans-serif" w:hAnsi="Times New Roman;sans-serif"/>
                  <w:b w:val="false"/>
                  <w:color w:val="0000FF"/>
                  <w:sz w:val="20"/>
                  <w:u w:val="single"/>
                </w:rPr>
                <w:t>11. Acquisitions and Divestitures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76">
              <w:r>
                <w:rPr>
                  <w:rStyle w:val="InternetLink"/>
                  <w:rFonts w:ascii="Times New Roman;sans-serif" w:hAnsi="Times New Roman;sans-serif"/>
                  <w:b w:val="false"/>
                  <w:color w:val="0000FF"/>
                  <w:sz w:val="20"/>
                  <w:u w:val="single"/>
                </w:rPr>
                <w:t>33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406b1a9b33b94f419eb62da963f5db0c_82">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82">
              <w:r>
                <w:rPr>
                  <w:rStyle w:val="InternetLink"/>
                  <w:rFonts w:ascii="Times New Roman;sans-serif" w:hAnsi="Times New Roman;sans-serif"/>
                  <w:b w:val="false"/>
                  <w:color w:val="0000FF"/>
                  <w:sz w:val="20"/>
                  <w:u w:val="single"/>
                </w:rPr>
                <w:t>36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15">
              <w:r>
                <w:rPr>
                  <w:rStyle w:val="InternetLink"/>
                  <w:rFonts w:ascii="Times New Roman;sans-serif" w:hAnsi="Times New Roman;sans-serif"/>
                  <w:b w:val="false"/>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115">
              <w:r>
                <w:rPr>
                  <w:rStyle w:val="InternetLink"/>
                  <w:rFonts w:ascii="Times New Roman;sans-serif" w:hAnsi="Times New Roman;sans-serif"/>
                  <w:b w:val="false"/>
                  <w:color w:val="0000FF"/>
                  <w:sz w:val="20"/>
                  <w:u w:val="single"/>
                </w:rPr>
                <w:t>56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18">
              <w:r>
                <w:rPr>
                  <w:rStyle w:val="InternetLink"/>
                  <w:rFonts w:ascii="Times New Roman;sans-serif" w:hAnsi="Times New Roman;sans-serif"/>
                  <w:b w:val="false"/>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118">
              <w:r>
                <w:rPr>
                  <w:rStyle w:val="InternetLink"/>
                  <w:rFonts w:ascii="Times New Roman;sans-serif" w:hAnsi="Times New Roman;sans-serif"/>
                  <w:b w:val="false"/>
                  <w:color w:val="0000FF"/>
                  <w:sz w:val="20"/>
                  <w:u w:val="single"/>
                </w:rPr>
                <w:t>57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21">
              <w:r>
                <w:rPr>
                  <w:rStyle w:val="InternetLink"/>
                  <w:rFonts w:ascii="Times New Roman;sans-serif" w:hAnsi="Times New Roman;sans-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24">
              <w:r>
                <w:rPr>
                  <w:rStyle w:val="InternetLink"/>
                  <w:rFonts w:ascii="Times New Roman;sans-serif" w:hAnsi="Times New Roman;sans-serif"/>
                  <w:b w:val="false"/>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124">
              <w:r>
                <w:rPr>
                  <w:rStyle w:val="InternetLink"/>
                  <w:rFonts w:ascii="Times New Roman;sans-serif" w:hAnsi="Times New Roman;sans-serif"/>
                  <w:b w:val="false"/>
                  <w:color w:val="0000FF"/>
                  <w:sz w:val="20"/>
                  <w:u w:val="single"/>
                </w:rPr>
                <w:t>58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27">
              <w:r>
                <w:rPr>
                  <w:rStyle w:val="InternetLink"/>
                  <w:rFonts w:ascii="Times New Roman;sans-serif" w:hAnsi="Times New Roman;sans-serif"/>
                  <w:b w:val="false"/>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127">
              <w:r>
                <w:rPr>
                  <w:rStyle w:val="InternetLink"/>
                  <w:rFonts w:ascii="Times New Roman;sans-serif" w:hAnsi="Times New Roman;sans-serif"/>
                  <w:b w:val="false"/>
                  <w:color w:val="0000FF"/>
                  <w:sz w:val="20"/>
                  <w:u w:val="single"/>
                </w:rPr>
                <w:t>58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30">
              <w:r>
                <w:rPr>
                  <w:rStyle w:val="InternetLink"/>
                  <w:rFonts w:ascii="Times New Roman;sans-serif" w:hAnsi="Times New Roman;sans-serif"/>
                  <w:b w:val="false"/>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130">
              <w:r>
                <w:rPr>
                  <w:rStyle w:val="InternetLink"/>
                  <w:rFonts w:ascii="Times New Roman;sans-serif" w:hAnsi="Times New Roman;sans-serif"/>
                  <w:b w:val="false"/>
                  <w:color w:val="0000FF"/>
                  <w:sz w:val="20"/>
                  <w:u w:val="single"/>
                </w:rPr>
                <w:t>58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33">
              <w:r>
                <w:rPr>
                  <w:rStyle w:val="InternetLink"/>
                  <w:rFonts w:ascii="Times New Roman;sans-serif" w:hAnsi="Times New Roman;sans-serif"/>
                  <w:b w:val="false"/>
                  <w:color w:val="0000FF"/>
                  <w:sz w:val="20"/>
                  <w:u w:val="single"/>
                </w:rPr>
                <w:t>Item 3. 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133">
              <w:r>
                <w:rPr>
                  <w:rStyle w:val="InternetLink"/>
                  <w:rFonts w:ascii="Times New Roman;sans-serif" w:hAnsi="Times New Roman;sans-serif"/>
                  <w:b w:val="false"/>
                  <w:color w:val="0000FF"/>
                  <w:sz w:val="20"/>
                  <w:u w:val="single"/>
                </w:rPr>
                <w:t>58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36">
              <w:r>
                <w:rPr>
                  <w:rStyle w:val="InternetLink"/>
                  <w:rFonts w:ascii="Times New Roman;sans-serif" w:hAnsi="Times New Roman;sans-serif"/>
                  <w:b w:val="false"/>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136">
              <w:r>
                <w:rPr>
                  <w:rStyle w:val="InternetLink"/>
                  <w:rFonts w:ascii="Times New Roman;sans-serif" w:hAnsi="Times New Roman;sans-serif"/>
                  <w:b w:val="false"/>
                  <w:color w:val="0000FF"/>
                  <w:sz w:val="20"/>
                  <w:u w:val="single"/>
                </w:rPr>
                <w:t>58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39">
              <w:r>
                <w:rPr>
                  <w:rStyle w:val="InternetLink"/>
                  <w:rFonts w:ascii="Times New Roman;sans-serif" w:hAnsi="Times New Roman;sans-serif"/>
                  <w:b w:val="false"/>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139">
              <w:r>
                <w:rPr>
                  <w:rStyle w:val="InternetLink"/>
                  <w:rFonts w:ascii="Times New Roman;sans-serif" w:hAnsi="Times New Roman;sans-serif"/>
                  <w:b w:val="false"/>
                  <w:color w:val="0000FF"/>
                  <w:sz w:val="20"/>
                  <w:u w:val="single"/>
                </w:rPr>
                <w:t>58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42">
              <w:r>
                <w:rPr>
                  <w:rStyle w:val="InternetLink"/>
                  <w:rFonts w:ascii="Times New Roman;sans-serif" w:hAnsi="Times New Roman;sans-serif"/>
                  <w:b w:val="false"/>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142">
              <w:r>
                <w:rPr>
                  <w:rStyle w:val="InternetLink"/>
                  <w:rFonts w:ascii="Times New Roman;sans-serif" w:hAnsi="Times New Roman;sans-serif"/>
                  <w:b w:val="false"/>
                  <w:color w:val="0000FF"/>
                  <w:sz w:val="20"/>
                  <w:u w:val="single"/>
                </w:rPr>
                <w:t>59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6b1a9b33b94f419eb62da963f5db0c_148">
              <w:r>
                <w:rPr>
                  <w:rStyle w:val="InternetLink"/>
                  <w:rFonts w:ascii="Times New Roman;sans-serif" w:hAnsi="Times New Roman;sans-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b1a9b33b94f419eb62da963f5db0c_148">
              <w:r>
                <w:rPr>
                  <w:rStyle w:val="InternetLink"/>
                  <w:rFonts w:ascii="Times New Roman;sans-serif" w:hAnsi="Times New Roman;sans-serif"/>
                  <w:b w:val="false"/>
                  <w:color w:val="0000FF"/>
                  <w:sz w:val="20"/>
                  <w:u w:val="single"/>
                </w:rPr>
                <w:t>63</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jc w:val="center"/>
        <w:rPr/>
      </w:pPr>
      <w:r>
        <w:rPr>
          <w:rFonts w:ascii="Times New Roman;sans-serif" w:hAnsi="Times New Roman;sans-serif"/>
          <w:b/>
          <w:color w:val="000000"/>
          <w:sz w:val="20"/>
        </w:rPr>
        <w:t>PART I. 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unit data)</w:t>
      </w:r>
    </w:p>
    <w:tbl>
      <w:tblPr>
        <w:tblW w:w="10090" w:type="dxa"/>
        <w:jc w:val="center"/>
        <w:tblInd w:w="0" w:type="dxa"/>
        <w:tblLayout w:type="fixed"/>
        <w:tblCellMar>
          <w:top w:w="28" w:type="dxa"/>
          <w:left w:w="28" w:type="dxa"/>
          <w:bottom w:w="28" w:type="dxa"/>
          <w:right w:w="28" w:type="dxa"/>
        </w:tblCellMar>
      </w:tblPr>
      <w:tblGrid>
        <w:gridCol w:w="2705"/>
        <w:gridCol w:w="2379"/>
        <w:gridCol w:w="2400"/>
        <w:gridCol w:w="231"/>
        <w:gridCol w:w="790"/>
        <w:gridCol w:w="119"/>
        <w:gridCol w:w="109"/>
        <w:gridCol w:w="109"/>
        <w:gridCol w:w="109"/>
        <w:gridCol w:w="221"/>
        <w:gridCol w:w="757"/>
        <w:gridCol w:w="161"/>
      </w:tblGrid>
      <w:tr>
        <w:trPr/>
        <w:tc>
          <w:tcPr>
            <w:tcW w:w="2705"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CURRENT ASSETS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receivable and other receivables,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5,331 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5,355 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 AND 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depreciation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(5,264)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15,589 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OTHER ASSETS</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unconsolidated entities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Linefill</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right-of-use assets,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inventory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 AND PARTNERS’ CAPITAL</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CURRENT LIABILITIES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payable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LONG-TERM LIABILITIES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Senior notes,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debt,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 and deferred credits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long-term liabilities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COMMITMENTS AND CONTINGENCIES (NOTE 9)</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PARTNERS’ CAPITAL</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Series A preferred unitholders (71,090,468 and 71,090,468 units outstanding, respectively)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Series B preferred unitholders (800,000 and 800,000 units outstanding, respectively)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unitholders (700,992,512 and 698,354,498 units outstanding, respectively)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partners’ capital excluding noncontrolling interests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10,285 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10,057 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partners’ capital</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13,551 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13,325 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partners’ capital</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27,735 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27,892 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unit data)</w:t>
      </w:r>
    </w:p>
    <w:tbl>
      <w:tblPr>
        <w:tblW w:w="10205" w:type="dxa"/>
        <w:jc w:val="center"/>
        <w:tblInd w:w="0" w:type="dxa"/>
        <w:tblLayout w:type="fixed"/>
        <w:tblCellMar>
          <w:top w:w="28" w:type="dxa"/>
          <w:left w:w="28" w:type="dxa"/>
          <w:bottom w:w="28" w:type="dxa"/>
          <w:right w:w="28" w:type="dxa"/>
        </w:tblCellMar>
      </w:tblPr>
      <w:tblGrid>
        <w:gridCol w:w="1913"/>
        <w:gridCol w:w="1547"/>
        <w:gridCol w:w="155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91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of $3, $1, $8, and $3,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PAA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UNIT (NOTE 3):</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common unitholders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color w:val="000000"/>
        </w:rPr>
      </w:pPr>
      <w:r>
        <w:rPr>
          <w:color w:val="000000"/>
        </w:rPr>
        <w:t> </w:t>
      </w:r>
    </w:p>
    <w:tbl>
      <w:tblPr>
        <w:tblW w:w="9554" w:type="dxa"/>
        <w:jc w:val="center"/>
        <w:tblInd w:w="0" w:type="dxa"/>
        <w:tblLayout w:type="fixed"/>
        <w:tblCellMar>
          <w:top w:w="28" w:type="dxa"/>
          <w:left w:w="28" w:type="dxa"/>
          <w:bottom w:w="28" w:type="dxa"/>
          <w:right w:w="28" w:type="dxa"/>
        </w:tblCellMar>
      </w:tblPr>
      <w:tblGrid>
        <w:gridCol w:w="1894"/>
        <w:gridCol w:w="1662"/>
        <w:gridCol w:w="1678"/>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7309"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331"/>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459"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331"/>
        <w:gridCol w:w="109"/>
        <w:gridCol w:w="109"/>
        <w:gridCol w:w="109"/>
        <w:gridCol w:w="109"/>
        <w:gridCol w:w="211"/>
        <w:gridCol w:w="69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227" w:type="dxa"/>
        <w:jc w:val="center"/>
        <w:tblInd w:w="0" w:type="dxa"/>
        <w:tblLayout w:type="fixed"/>
        <w:tblCellMar>
          <w:top w:w="28" w:type="dxa"/>
          <w:left w:w="28" w:type="dxa"/>
          <w:bottom w:w="28" w:type="dxa"/>
          <w:right w:w="28" w:type="dxa"/>
        </w:tblCellMar>
      </w:tblPr>
      <w:tblGrid>
        <w:gridCol w:w="2218"/>
        <w:gridCol w:w="1949"/>
        <w:gridCol w:w="1953"/>
        <w:gridCol w:w="211"/>
        <w:gridCol w:w="616"/>
        <w:gridCol w:w="109"/>
        <w:gridCol w:w="109"/>
        <w:gridCol w:w="109"/>
        <w:gridCol w:w="109"/>
        <w:gridCol w:w="215"/>
        <w:gridCol w:w="475"/>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Reconciliation of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Gains on asset sales and asset impairments,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expense/(benefit)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Gains on sales of linefill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(Gain)/loss on foreign currency revaluation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Settlement of terminated interest rate hedging instruments (Note 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Preferred Distribution Rate Reset Option (Note 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earnings in unconsolidated entities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on earnings from unconsolidated entities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investment in unconsolidated entities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assets and liabilities, net of acquisitions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in connection with acquisitions,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unconsolidated entities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property, equipment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purchases of linefill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sales of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received from sales of linefill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senior notes (Note 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common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Series A preferred unitholders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Series B preferred unitholders (Note 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common unitholders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noncontrolling interests (Note 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increase/(decrease) in cash and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and restricted cash,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net of amounts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net of amounts refunded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PARTNERS’ CAPITAL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9"/>
        <w:gridCol w:w="481"/>
        <w:gridCol w:w="484"/>
        <w:gridCol w:w="211"/>
        <w:gridCol w:w="616"/>
        <w:gridCol w:w="109"/>
        <w:gridCol w:w="109"/>
        <w:gridCol w:w="109"/>
        <w:gridCol w:w="109"/>
        <w:gridCol w:w="211"/>
        <w:gridCol w:w="466"/>
        <w:gridCol w:w="109"/>
        <w:gridCol w:w="109"/>
        <w:gridCol w:w="109"/>
        <w:gridCol w:w="109"/>
        <w:gridCol w:w="213"/>
        <w:gridCol w:w="622"/>
        <w:gridCol w:w="111"/>
        <w:gridCol w:w="109"/>
        <w:gridCol w:w="109"/>
        <w:gridCol w:w="109"/>
        <w:gridCol w:w="329"/>
        <w:gridCol w:w="1127"/>
        <w:gridCol w:w="172"/>
        <w:gridCol w:w="109"/>
        <w:gridCol w:w="109"/>
        <w:gridCol w:w="109"/>
        <w:gridCol w:w="301"/>
        <w:gridCol w:w="882"/>
        <w:gridCol w:w="157"/>
        <w:gridCol w:w="109"/>
        <w:gridCol w:w="109"/>
        <w:gridCol w:w="109"/>
        <w:gridCol w:w="211"/>
        <w:gridCol w:w="721"/>
        <w:gridCol w:w="158"/>
      </w:tblGrid>
      <w:tr>
        <w:trPr/>
        <w:tc>
          <w:tcPr>
            <w:tcW w:w="8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PARTNERS’ CAPITAL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9"/>
        <w:gridCol w:w="481"/>
        <w:gridCol w:w="484"/>
        <w:gridCol w:w="211"/>
        <w:gridCol w:w="616"/>
        <w:gridCol w:w="109"/>
        <w:gridCol w:w="109"/>
        <w:gridCol w:w="109"/>
        <w:gridCol w:w="109"/>
        <w:gridCol w:w="211"/>
        <w:gridCol w:w="466"/>
        <w:gridCol w:w="109"/>
        <w:gridCol w:w="109"/>
        <w:gridCol w:w="109"/>
        <w:gridCol w:w="109"/>
        <w:gridCol w:w="213"/>
        <w:gridCol w:w="622"/>
        <w:gridCol w:w="111"/>
        <w:gridCol w:w="109"/>
        <w:gridCol w:w="109"/>
        <w:gridCol w:w="109"/>
        <w:gridCol w:w="366"/>
        <w:gridCol w:w="1071"/>
        <w:gridCol w:w="191"/>
        <w:gridCol w:w="109"/>
        <w:gridCol w:w="109"/>
        <w:gridCol w:w="109"/>
        <w:gridCol w:w="301"/>
        <w:gridCol w:w="882"/>
        <w:gridCol w:w="157"/>
        <w:gridCol w:w="109"/>
        <w:gridCol w:w="109"/>
        <w:gridCol w:w="109"/>
        <w:gridCol w:w="211"/>
        <w:gridCol w:w="721"/>
        <w:gridCol w:w="158"/>
      </w:tblGrid>
      <w:tr>
        <w:trPr/>
        <w:tc>
          <w:tcPr>
            <w:tcW w:w="8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1—Organization and 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10 for further discussion of our operating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non-economic general partner interest is held by PAA GP LLC (“PAA GP”), a Delaware limited liability company, whose sole member is Plains AAP, L.P. (“AAP”), a Delaware limited partnership. In addition to its ownership of PAA GP, as of September 30, 2023, AAP also owned a limited partner interest in us through its ownership of approximately 239.0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September 30, 2023, owned an approximate 82% limited partner interest in AAP. PAA GP Holdings LLC (“PAGP GP”) is the general partner of PAGP.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References to our “general partner,” as the context requires, include any or all of PAGP GP, PAGP, GP LLC, AAP and PAA GP.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defined terms are used in this Form 10-Q and shall have the meanings indicated below:</w:t>
      </w:r>
    </w:p>
    <w:p>
      <w:pPr>
        <w:pStyle w:val="TextBody"/>
        <w:bidi w:val="0"/>
        <w:spacing w:before="0" w:after="0"/>
        <w:ind w:left="0" w:right="0" w:firstLine="720"/>
        <w:jc w:val="left"/>
        <w:rPr/>
      </w:pPr>
      <w:r>
        <w:rPr/>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thermal unit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Swaps and Derivatives Association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 plan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barrels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Mercantile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Texas Intermediate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interim financial statements and related notes thereto should be read in conjunction with our 2022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2022 was derived from audited financial statements, but does not include all disclosures required by GAAP. The results of operations for the three and nine months ended September 30, 2023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events have been evaluated through the financial statements issuance date and have been included in the following footnotes where applicable.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discussed below and in our 2022 Annual Report on Form 10-K, there have been no new accounting pronouncements that have become effective or have been issued during the nine months ended September 30, 2023 that are of significance or potential significance to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August 2023, the FASB issued ASU 2023-05, </w:t>
      </w:r>
      <w:r>
        <w:rPr>
          <w:rFonts w:ascii="Times New Roman;sans-serif" w:hAnsi="Times New Roman;sans-serif"/>
          <w:b w:val="false"/>
          <w:i/>
          <w:color w:val="000000"/>
          <w:sz w:val="20"/>
        </w:rPr>
        <w:t>Business Combinations—Joint Venture Formations (Subtopic 805-60): Recognition and Initial Measurement</w:t>
      </w:r>
      <w:r>
        <w:rPr>
          <w:rFonts w:ascii="Times New Roman;sans-serif" w:hAnsi="Times New Roman;sans-serif"/>
          <w:b w:val="false"/>
          <w:color w:val="000000"/>
          <w:sz w:val="20"/>
        </w:rPr>
        <w:t>, which requires a newly-formed joint venture to apply a new basis of accounting to its contributed net assets, resulting in the joint venture initially measuring its contributed net assets at fair value on the formation date. This guidance is effective prospectively for all joint ventures with a formation date on or after January 1, 2025, with early adoption permitted. We will adopt this guidance for joint venture formations on January 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revenues by segment and type of activity. See Note 3 to our Consolidated Financial Statements included in Part IV of our 2022 Annual Report on Form 10-K for additional information regarding our types of revenues and policies for revenue recognition.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Revenues from Contracts with Customers.</w:t>
      </w:r>
      <w:r>
        <w:rPr>
          <w:color w:val="000000"/>
        </w:rPr>
        <w:t xml:space="preserve"> </w:t>
      </w:r>
      <w:r>
        <w:rPr>
          <w:rFonts w:ascii="Times New Roman;sans-serif" w:hAnsi="Times New Roman;sans-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831"/>
        <w:gridCol w:w="1588"/>
        <w:gridCol w:w="15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404" w:type="dxa"/>
        <w:jc w:val="center"/>
        <w:tblInd w:w="0" w:type="dxa"/>
        <w:tblLayout w:type="fixed"/>
        <w:tblCellMar>
          <w:top w:w="28" w:type="dxa"/>
          <w:left w:w="28" w:type="dxa"/>
          <w:bottom w:w="28" w:type="dxa"/>
          <w:right w:w="28" w:type="dxa"/>
        </w:tblCellMar>
      </w:tblPr>
      <w:tblGrid>
        <w:gridCol w:w="1785"/>
        <w:gridCol w:w="1572"/>
        <w:gridCol w:w="1577"/>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NGL segment revenues from contracts with customers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NGL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Reconciliation to Total Revenues of Reportable Segments. </w:t>
      </w:r>
      <w:r>
        <w:rPr>
          <w:rFonts w:ascii="Times New Roman;sans-serif" w:hAnsi="Times New Roman;sans-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pStyle w:val="TextBody"/>
        <w:bidi w:val="0"/>
        <w:spacing w:before="0" w:after="0"/>
        <w:ind w:left="0" w:right="0" w:firstLine="720"/>
        <w:jc w:val="left"/>
        <w:rPr/>
      </w:pPr>
      <w:r>
        <w:rPr/>
      </w:r>
    </w:p>
    <w:tbl>
      <w:tblPr>
        <w:tblW w:w="7419" w:type="dxa"/>
        <w:jc w:val="center"/>
        <w:tblInd w:w="0" w:type="dxa"/>
        <w:tblLayout w:type="fixed"/>
        <w:tblCellMar>
          <w:top w:w="28" w:type="dxa"/>
          <w:left w:w="28" w:type="dxa"/>
          <w:bottom w:w="28" w:type="dxa"/>
          <w:right w:w="28" w:type="dxa"/>
        </w:tblCellMar>
      </w:tblPr>
      <w:tblGrid>
        <w:gridCol w:w="1223"/>
        <w:gridCol w:w="1074"/>
        <w:gridCol w:w="1078"/>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in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Nine Months Ended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in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Minimum Volume Commitments. </w:t>
      </w:r>
      <w:r>
        <w:rPr>
          <w:rFonts w:ascii="Times New Roman;sans-serif" w:hAnsi="Times New Roman;sans-serif"/>
          <w:b w:val="false"/>
          <w:color w:val="000000"/>
          <w:sz w:val="20"/>
        </w:rPr>
        <w:t>We have certain agreements that require counterparties to transport or throughput a minimum volume over an 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ind w:left="0" w:right="0" w:firstLine="720"/>
        <w:jc w:val="left"/>
        <w:rPr/>
      </w:pPr>
      <w:r>
        <w:rPr/>
      </w:r>
    </w:p>
    <w:tbl>
      <w:tblPr>
        <w:tblW w:w="7848"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352"/>
        <w:gridCol w:w="603"/>
        <w:gridCol w:w="184"/>
        <w:gridCol w:w="109"/>
        <w:gridCol w:w="109"/>
        <w:gridCol w:w="109"/>
        <w:gridCol w:w="289"/>
        <w:gridCol w:w="639"/>
        <w:gridCol w:w="212"/>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Unbilled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were related to deficiencies for which the counterparties had not met their contractual minimum commitments and are not reflected in our Condensed Consolidated Financial Statements as we had not yet billed or collected such amounts.</w:t>
      </w:r>
    </w:p>
    <w:p>
      <w:pPr>
        <w:pStyle w:val="TextBody"/>
        <w:bidi w:val="0"/>
        <w:spacing w:before="6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60" w:after="283"/>
        <w:ind w:left="0" w:right="0" w:firstLine="720"/>
        <w:jc w:val="left"/>
        <w:rPr/>
      </w:pPr>
      <w:r>
        <w:rPr>
          <w:rFonts w:ascii="Times New Roman;sans-serif" w:hAnsi="Times New Roman;sans-serif"/>
          <w:b w:val="false"/>
          <w:i/>
          <w:color w:val="000000"/>
          <w:sz w:val="20"/>
        </w:rPr>
        <w:t>Contract Balances</w:t>
      </w:r>
      <w:r>
        <w:rPr>
          <w:rFonts w:ascii="Times New Roman;sans-serif" w:hAnsi="Times New Roman;sans-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ind w:left="0" w:right="0" w:firstLine="720"/>
        <w:jc w:val="left"/>
        <w:rPr/>
      </w:pPr>
      <w:r>
        <w:rPr/>
      </w:r>
    </w:p>
    <w:tbl>
      <w:tblPr>
        <w:tblW w:w="4586" w:type="dxa"/>
        <w:jc w:val="center"/>
        <w:tblInd w:w="0" w:type="dxa"/>
        <w:tblLayout w:type="fixed"/>
        <w:tblCellMar>
          <w:top w:w="28" w:type="dxa"/>
          <w:left w:w="28" w:type="dxa"/>
          <w:bottom w:w="28" w:type="dxa"/>
          <w:right w:w="28" w:type="dxa"/>
        </w:tblCellMar>
      </w:tblPr>
      <w:tblGrid>
        <w:gridCol w:w="977"/>
        <w:gridCol w:w="859"/>
        <w:gridCol w:w="864"/>
        <w:gridCol w:w="109"/>
        <w:gridCol w:w="109"/>
        <w:gridCol w:w="109"/>
        <w:gridCol w:w="395"/>
        <w:gridCol w:w="875"/>
        <w:gridCol w:w="289"/>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Remaining Performance Obligations</w:t>
      </w:r>
      <w:r>
        <w:rPr>
          <w:rFonts w:ascii="Times New Roman;sans-serif" w:hAnsi="Times New Roman;sans-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September 30, 2023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29"/>
        <w:gridCol w:w="962"/>
        <w:gridCol w:w="965"/>
        <w:gridCol w:w="289"/>
        <w:gridCol w:w="642"/>
        <w:gridCol w:w="15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54"/>
        <w:gridCol w:w="744"/>
        <w:gridCol w:w="190"/>
      </w:tblGrid>
      <w:tr>
        <w:trPr/>
        <w:tc>
          <w:tcPr>
            <w:tcW w:w="12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 and Thereafter</w:t>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Pipeline revenues supported by minimum volume commitments and capacity agreements </w:t>
            </w:r>
            <w:r>
              <w:rPr>
                <w:rFonts w:ascii="Times New Roman;sans-serif" w:hAnsi="Times New Roman;sans-serif"/>
                <w:b w:val="false"/>
                <w:color w:val="000000"/>
                <w:sz w:val="13"/>
              </w:rPr>
              <w:t>(1)</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 agreement revenues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Calculated as volumes committed under contracts multiplied by the current applicable tariff 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Short-term contracts and those with variable consideration, due to the election of practical expedients;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Trade Accounts Receivable and Other Receivables, Net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trade accounts receivable from revenues from contracts with customers to total Trade accounts receivable and other receivables, net as presented on our Condensed Consolidated Balance Sheets (in millions):</w:t>
      </w:r>
    </w:p>
    <w:tbl>
      <w:tblPr>
        <w:tblW w:w="9085" w:type="dxa"/>
        <w:jc w:val="center"/>
        <w:tblInd w:w="0" w:type="dxa"/>
        <w:tblLayout w:type="fixed"/>
        <w:tblCellMar>
          <w:top w:w="28" w:type="dxa"/>
          <w:left w:w="28" w:type="dxa"/>
          <w:bottom w:w="28" w:type="dxa"/>
          <w:right w:w="28" w:type="dxa"/>
        </w:tblCellMar>
      </w:tblPr>
      <w:tblGrid>
        <w:gridCol w:w="2348"/>
        <w:gridCol w:w="2057"/>
        <w:gridCol w:w="2074"/>
        <w:gridCol w:w="257"/>
        <w:gridCol w:w="750"/>
        <w:gridCol w:w="132"/>
        <w:gridCol w:w="109"/>
        <w:gridCol w:w="109"/>
        <w:gridCol w:w="109"/>
        <w:gridCol w:w="245"/>
        <w:gridCol w:w="716"/>
        <w:gridCol w:w="179"/>
      </w:tblGrid>
      <w:tr>
        <w:trPr/>
        <w:tc>
          <w:tcPr>
            <w:tcW w:w="234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arising from revenues from contracts with customers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trade accounts receivables and other receivables </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due to contractual rights of offset with counterparties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balance is comprised primarily of accounts receivable associated with buy/sell arrangements that are not within the scope of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3—Net Income Per Common Unit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basic and diluted net income per common unit by dividing net income attributable to PAA (after deducting amounts allocated to the preferred unitholders and participating securities) by the basic and diluted weighted average number of common units outstanding during the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and Note 18 to our Consolidated Financial Statements included in Part IV of our 2022 Annual Report on Form 10-K for a discussion of our Series A preferred units and equity-indexed compensation plan awards. When applying the if-converted method prescribed by FASB guidance, the possible conversion of approximately 71 million Series A preferred units, on a weighted-average basis, were excluded from the calculation of diluted net income per common unit for each of the three and nine months ended September 30, 2023 and 2022 as the effect was antidilutive.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common unit (in millions, except per unit data):</w:t>
      </w:r>
    </w:p>
    <w:p>
      <w:pPr>
        <w:pStyle w:val="TextBody"/>
        <w:bidi w:val="0"/>
        <w:spacing w:before="0" w:after="0"/>
        <w:jc w:val="left"/>
        <w:rPr/>
      </w:pPr>
      <w:r>
        <w:rPr/>
      </w:r>
    </w:p>
    <w:tbl>
      <w:tblPr>
        <w:tblW w:w="9922" w:type="dxa"/>
        <w:jc w:val="center"/>
        <w:tblInd w:w="0" w:type="dxa"/>
        <w:tblLayout w:type="fixed"/>
        <w:tblCellMar>
          <w:top w:w="28" w:type="dxa"/>
          <w:left w:w="28" w:type="dxa"/>
          <w:bottom w:w="28" w:type="dxa"/>
          <w:right w:w="28" w:type="dxa"/>
        </w:tblCellMar>
      </w:tblPr>
      <w:tblGrid>
        <w:gridCol w:w="1895"/>
        <w:gridCol w:w="1667"/>
        <w:gridCol w:w="167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491"/>
      </w:tblGrid>
      <w:tr>
        <w:trPr/>
        <w:tc>
          <w:tcPr>
            <w:tcW w:w="1895"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Income per Common Unit</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firstLine="180"/>
              <w:jc w:val="right"/>
              <w:rPr>
                <w:color w:val="000000"/>
              </w:rPr>
            </w:pPr>
            <w:r>
              <w:rPr>
                <w:color w:val="000000"/>
              </w:rPr>
              <w:t> </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Series A preferred unitholders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Series B preferred unitholders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allocated to participating securities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Net income allocated to common unitholders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4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calculate net income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4—Inventory, Linefill and Long-term Inventory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linefill and long-term inventory consisted of the following (barrels in thousands and carrying value in millions):</w:t>
      </w:r>
    </w:p>
    <w:p>
      <w:pPr>
        <w:pStyle w:val="TextBody"/>
        <w:bidi w:val="0"/>
        <w:spacing w:before="0" w:after="0"/>
        <w:ind w:left="0" w:right="0" w:firstLine="720"/>
        <w:jc w:val="left"/>
        <w:rPr/>
      </w:pPr>
      <w:r>
        <w:rPr/>
      </w:r>
    </w:p>
    <w:tbl>
      <w:tblPr>
        <w:tblW w:w="10807" w:type="dxa"/>
        <w:jc w:val="center"/>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Inventory</w:t>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756"/>
        <w:gridCol w:w="2427"/>
        <w:gridCol w:w="2429"/>
        <w:gridCol w:w="255"/>
        <w:gridCol w:w="744"/>
        <w:gridCol w:w="131"/>
        <w:gridCol w:w="109"/>
        <w:gridCol w:w="109"/>
        <w:gridCol w:w="109"/>
        <w:gridCol w:w="243"/>
        <w:gridCol w:w="712"/>
        <w:gridCol w:w="181"/>
      </w:tblGrid>
      <w:tr>
        <w:trPr/>
        <w:tc>
          <w:tcPr>
            <w:tcW w:w="2756"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DEBT</w:t>
            </w:r>
          </w:p>
        </w:tc>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12"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612"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612"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2.85% senior notes due January 2023</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3.85% senior notes due October 2023</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 of unamortized discounts and debt issuance costs of $42 and $46, respectively</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612"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Times New Roman;sans-serif" w:hAnsi="Times New Roman;sans-serif"/>
                <w:b w:val="false"/>
                <w:color w:val="000000"/>
                <w:sz w:val="20"/>
              </w:rPr>
              <w:t xml:space="preserve">Total debt </w:t>
            </w:r>
            <w:r>
              <w:rPr>
                <w:rFonts w:ascii="Times New Roman;sans-serif" w:hAnsi="Times New Roman;sans-serif"/>
                <w:b w:val="false"/>
                <w:color w:val="000000"/>
                <w:sz w:val="13"/>
              </w:rPr>
              <w:t>(1)</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Our fixed-rate senior notes had a face value of approximately $8.0 billion and $8.4 billion as of September 30, 2023 and December 31, 2022, respectively. We estimated the aggregate fair value of these notes as of September 30, 2023 and December 31, 2022 to be approximately $7.1 billion and $7.6 billion, respectively. Our fixed-rate senior notes are traded among institutions, and these trades are routinely published by a reporting service. Our determination of fair value is based on reported trading activity near the end of the reporting period. The fair value estimate for our senior notes is based upon observable market data and is classified in Level 2 of the fair value hierarchy.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we extended the maturity dates of our senior secured hedged inventory facility and senior unsecured revolving credit facility by one year to August 2026 and August 2028, respectively, for each extending lender. The maturity date with respect to the non-extending lender under our senior unsecured revolving credit facility (which represents a commitment of approximately $64 million out of total commitments of $1.35 billion from all lenders) remains August 2027.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Borrowings and Repayments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 under our credit facilities and commercial paper program for the nine months ended September 30, 2023 and 2022 were approximately $4.9 billion and $19.3 billion, respectively. Total repayments under our credit facilities and commercial paper program were approximately $4.9 billion and $19.3 billion for the nine months ended September 30, 2023 and 2022,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we redeemed our 2.85%, $400 million senior notes due January 2023. On October 16, 2023, we redeemed our 3.85%, $700 million senior notes due October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September 30, 2023 and December 31, 2022, we had outstanding letters of credit of $147 million and $102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6—Partners’ Capital and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Units Outstanding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activity for our preferred and common units: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55"/>
        <w:gridCol w:w="1390"/>
        <w:gridCol w:w="1397"/>
        <w:gridCol w:w="619"/>
        <w:gridCol w:w="571"/>
        <w:gridCol w:w="558"/>
        <w:gridCol w:w="109"/>
        <w:gridCol w:w="109"/>
        <w:gridCol w:w="109"/>
        <w:gridCol w:w="554"/>
        <w:gridCol w:w="552"/>
        <w:gridCol w:w="554"/>
        <w:gridCol w:w="109"/>
        <w:gridCol w:w="109"/>
        <w:gridCol w:w="109"/>
        <w:gridCol w:w="593"/>
        <w:gridCol w:w="593"/>
        <w:gridCol w:w="515"/>
      </w:tblGrid>
      <w:tr>
        <w:trPr/>
        <w:tc>
          <w:tcPr>
            <w:tcW w:w="165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698,354,498 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1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35,508 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 and June 30, 2023</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698,390,006 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1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2,602,506 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11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700,992,512 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52"/>
        <w:gridCol w:w="1434"/>
        <w:gridCol w:w="1442"/>
        <w:gridCol w:w="619"/>
        <w:gridCol w:w="541"/>
        <w:gridCol w:w="517"/>
        <w:gridCol w:w="109"/>
        <w:gridCol w:w="109"/>
        <w:gridCol w:w="109"/>
        <w:gridCol w:w="516"/>
        <w:gridCol w:w="513"/>
        <w:gridCol w:w="515"/>
        <w:gridCol w:w="109"/>
        <w:gridCol w:w="109"/>
        <w:gridCol w:w="109"/>
        <w:gridCol w:w="593"/>
        <w:gridCol w:w="593"/>
        <w:gridCol w:w="516"/>
      </w:tblGrid>
      <w:tr>
        <w:trPr/>
        <w:tc>
          <w:tcPr>
            <w:tcW w:w="175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r>
      <w:tr>
        <w:trPr/>
        <w:tc>
          <w:tcPr>
            <w:tcW w:w="4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704,991,540 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cancellation of common units under the Common Equity Repurchase Program</w:t>
            </w:r>
          </w:p>
        </w:tc>
        <w:tc>
          <w:tcPr>
            <w:tcW w:w="11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(2,375,299)</w:t>
            </w:r>
          </w:p>
        </w:tc>
        <w:tc>
          <w:tcPr>
            <w:tcW w:w="5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51,937 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2022</w:t>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702,668,178 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cancellation of common units under the Common Equity Repurchase Program</w:t>
            </w:r>
          </w:p>
        </w:tc>
        <w:tc>
          <w:tcPr>
            <w:tcW w:w="11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(4,876,062)</w:t>
            </w:r>
          </w:p>
        </w:tc>
        <w:tc>
          <w:tcPr>
            <w:tcW w:w="5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147,830 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2022</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697,939,946 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1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392,739 </w:t>
            </w:r>
          </w:p>
        </w:tc>
        <w:tc>
          <w:tcPr>
            <w:tcW w:w="5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2022</w:t>
            </w:r>
          </w:p>
        </w:tc>
        <w:tc>
          <w:tcPr>
            <w:tcW w:w="11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698,332,685 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A Preferred Unit Distributions</w:t>
      </w:r>
      <w:r>
        <w:rPr>
          <w:rFonts w:ascii="Times New Roman;sans-serif" w:hAnsi="Times New Roman;sans-serif"/>
          <w:b w:val="false"/>
          <w:color w:val="000000"/>
          <w:sz w:val="20"/>
        </w:rPr>
        <w:t>. After the fifth anniversary of the January 28, 2016 issuance date of our Series A preferred units, the holders of our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which resulted in an increase in the quarterly distribution rate to approximately $0.615 per unit. This new distribution rate was effective on January 31, 2023. The quarterly distribution paid in May 2023 reflected a pro-rated amount of approximately $0.585 per unit. The following table details distributions to our Series A preferred unitholders paid during or pertaining to the first nine months of 2023 (in millions, except per unit data):</w:t>
      </w:r>
    </w:p>
    <w:p>
      <w:pPr>
        <w:pStyle w:val="TextBody"/>
        <w:bidi w:val="0"/>
        <w:spacing w:before="0" w:after="0"/>
        <w:ind w:left="0" w:right="0" w:firstLine="720"/>
        <w:jc w:val="left"/>
        <w:rPr/>
      </w:pPr>
      <w:r>
        <w:rPr/>
      </w:r>
    </w:p>
    <w:tbl>
      <w:tblPr>
        <w:tblW w:w="6107"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427"/>
        <w:gridCol w:w="731"/>
        <w:gridCol w:w="222"/>
        <w:gridCol w:w="111"/>
        <w:gridCol w:w="111"/>
        <w:gridCol w:w="111"/>
        <w:gridCol w:w="111"/>
        <w:gridCol w:w="111"/>
        <w:gridCol w:w="111"/>
        <w:gridCol w:w="357"/>
        <w:gridCol w:w="1045"/>
        <w:gridCol w:w="26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Unitholders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November 14,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Payable to unitholders of record at the close of business on October 31, 2023 for the period from July 1, 2023 through September 30, 2023. At September 30, 2023, such amount was accrued as distributions payable in “Other current liabilities” on our Condensed Consolidated Balance Sheet.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 Distributions</w:t>
      </w:r>
      <w:r>
        <w:rPr>
          <w:rFonts w:ascii="Times New Roman;sans-serif" w:hAnsi="Times New Roman;sans-serif"/>
          <w:b w:val="false"/>
          <w:color w:val="000000"/>
          <w:sz w:val="20"/>
        </w:rPr>
        <w:t>. Distributions on the Series B preferred units accumulate and are payable quarterly in arrears on the 15th day of February, May, August and November. From November 15, 2022 through August 14, 2023, distributions on the Series B preferred units accumulated for each distribution period at a percentage of the liquidation preference of $1,000 per unit equal to the applicable three-month LIBOR plus a spread of 4.11% per annum. Beginning August 15, 2023, distributions on the Series B preferred units accumulate based on the applicable three-month SOFR, plus a credit spread adjustment of 0.26121%, plus 4.11% per annum. See Note 12 to our Consolidated Financial Statements included in Part IV of our 2022 Annual Report on Form 10-K for additional information regarding our Series B preferred unit distributions. The following table details distributions paid or to be paid to our Series B preferred unitholders (in millions, except per unit data):</w:t>
      </w:r>
    </w:p>
    <w:p>
      <w:pPr>
        <w:pStyle w:val="TextBody"/>
        <w:bidi w:val="0"/>
        <w:spacing w:before="0" w:after="0"/>
        <w:jc w:val="left"/>
        <w:rPr/>
      </w:pPr>
      <w:r>
        <w:rPr/>
      </w:r>
    </w:p>
    <w:tbl>
      <w:tblPr>
        <w:tblW w:w="6146"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441"/>
        <w:gridCol w:w="755"/>
        <w:gridCol w:w="229"/>
        <w:gridCol w:w="110"/>
        <w:gridCol w:w="110"/>
        <w:gridCol w:w="110"/>
        <w:gridCol w:w="110"/>
        <w:gridCol w:w="110"/>
        <w:gridCol w:w="110"/>
        <w:gridCol w:w="357"/>
        <w:gridCol w:w="1045"/>
        <w:gridCol w:w="26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Unitholders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Cash Distribution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November 15,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November 1, 2023 for the period from August 15, 2023 through November 14, 2023. At September 30, 2023, approximately $10 million of accrued distributions payable to our Series B preferred unitholders was included in “Other current liabilities” on our Condensed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Common Unit Distributions</w:t>
      </w:r>
      <w:r>
        <w:rPr>
          <w:rFonts w:ascii="Times New Roman;sans-serif" w:hAnsi="Times New Roman;sans-serif"/>
          <w:b w:val="false"/>
          <w:color w:val="000000"/>
          <w:sz w:val="20"/>
        </w:rPr>
        <w:t>. The following table details distributions to our common unitholders paid during or pertaining to the first nine months of 2023 (in millions, except per unit data):</w:t>
      </w:r>
    </w:p>
    <w:p>
      <w:pPr>
        <w:pStyle w:val="TextBody"/>
        <w:bidi w:val="0"/>
        <w:spacing w:before="0" w:after="0"/>
        <w:ind w:left="0" w:right="0" w:firstLine="720"/>
        <w:jc w:val="left"/>
        <w:rPr/>
      </w:pPr>
      <w:r>
        <w:rPr/>
      </w:r>
    </w:p>
    <w:tbl>
      <w:tblPr>
        <w:tblW w:w="9761"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211"/>
        <w:gridCol w:w="466"/>
        <w:gridCol w:w="109"/>
        <w:gridCol w:w="109"/>
        <w:gridCol w:w="109"/>
        <w:gridCol w:w="109"/>
        <w:gridCol w:w="211"/>
        <w:gridCol w:w="361"/>
        <w:gridCol w:w="109"/>
        <w:gridCol w:w="109"/>
        <w:gridCol w:w="109"/>
        <w:gridCol w:w="109"/>
        <w:gridCol w:w="487"/>
        <w:gridCol w:w="1075"/>
        <w:gridCol w:w="253"/>
        <w:gridCol w:w="109"/>
        <w:gridCol w:w="109"/>
        <w:gridCol w:w="109"/>
        <w:gridCol w:w="109"/>
        <w:gridCol w:w="109"/>
        <w:gridCol w:w="109"/>
        <w:gridCol w:w="539"/>
        <w:gridCol w:w="1842"/>
        <w:gridCol w:w="393"/>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 per Common Unit</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November 14, 2023</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October 31, 2023 for the period from July 1, 2023 through September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Noncontrolling Interests in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noncontrolling interests in our subsidiaries consisted of (i) a 35% interest in Plains Oryx Permian Basin LLC (the “Permian JV”), (ii) a 30% interest in Cactus II Pipeline LLC (“Cactus II”) and (iii) a 33% interest in Red River Pipeline Company LLC (“Red River”).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paid to noncontrolling interests during the periods presented (in millions):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tbl>
      <w:tblPr>
        <w:tblW w:w="5228" w:type="dxa"/>
        <w:jc w:val="left"/>
        <w:tblInd w:w="0" w:type="dxa"/>
        <w:tblLayout w:type="fixed"/>
        <w:tblCellMar>
          <w:top w:w="28" w:type="dxa"/>
          <w:left w:w="28" w:type="dxa"/>
          <w:bottom w:w="28" w:type="dxa"/>
          <w:right w:w="28" w:type="dxa"/>
        </w:tblCellMar>
      </w:tblPr>
      <w:tblGrid>
        <w:gridCol w:w="381"/>
        <w:gridCol w:w="333"/>
        <w:gridCol w:w="336"/>
        <w:gridCol w:w="211"/>
        <w:gridCol w:w="361"/>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09"/>
        <w:gridCol w:w="109"/>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JV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Cactus II </w:t>
            </w:r>
            <w:r>
              <w:rPr>
                <w:rFonts w:ascii="Times New Roman;sans-serif" w:hAnsi="Times New Roman;sans-serif"/>
                <w:b w:val="false"/>
                <w:color w:val="000000"/>
                <w:sz w:val="13"/>
              </w:rPr>
              <w:t>(1)</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 November 2022, we acquired an additional interest in Cactus II which, combined with changes in the governance of this entity, resulted in our obtaining control of the entity. Subsequent to this transaction, we reflect Cactus II as a consolidated subsidiary. See Note 7 to our Consolidated Financial Statements included in Part IV of our 2022 Annual Report on Form 10-K for additional information on the Cactus II transaction.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7—Derivatives and Risk Management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TextBody"/>
        <w:bidi w:val="0"/>
        <w:spacing w:lineRule="auto" w:line="28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Commodity Price Risk Hedging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operations, we purchase and sell commodities. We use derivatives to manage the associated risks and to optimize profits. As of September 30, 2023, net derivative positions related to these activities included: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net long position of 6.3 million barrels associated with our crude oil purchases, which was unwound ratably during October 2023 to match monthly average pricing.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short time spread position of 6.7 million barrels, which hedges a portion of our anticipated crude oil lease gathering purchases through January 2025.</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crude oil basis spread position of 1.7 million barrels at multiple locations through November 2024. These derivatives allow us to lock in grade and location basis differentials.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short position of 15.1 million barrels through December 2024 related to anticipated net sales of crude oil and NGL inventory.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w:t>
      </w:r>
      <w:r>
        <w:rPr>
          <w:rFonts w:ascii="Times New Roman;sans-serif" w:hAnsi="Times New Roman;sans-serif"/>
          <w:b w:val="false"/>
          <w:color w:val="000000"/>
          <w:sz w:val="20"/>
          <w:shd w:fill="FFFFFF" w:val="clear"/>
        </w:rPr>
        <w:t>The following table summarizes our open derivative positions utilized to hedge the price risk associated with anticipated purchases and sales related to our natural gas processing and NGL fractionation activities as of September 30, 2023:</w:t>
      </w:r>
    </w:p>
    <w:p>
      <w:pPr>
        <w:pStyle w:val="TextBody"/>
        <w:bidi w:val="0"/>
        <w:spacing w:before="0" w:after="0"/>
        <w:ind w:left="0" w:right="0" w:firstLine="720"/>
        <w:jc w:val="left"/>
        <w:rPr/>
      </w:pPr>
      <w:r>
        <w:rPr/>
      </w:r>
    </w:p>
    <w:tbl>
      <w:tblPr>
        <w:tblW w:w="5931" w:type="dxa"/>
        <w:jc w:val="center"/>
        <w:tblInd w:w="0" w:type="dxa"/>
        <w:tblLayout w:type="fixed"/>
        <w:tblCellMar>
          <w:top w:w="28" w:type="dxa"/>
          <w:left w:w="28" w:type="dxa"/>
          <w:bottom w:w="28" w:type="dxa"/>
          <w:right w:w="28" w:type="dxa"/>
        </w:tblCellMar>
      </w:tblPr>
      <w:tblGrid>
        <w:gridCol w:w="913"/>
        <w:gridCol w:w="800"/>
        <w:gridCol w:w="806"/>
        <w:gridCol w:w="109"/>
        <w:gridCol w:w="109"/>
        <w:gridCol w:w="109"/>
        <w:gridCol w:w="444"/>
        <w:gridCol w:w="444"/>
        <w:gridCol w:w="446"/>
        <w:gridCol w:w="109"/>
        <w:gridCol w:w="109"/>
        <w:gridCol w:w="109"/>
        <w:gridCol w:w="416"/>
        <w:gridCol w:w="416"/>
        <w:gridCol w:w="592"/>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Tenor</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82.1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Propane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Butane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 MMbls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gas requirements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Power supply requirements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 TWh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Positions to hedge a portion of our power supply and fuel gas requirements at our Canadian natural gas processing and fractionation plants.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ind w:left="0" w:right="0" w:firstLine="720"/>
        <w:jc w:val="left"/>
        <w:rPr/>
      </w:pPr>
      <w:r>
        <w:rPr/>
      </w:r>
    </w:p>
    <w:tbl>
      <w:tblPr>
        <w:tblW w:w="8640" w:type="dxa"/>
        <w:jc w:val="center"/>
        <w:tblInd w:w="0" w:type="dxa"/>
        <w:tblLayout w:type="fixed"/>
        <w:tblCellMar>
          <w:top w:w="28" w:type="dxa"/>
          <w:left w:w="28" w:type="dxa"/>
          <w:bottom w:w="28" w:type="dxa"/>
          <w:right w:w="28" w:type="dxa"/>
        </w:tblCellMar>
      </w:tblPr>
      <w:tblGrid>
        <w:gridCol w:w="1600"/>
        <w:gridCol w:w="1409"/>
        <w:gridCol w:w="1416"/>
        <w:gridCol w:w="211"/>
        <w:gridCol w:w="541"/>
        <w:gridCol w:w="109"/>
        <w:gridCol w:w="109"/>
        <w:gridCol w:w="109"/>
        <w:gridCol w:w="109"/>
        <w:gridCol w:w="211"/>
        <w:gridCol w:w="466"/>
        <w:gridCol w:w="109"/>
        <w:gridCol w:w="109"/>
        <w:gridCol w:w="109"/>
        <w:gridCol w:w="109"/>
        <w:gridCol w:w="211"/>
        <w:gridCol w:w="436"/>
        <w:gridCol w:w="109"/>
        <w:gridCol w:w="109"/>
        <w:gridCol w:w="109"/>
        <w:gridCol w:w="109"/>
        <w:gridCol w:w="211"/>
        <w:gridCol w:w="466"/>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Net gain/(loss) from commodity derivative activity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pStyle w:val="TextBody"/>
        <w:bidi w:val="0"/>
        <w:spacing w:before="0" w:after="0"/>
        <w:jc w:val="left"/>
        <w:rPr/>
      </w:pPr>
      <w:r>
        <w:rPr/>
      </w:r>
    </w:p>
    <w:tbl>
      <w:tblPr>
        <w:tblW w:w="5290" w:type="dxa"/>
        <w:jc w:val="center"/>
        <w:tblInd w:w="0" w:type="dxa"/>
        <w:tblLayout w:type="fixed"/>
        <w:tblCellMar>
          <w:top w:w="28" w:type="dxa"/>
          <w:left w:w="28" w:type="dxa"/>
          <w:bottom w:w="28" w:type="dxa"/>
          <w:right w:w="28" w:type="dxa"/>
        </w:tblCellMar>
      </w:tblPr>
      <w:tblGrid>
        <w:gridCol w:w="972"/>
        <w:gridCol w:w="854"/>
        <w:gridCol w:w="859"/>
        <w:gridCol w:w="352"/>
        <w:gridCol w:w="603"/>
        <w:gridCol w:w="184"/>
        <w:gridCol w:w="109"/>
        <w:gridCol w:w="109"/>
        <w:gridCol w:w="109"/>
        <w:gridCol w:w="265"/>
        <w:gridCol w:w="681"/>
        <w:gridCol w:w="193"/>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margin</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Variation margin returned</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broker receivable/(payable)</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pStyle w:val="TextBody"/>
        <w:bidi w:val="0"/>
        <w:spacing w:before="0" w:after="0"/>
        <w:jc w:val="left"/>
        <w:rPr/>
      </w:pPr>
      <w:r>
        <w:rPr/>
      </w:r>
    </w:p>
    <w:tbl>
      <w:tblPr>
        <w:tblW w:w="10507"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466"/>
        <w:gridCol w:w="109"/>
        <w:gridCol w:w="109"/>
        <w:gridCol w:w="109"/>
        <w:gridCol w:w="109"/>
        <w:gridCol w:w="211"/>
        <w:gridCol w:w="491"/>
        <w:gridCol w:w="109"/>
        <w:gridCol w:w="109"/>
        <w:gridCol w:w="109"/>
        <w:gridCol w:w="109"/>
        <w:gridCol w:w="308"/>
        <w:gridCol w:w="373"/>
        <w:gridCol w:w="160"/>
        <w:gridCol w:w="109"/>
        <w:gridCol w:w="109"/>
        <w:gridCol w:w="109"/>
        <w:gridCol w:w="251"/>
        <w:gridCol w:w="429"/>
        <w:gridCol w:w="131"/>
        <w:gridCol w:w="109"/>
        <w:gridCol w:w="109"/>
        <w:gridCol w:w="109"/>
        <w:gridCol w:w="109"/>
        <w:gridCol w:w="109"/>
        <w:gridCol w:w="109"/>
        <w:gridCol w:w="211"/>
        <w:gridCol w:w="466"/>
        <w:gridCol w:w="109"/>
        <w:gridCol w:w="109"/>
        <w:gridCol w:w="109"/>
        <w:gridCol w:w="109"/>
        <w:gridCol w:w="245"/>
        <w:gridCol w:w="438"/>
        <w:gridCol w:w="128"/>
        <w:gridCol w:w="109"/>
        <w:gridCol w:w="109"/>
        <w:gridCol w:w="109"/>
        <w:gridCol w:w="211"/>
        <w:gridCol w:w="521"/>
        <w:gridCol w:w="109"/>
        <w:gridCol w:w="109"/>
        <w:gridCol w:w="109"/>
        <w:gridCol w:w="109"/>
        <w:gridCol w:w="248"/>
        <w:gridCol w:w="425"/>
        <w:gridCol w:w="183"/>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Risk Hedging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terms of our outstanding interest rate derivatives as of September 30, 2023 (notional amounts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767"/>
        <w:gridCol w:w="675"/>
        <w:gridCol w:w="676"/>
        <w:gridCol w:w="109"/>
        <w:gridCol w:w="109"/>
        <w:gridCol w:w="109"/>
        <w:gridCol w:w="630"/>
        <w:gridCol w:w="630"/>
        <w:gridCol w:w="632"/>
        <w:gridCol w:w="109"/>
        <w:gridCol w:w="109"/>
        <w:gridCol w:w="109"/>
        <w:gridCol w:w="211"/>
        <w:gridCol w:w="466"/>
        <w:gridCol w:w="109"/>
        <w:gridCol w:w="109"/>
        <w:gridCol w:w="109"/>
        <w:gridCol w:w="109"/>
        <w:gridCol w:w="465"/>
        <w:gridCol w:w="465"/>
        <w:gridCol w:w="466"/>
        <w:gridCol w:w="109"/>
        <w:gridCol w:w="109"/>
        <w:gridCol w:w="109"/>
        <w:gridCol w:w="370"/>
        <w:gridCol w:w="370"/>
        <w:gridCol w:w="371"/>
        <w:gridCol w:w="109"/>
        <w:gridCol w:w="109"/>
        <w:gridCol w:w="109"/>
        <w:gridCol w:w="369"/>
        <w:gridCol w:w="369"/>
        <w:gridCol w:w="529"/>
      </w:tblGrid>
      <w:tr>
        <w:trPr/>
        <w:tc>
          <w:tcPr>
            <w:tcW w:w="7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Hedged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and Types of</w:t>
              <w:br/>
              <w:t>Derivatives Employed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w:t>
              <w:b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w:t>
              <w:br/>
              <w:t>Locked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Accounting</w:t>
              <w:br/>
              <w:t>Treatment</w:t>
            </w:r>
          </w:p>
        </w:tc>
      </w:tr>
      <w:tr>
        <w:trPr/>
        <w:tc>
          <w:tcPr>
            <w:tcW w:w="2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r>
        <w:trPr/>
        <w:tc>
          <w:tcPr>
            <w:tcW w:w="2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terminated $200 million of notional interest hedging instruments previously expected to terminate in June 2023 for proceeds of $80 million, of which $73 million was recorded in AOCI. As of September 30, 2023, there was a net loss of $59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September 30, 2023; thus, actual amounts to be reclassified will differ and could vary materially as a result of changes in market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unrealized gain/(loss) recognized in AOCI for derivatives (in millions):</w:t>
      </w:r>
    </w:p>
    <w:p>
      <w:pPr>
        <w:pStyle w:val="TextBody"/>
        <w:bidi w:val="0"/>
        <w:spacing w:before="0" w:after="0"/>
        <w:ind w:left="0" w:right="0" w:firstLine="720"/>
        <w:jc w:val="left"/>
        <w:rPr/>
      </w:pPr>
      <w:r>
        <w:rPr/>
      </w:r>
    </w:p>
    <w:tbl>
      <w:tblPr>
        <w:tblW w:w="6105" w:type="dxa"/>
        <w:jc w:val="center"/>
        <w:tblInd w:w="0" w:type="dxa"/>
        <w:tblLayout w:type="fixed"/>
        <w:tblCellMar>
          <w:top w:w="28" w:type="dxa"/>
          <w:left w:w="28" w:type="dxa"/>
          <w:bottom w:w="28" w:type="dxa"/>
          <w:right w:w="28" w:type="dxa"/>
        </w:tblCellMar>
      </w:tblPr>
      <w:tblGrid>
        <w:gridCol w:w="853"/>
        <w:gridCol w:w="749"/>
        <w:gridCol w:w="753"/>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net fair value of our interest rate hedges, which were included in “Other current assets” and “Other long-term assets, net” on our Condensed Consolidated Balance Sheet, totaled $57 million and $23 million, respectively. At December 31, 2022, the net fair value of these hedges totaled $75 million and $45 million, which were included in “Other current assets” and “Other long-term assets, net”,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Preferred Distribution Rate Reset Option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our partnership agreement, and recorded at fair value on our Condensed Consolidated Balance Sheet. The fair value of the Preferred Distribution Rate Reset Option, which was included in “Other long-term liabilities and deferred credits” on our Condensed Consolidated Balance Sheet, totaled $189 million at December 31, 2022. The Preferred Distribution Rate Reset Option was settled when we received notice that the Series A preferred unitholders elected the Preferred Distribution Rate Reset Option. The fair value of the Preferred Distribution Rate Reset Option on the settlement date was $131 million. The Preferred Distribution Rate Reset Option embedded derivative was not designated in a hedging relationship for accounting purposes and corresponding changes in fair value were recognized in “Other income/(expense), net” in our Condensed Consolidated Statements of Operations. For the three months ended September 30, 2022, we recognized a loss of $49 million. For the nine months ended September 30, 2023 and 2022, we recognized a gain of $58 million and a net loss of $196 million, respectively. See Note 6 for additional information regarding the Preferred Distribution Rate Reset Option.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Derivative Financial Assets and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ind w:left="0" w:right="0" w:firstLine="720"/>
        <w:jc w:val="left"/>
        <w:rPr/>
      </w:pPr>
      <w:r>
        <w:rPr/>
      </w:r>
    </w:p>
    <w:tbl>
      <w:tblPr>
        <w:tblW w:w="11487" w:type="dxa"/>
        <w:jc w:val="left"/>
        <w:tblInd w:w="0" w:type="dxa"/>
        <w:tblLayout w:type="fixed"/>
        <w:tblCellMar>
          <w:top w:w="28" w:type="dxa"/>
          <w:left w:w="28" w:type="dxa"/>
          <w:bottom w:w="28" w:type="dxa"/>
          <w:right w:w="28" w:type="dxa"/>
        </w:tblCellMar>
      </w:tblPr>
      <w:tblGrid>
        <w:gridCol w:w="930"/>
        <w:gridCol w:w="817"/>
        <w:gridCol w:w="819"/>
        <w:gridCol w:w="109"/>
        <w:gridCol w:w="109"/>
        <w:gridCol w:w="109"/>
        <w:gridCol w:w="211"/>
        <w:gridCol w:w="311"/>
        <w:gridCol w:w="109"/>
        <w:gridCol w:w="109"/>
        <w:gridCol w:w="109"/>
        <w:gridCol w:w="109"/>
        <w:gridCol w:w="211"/>
        <w:gridCol w:w="466"/>
        <w:gridCol w:w="109"/>
        <w:gridCol w:w="109"/>
        <w:gridCol w:w="109"/>
        <w:gridCol w:w="109"/>
        <w:gridCol w:w="211"/>
        <w:gridCol w:w="406"/>
        <w:gridCol w:w="109"/>
        <w:gridCol w:w="109"/>
        <w:gridCol w:w="109"/>
        <w:gridCol w:w="109"/>
        <w:gridCol w:w="211"/>
        <w:gridCol w:w="466"/>
        <w:gridCol w:w="109"/>
        <w:gridCol w:w="109"/>
        <w:gridCol w:w="109"/>
        <w:gridCol w:w="109"/>
        <w:gridCol w:w="109"/>
        <w:gridCol w:w="109"/>
        <w:gridCol w:w="109"/>
        <w:gridCol w:w="211"/>
        <w:gridCol w:w="311"/>
        <w:gridCol w:w="109"/>
        <w:gridCol w:w="109"/>
        <w:gridCol w:w="109"/>
        <w:gridCol w:w="109"/>
        <w:gridCol w:w="211"/>
        <w:gridCol w:w="466"/>
        <w:gridCol w:w="109"/>
        <w:gridCol w:w="109"/>
        <w:gridCol w:w="109"/>
        <w:gridCol w:w="109"/>
        <w:gridCol w:w="211"/>
        <w:gridCol w:w="481"/>
        <w:gridCol w:w="109"/>
        <w:gridCol w:w="109"/>
        <w:gridCol w:w="109"/>
        <w:gridCol w:w="109"/>
        <w:gridCol w:w="211"/>
        <w:gridCol w:w="46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2022</w:t>
            </w:r>
          </w:p>
        </w:tc>
      </w:tr>
      <w:tr>
        <w:trPr/>
        <w:tc>
          <w:tcPr>
            <w:tcW w:w="25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Recurring Fair Value Measures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Distribution Rate Reset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derivative asset/(liability)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Derivative assets and liabilities are presented above on a net basis but do not include related cash margin deposits.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of the fair value hierarchy includes the Preferred Distribution Rate Reset Option contained in our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our common unit price, and default probabilities which impacted timing estimates as to when the option would be exercised.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Rollforward of Level 3 Net Asset/(Liability)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changes in fair value of the beginning and ending balances for our derivatives classified as Level 3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176"/>
        <w:gridCol w:w="1881"/>
        <w:gridCol w:w="1892"/>
        <w:gridCol w:w="211"/>
        <w:gridCol w:w="406"/>
        <w:gridCol w:w="109"/>
        <w:gridCol w:w="109"/>
        <w:gridCol w:w="109"/>
        <w:gridCol w:w="109"/>
        <w:gridCol w:w="211"/>
        <w:gridCol w:w="514"/>
        <w:gridCol w:w="109"/>
        <w:gridCol w:w="109"/>
        <w:gridCol w:w="109"/>
        <w:gridCol w:w="109"/>
        <w:gridCol w:w="211"/>
        <w:gridCol w:w="514"/>
        <w:gridCol w:w="109"/>
        <w:gridCol w:w="109"/>
        <w:gridCol w:w="109"/>
        <w:gridCol w:w="109"/>
        <w:gridCol w:w="211"/>
        <w:gridCol w:w="514"/>
        <w:gridCol w:w="156"/>
      </w:tblGrid>
      <w:tr>
        <w:trPr/>
        <w:tc>
          <w:tcPr>
            <w:tcW w:w="21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gains/(losses) for the period included in earnings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gains/(losses) included in earnings relating to Level 3 derivatives still held at the end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17 to our Consolidated Financial Statements included in Part IV of our 2022 Annual Report on Form 10-K for a complete discussion of related parties, including the determination of our related parties and nature of involvement with such related parties.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Promissory Notes with our General Partner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PAGP issued an unsecured promissory note to us with a face value of CAD$500 million (“related party note receivable”). Concurrently, we assigned PAGP our interest in an existing unsecured promissory note for the same face value amount due from a consolidated subsidiary (“related party note payable”). Both notes are due April 2027 and bear interest at a rate of 8.25% per annum, payable semi-annually.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interest receivable/payable was $3 million as of September 30, 2023. Interest income/expense on the related party notes totaled $8 million and $18 million for the three and nine months ended September 30, 2023,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outstanding related party note receivable and related party note payable balances were as follows (in millions):</w:t>
      </w:r>
    </w:p>
    <w:p>
      <w:pPr>
        <w:pStyle w:val="TextBody"/>
        <w:bidi w:val="0"/>
        <w:spacing w:before="0" w:after="0"/>
        <w:jc w:val="left"/>
        <w:rPr/>
      </w:pPr>
      <w:r>
        <w:rPr/>
      </w:r>
    </w:p>
    <w:tbl>
      <w:tblPr>
        <w:tblW w:w="4116" w:type="dxa"/>
        <w:jc w:val="left"/>
        <w:tblInd w:w="0" w:type="dxa"/>
        <w:tblLayout w:type="fixed"/>
        <w:tblCellMar>
          <w:top w:w="28" w:type="dxa"/>
          <w:left w:w="28" w:type="dxa"/>
          <w:bottom w:w="28" w:type="dxa"/>
          <w:right w:w="28" w:type="dxa"/>
        </w:tblCellMar>
      </w:tblPr>
      <w:tblGrid>
        <w:gridCol w:w="983"/>
        <w:gridCol w:w="864"/>
        <w:gridCol w:w="867"/>
        <w:gridCol w:w="305"/>
        <w:gridCol w:w="675"/>
        <w:gridCol w:w="159"/>
        <w:gridCol w:w="109"/>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Related party note receivable </w:t>
            </w:r>
            <w:r>
              <w:rPr>
                <w:rFonts w:ascii="Times New Roman;sans-serif" w:hAnsi="Times New Roman;sans-serif"/>
                <w:b w:val="false"/>
                <w:color w:val="000000"/>
                <w:sz w:val="13"/>
              </w:rPr>
              <w:t>(1)</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Related party note payable </w:t>
            </w:r>
            <w:r>
              <w:rPr>
                <w:rFonts w:ascii="Times New Roman;sans-serif" w:hAnsi="Times New Roman;sans-serif"/>
                <w:b w:val="false"/>
                <w:color w:val="000000"/>
                <w:sz w:val="13"/>
              </w:rPr>
              <w:t>(1)</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have elected to present our related party notes with the same counterparty on a net basis on our Condensed Consolidated Balance Sheet because there is a legal right to offset and we intend to offset with the counterparty.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2023 and 2022, we recognized sales and transportation revenues, purchased petroleum products and utilized transportation and storage services from related parties. These transactions were conducted at posted tariff rates or prices that we believe approximate market.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impact to our Condensed Consolidated Statements of Operations from these transactions is included below (in millions): </w:t>
      </w:r>
    </w:p>
    <w:p>
      <w:pPr>
        <w:pStyle w:val="TextBody"/>
        <w:bidi w:val="0"/>
        <w:spacing w:before="0" w:after="0"/>
        <w:jc w:val="left"/>
        <w:rPr/>
      </w:pPr>
      <w:r>
        <w:rPr/>
      </w:r>
    </w:p>
    <w:tbl>
      <w:tblPr>
        <w:tblW w:w="7979" w:type="dxa"/>
        <w:jc w:val="center"/>
        <w:tblInd w:w="0" w:type="dxa"/>
        <w:tblLayout w:type="fixed"/>
        <w:tblCellMar>
          <w:top w:w="28" w:type="dxa"/>
          <w:left w:w="28" w:type="dxa"/>
          <w:bottom w:w="28" w:type="dxa"/>
          <w:right w:w="28" w:type="dxa"/>
        </w:tblCellMar>
      </w:tblPr>
      <w:tblGrid>
        <w:gridCol w:w="1419"/>
        <w:gridCol w:w="1243"/>
        <w:gridCol w:w="1252"/>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related parties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receivable and payable amounts with these related parties as reflected on our Condensed Consolidated Balance Sheets were as follows (in millions):</w:t>
      </w:r>
    </w:p>
    <w:p>
      <w:pPr>
        <w:pStyle w:val="TextBody"/>
        <w:bidi w:val="0"/>
        <w:spacing w:before="0" w:after="0"/>
        <w:jc w:val="left"/>
        <w:rPr/>
      </w:pPr>
      <w:r>
        <w:rPr/>
      </w:r>
    </w:p>
    <w:tbl>
      <w:tblPr>
        <w:tblW w:w="8771" w:type="dxa"/>
        <w:jc w:val="center"/>
        <w:tblInd w:w="0" w:type="dxa"/>
        <w:tblLayout w:type="fixed"/>
        <w:tblCellMar>
          <w:top w:w="28" w:type="dxa"/>
          <w:left w:w="28" w:type="dxa"/>
          <w:bottom w:w="28" w:type="dxa"/>
          <w:right w:w="28" w:type="dxa"/>
        </w:tblCellMar>
      </w:tblPr>
      <w:tblGrid>
        <w:gridCol w:w="2230"/>
        <w:gridCol w:w="1962"/>
        <w:gridCol w:w="1973"/>
        <w:gridCol w:w="352"/>
        <w:gridCol w:w="603"/>
        <w:gridCol w:w="184"/>
        <w:gridCol w:w="109"/>
        <w:gridCol w:w="109"/>
        <w:gridCol w:w="109"/>
        <w:gridCol w:w="331"/>
        <w:gridCol w:w="567"/>
        <w:gridCol w:w="242"/>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receivable and other receivables, net from related parties </w:t>
            </w:r>
            <w:r>
              <w:rPr>
                <w:rFonts w:ascii="Times New Roman;sans-serif" w:hAnsi="Times New Roman;sans-serif"/>
                <w:b w:val="false"/>
                <w:color w:val="000000"/>
                <w:sz w:val="13"/>
              </w:rPr>
              <w:t>(1)</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payable to related parties </w:t>
            </w:r>
            <w:r>
              <w:rPr>
                <w:rFonts w:ascii="Times New Roman;sans-serif" w:hAnsi="Times New Roman;sans-serif"/>
                <w:b w:val="false"/>
                <w:color w:val="000000"/>
                <w:sz w:val="13"/>
              </w:rPr>
              <w:t>(1) (2)</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Includes amounts related to transportation and storage services, amounts owed to us or advanced to us related to investment capital projects of equity method investees where we serve as construction manager and amounts related to crude oil purchases and sales. </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Loss Contingencies — 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Legal Proceedings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Environmental — 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our estimated undiscounted reserve for environmental liabilities (excluding liabilities related to the Line 901 incident, as discussed further below) totaled $57 million, of which $12 million was classified as short-term and $45 million was classified as long-term. At December 31, 2022, our estimated undiscounted reserve for environmental liabilities (excluding liabilities related to the Line 901 incident) totaled $55 million, of which $10 million was classified as short-term and $45 million was classified as long-term. Such short-term liabilities are reflected in “Other current liabilities” and long-term liabilities are reflected in “Other long-term liabilities and deferred credits” on our Condensed Consolidated Balance Sheets. At both September 30, 2023 and December 31, 2022, we had recorded receivables (excluding receivables related to the Line 901 incident) totaling $4 million for amounts probable of recovery under insurance and from third parties under indemnification agreements, $1 million of which for each period is reflected in “Other long-term assets, net” and the remainder is reflected in “Trade accounts receivable and other receivables, net” on our Condensed Consolidated Balance Sheets.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Specific Legal, Environmental or Regulatory Matters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Line 901 Incident</w:t>
      </w:r>
      <w:r>
        <w:rPr>
          <w:rFonts w:ascii="Times New Roman;sans-serif" w:hAnsi="Times New Roman;sans-serif"/>
          <w:b w:val="false"/>
          <w:color w:val="000000"/>
          <w:sz w:val="20"/>
        </w:rPr>
        <w:t>. In May 2015, we experienced a crude oil release from our Las Flores to Gaviota Pipeline (Line 901) 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costs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 class action lawsuit was filed against us in United States District Court for the Central District of California in which the class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assumed liability for these claims with respect to its interest in such acquired pipelines and Plains has been dismissed from this portion of the lawsuit. In the same proceeding, a small subset of plaintiffs are also claiming damages to compensate them for the alleged diminished value of their properties due to the stigma of the oil spill. We are vigorously defending against these stigma damages claims.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 separate class action lawsuit that was pending in United States District Court for the Central District of California,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and the lawsuit was subsequently dismissed.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September 30, 2023. Insurers responsible for $185 million of the remaining $225 million of coverage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yet responded to our reimbursement demand. We have initiated arbitration proceedings against the insurers responsible for $175 million of coverage and intend to vigorously pursue recovery from our insurers of all amounts for which we have claimed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foregoing, including the Class Action Settlement, we have made adjustments to our total estimated Line 901 costs and the portion of such costs that we believe are probable of recovery from insurance carriers, net of deductibles. Effective as of September 30, 2023, we estimate that the aggregate total costs we have incurred or will incur with respect to the Line 901 incident will be approximately $740 million, which includes actual and projected emergency response and clean-up costs, natural resource damage assessments, fines and penalties payable pursuant to the Consent Decree, certain third party claims settlements (including the Class Action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2022, we recognized costs, net of amounts probable of recovery from insurance carriers, of $85 million. We did not recognize any such costs during the nine months ended September 30, 2023. As of September 30, 2023, we had a remaining undiscounted gross liability of approximately $94 million related to the Line 901 incident, which aggregate amount is reflected in “Current liabilities” on our Condensed Consolidated Balance Sheet. As discussed above, we maintain insurance coverage, which is subject to certain exclusions and deductibles, in the event of such liabilities. As of September 30, 2023, our incurred costs for the Line 901 incident have exceeded our insurance coverage limit of $500 million related to our 2015 insurance program applicable to the Line 901 incident by $240 million. Through September 30, 2023,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September 30, 2023, we have recognized a long-term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recognized such amount as a long-term asset in “Other assets” on our Condensed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Other Litigation Matters. </w:t>
      </w:r>
      <w:r>
        <w:rPr>
          <w:rFonts w:ascii="Times New Roman;sans-serif" w:hAnsi="Times New Roman;sans-serif"/>
          <w:b w:val="false"/>
          <w:color w:val="000000"/>
          <w:sz w:val="20"/>
        </w:rPr>
        <w:t>On July 19, 2022 Hartree Natural Gas Storage, LLC (“Hartree”) filed a lawsuit under seal in the Superior Court for the 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Insurance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associated with operating pipelines, terminals and other facilities and equipment, including the potential loss of significant revenues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operations through two operating segments, which are also our reportable segments: Crude Oil and NGL. See Note 20 to our Consolidated Financial Statements included in Part IV of our 2022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w:t>
      </w:r>
    </w:p>
    <w:p>
      <w:pPr>
        <w:pStyle w:val="TextBody"/>
        <w:bidi w:val="0"/>
        <w:spacing w:lineRule="auto" w:line="276"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data for each segment (in millions):</w:t>
      </w:r>
    </w:p>
    <w:p>
      <w:pPr>
        <w:pStyle w:val="TextBody"/>
        <w:bidi w:val="0"/>
        <w:spacing w:before="0" w:after="0"/>
        <w:ind w:left="0" w:right="0" w:firstLine="720"/>
        <w:jc w:val="left"/>
        <w:rPr/>
      </w:pPr>
      <w:r>
        <w:rPr/>
      </w:r>
    </w:p>
    <w:tbl>
      <w:tblPr>
        <w:tblW w:w="9522" w:type="dxa"/>
        <w:jc w:val="center"/>
        <w:tblInd w:w="0" w:type="dxa"/>
        <w:tblLayout w:type="fixed"/>
        <w:tblCellMar>
          <w:top w:w="28" w:type="dxa"/>
          <w:left w:w="28" w:type="dxa"/>
          <w:bottom w:w="28" w:type="dxa"/>
          <w:right w:w="28" w:type="dxa"/>
        </w:tblCellMar>
      </w:tblPr>
      <w:tblGrid>
        <w:gridCol w:w="1304"/>
        <w:gridCol w:w="1146"/>
        <w:gridCol w:w="1149"/>
        <w:gridCol w:w="211"/>
        <w:gridCol w:w="721"/>
        <w:gridCol w:w="109"/>
        <w:gridCol w:w="109"/>
        <w:gridCol w:w="109"/>
        <w:gridCol w:w="109"/>
        <w:gridCol w:w="211"/>
        <w:gridCol w:w="616"/>
        <w:gridCol w:w="109"/>
        <w:gridCol w:w="109"/>
        <w:gridCol w:w="109"/>
        <w:gridCol w:w="109"/>
        <w:gridCol w:w="465"/>
        <w:gridCol w:w="1063"/>
        <w:gridCol w:w="242"/>
        <w:gridCol w:w="109"/>
        <w:gridCol w:w="109"/>
        <w:gridCol w:w="109"/>
        <w:gridCol w:w="211"/>
        <w:gridCol w:w="721"/>
        <w:gridCol w:w="109"/>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 Revenues</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Segment Adjusted EBITDA to Net income attributable to PAA (in millions):</w:t>
      </w:r>
    </w:p>
    <w:p>
      <w:pPr>
        <w:pStyle w:val="TextBody"/>
        <w:bidi w:val="0"/>
        <w:spacing w:before="0" w:after="0"/>
        <w:ind w:left="0" w:right="0" w:firstLine="720"/>
        <w:jc w:val="left"/>
        <w:rPr/>
      </w:pPr>
      <w:r>
        <w:rPr/>
      </w:r>
    </w:p>
    <w:tbl>
      <w:tblPr>
        <w:tblW w:w="9735" w:type="dxa"/>
        <w:jc w:val="center"/>
        <w:tblInd w:w="0" w:type="dxa"/>
        <w:tblLayout w:type="fixed"/>
        <w:tblCellMar>
          <w:top w:w="28" w:type="dxa"/>
          <w:left w:w="28" w:type="dxa"/>
          <w:bottom w:w="28" w:type="dxa"/>
          <w:right w:w="28" w:type="dxa"/>
        </w:tblCellMar>
      </w:tblPr>
      <w:tblGrid>
        <w:gridCol w:w="1907"/>
        <w:gridCol w:w="1672"/>
        <w:gridCol w:w="1686"/>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90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activities and inventory valuation adjustments </w:t>
            </w:r>
            <w:r>
              <w:rPr>
                <w:rFonts w:ascii="Times New Roman;sans-serif" w:hAnsi="Times New Roman;sans-serif"/>
                <w:b w:val="false"/>
                <w:color w:val="000000"/>
                <w:sz w:val="13"/>
              </w:rPr>
              <w:t>(3)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Long-term inventory costing adjustments </w:t>
            </w:r>
            <w:r>
              <w:rPr>
                <w:rFonts w:ascii="Times New Roman;sans-serif" w:hAnsi="Times New Roman;sans-serif"/>
                <w:b w:val="false"/>
                <w:color w:val="000000"/>
                <w:sz w:val="13"/>
              </w:rPr>
              <w:t>(4)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Deficiencies under minimum volume commitments, net </w:t>
            </w:r>
            <w:r>
              <w:rPr>
                <w:rFonts w:ascii="Times New Roman;sans-serif" w:hAnsi="Times New Roman;sans-serif"/>
                <w:b w:val="false"/>
                <w:color w:val="000000"/>
                <w:sz w:val="13"/>
              </w:rPr>
              <w:t>(5)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Equity-indexed compensation expense </w:t>
            </w:r>
            <w:r>
              <w:rPr>
                <w:rFonts w:ascii="Times New Roman;sans-serif" w:hAnsi="Times New Roman;sans-serif"/>
                <w:b w:val="false"/>
                <w:color w:val="000000"/>
                <w:sz w:val="13"/>
              </w:rPr>
              <w:t>(6)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Line 901 incident </w:t>
            </w:r>
            <w:r>
              <w:rPr>
                <w:rFonts w:ascii="Times New Roman;sans-serif" w:hAnsi="Times New Roman;sans-serif"/>
                <w:b w:val="false"/>
                <w:color w:val="000000"/>
                <w:sz w:val="13"/>
              </w:rPr>
              <w:t>(8)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Transaction-related expenses </w:t>
            </w:r>
            <w:r>
              <w:rPr>
                <w:rFonts w:ascii="Times New Roman;sans-serif" w:hAnsi="Times New Roman;sans-serif"/>
                <w:b w:val="false"/>
                <w:color w:val="000000"/>
                <w:sz w:val="13"/>
              </w:rPr>
              <w:t>(9)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Adjusted EBITDA attributable to noncontrolling interests </w:t>
            </w:r>
            <w:r>
              <w:rPr>
                <w:rFonts w:ascii="Times New Roman;sans-serif" w:hAnsi="Times New Roman;sans-serif"/>
                <w:b w:val="false"/>
                <w:color w:val="000000"/>
                <w:sz w:val="13"/>
              </w:rPr>
              <w:t>(10)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 in unconsolidated entities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(expense)/benefit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adjustments utilized by our CODM in the evaluation of segment results.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our proportionate share of the depreciation and amortization expense (including write-downs related to cancelled projects and impairments) of unconsolidated entities.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18 to our Consolidated Financial Statements included in Part IV of our 2022 Annual Report on Form 10-K for a discussion regarding our equity-indexed compensation plans.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Includes costs recognized during the period related to the Line 901 incident that occurred in May 2015, net of amounts we believe are probable of recovery from insurance. See Note 9 for additional information regarding the Line 901 incident.</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Includes expenses associated with the Rattler Permian Transaction. See Note 11 for information regarding this transaction.</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(10)</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Note 11</w:t>
      </w:r>
      <w:r>
        <w:rPr>
          <w:color w:val="000000"/>
        </w:rPr>
        <w:t xml:space="preserve">— </w:t>
      </w:r>
      <w:r>
        <w:rPr>
          <w:rFonts w:ascii="Times New Roman;sans-serif" w:hAnsi="Times New Roman;sans-serif"/>
          <w:b/>
          <w:color w:val="000000"/>
          <w:sz w:val="20"/>
        </w:rPr>
        <w:t>Acquisitions and Divestitures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Rattler Permian Transaction. </w:t>
      </w:r>
      <w:r>
        <w:rPr>
          <w:rFonts w:ascii="Times New Roman;sans-serif" w:hAnsi="Times New Roman;sans-serif"/>
          <w:b w:val="false"/>
          <w:color w:val="000000"/>
          <w:sz w:val="20"/>
        </w:rPr>
        <w:t>In the third quarter of 2023, we completed the “Rattler Permian Transaction” where the Permian JV acquired the remaining 43% interest in OMOG JV Holdings LLC (“OMOG”) and certain gathering assets in the Southern Delaware basin from Rattler Midstream Operating LLC (“Rattler”). The transaction had an aggregate purchase price of $294 million ($191 million net to our 65% interest in the Permian JV). As a result of the transaction, the Permian JV now owns 100% of OMOG and its subsidiaries and such entities are reflected as consolidated subsidiaries in our Condensed Consolidated Financial Statements. Prior to this transaction, the Permian JV’s 57% interest in OMOG was accounted for as an equity method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was accounted for as a business combination using the acquisition method of accounting. In accordance with applicable accounting guidance, the fair value of the assets acquired and liabilities assumed following the acquisition was utilized as the consideration transferred for the purchase price allocation.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us obtaining control over OMOG, the Permian JV’s previously-held 57% interest in OMOG was remeasured to its fair value of $239 million based upon a valuation of the acquired business, as of the date of acquisition. We considered multiple factors in determining the fair value of the previously-held equity method investment, including, (i) the price negotiated with Rattler for its 43% interest in OMOG and (ii) a discounted cash flow approach. The discounted cash flow approach utilized a discount rate of 10.85%, based on the estimate of the risk that a theoretical market participant would assign to the business. The remeasurement of the Permian JV’s investment in OMOG to fair value resulted in a gain of $29 million. This gain has been recognized in the line item “Gain on investment in unconsolidated entities” on our Condensed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fair value of the assets and liabilities assumed was estimated in accordance with applicable accounting guidance. The analysis was performed based on estimates that are reflective of market participant assumptions. While the purchase price for the Rattler Permian Transaction was $294 million, all of the OMOG assets and liabilities were remeasured to fair value and therefore, the fair value of the assets and liabilities that are now consolidated on the balance sheet as a result of this transaction is $532 million. The following table reflects our preliminary determination of the fair value of the Rattler Permian Transaction assets and liabilities (in millions):</w:t>
      </w:r>
    </w:p>
    <w:p>
      <w:pPr>
        <w:pStyle w:val="TextBody"/>
        <w:bidi w:val="0"/>
        <w:spacing w:before="0" w:after="0"/>
        <w:ind w:left="0" w:right="0" w:firstLine="720"/>
        <w:jc w:val="left"/>
        <w:rPr/>
      </w:pPr>
      <w:r>
        <w:rPr/>
      </w:r>
    </w:p>
    <w:tbl>
      <w:tblPr>
        <w:tblW w:w="7973" w:type="dxa"/>
        <w:jc w:val="left"/>
        <w:tblInd w:w="0" w:type="dxa"/>
        <w:tblLayout w:type="fixed"/>
        <w:tblCellMar>
          <w:top w:w="28" w:type="dxa"/>
          <w:left w:w="28" w:type="dxa"/>
          <w:bottom w:w="28" w:type="dxa"/>
          <w:right w:w="28" w:type="dxa"/>
        </w:tblCellMar>
      </w:tblPr>
      <w:tblGrid>
        <w:gridCol w:w="1421"/>
        <w:gridCol w:w="1250"/>
        <w:gridCol w:w="1259"/>
        <w:gridCol w:w="109"/>
        <w:gridCol w:w="109"/>
        <w:gridCol w:w="109"/>
        <w:gridCol w:w="594"/>
        <w:gridCol w:w="594"/>
        <w:gridCol w:w="596"/>
        <w:gridCol w:w="109"/>
        <w:gridCol w:w="109"/>
        <w:gridCol w:w="109"/>
        <w:gridCol w:w="406"/>
        <w:gridCol w:w="900"/>
        <w:gridCol w:w="299"/>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Amount</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and 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21.1% to 22.9%,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 $2 million during the three months ended September 30, 2023, and the future amortization expense for the fourth quarter of 2023 through 2027 is estimated as follows (in millions):</w:t>
      </w:r>
    </w:p>
    <w:p>
      <w:pPr>
        <w:pStyle w:val="TextBody"/>
        <w:bidi w:val="0"/>
        <w:spacing w:before="0" w:after="0"/>
        <w:ind w:left="0" w:right="0" w:firstLine="720"/>
        <w:jc w:val="left"/>
        <w:rPr/>
      </w:pPr>
      <w:r>
        <w:rPr/>
      </w:r>
    </w:p>
    <w:tbl>
      <w:tblPr>
        <w:tblW w:w="3387"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109"/>
        <w:gridCol w:w="109"/>
        <w:gridCol w:w="109"/>
        <w:gridCol w:w="109"/>
        <w:gridCol w:w="109"/>
        <w:gridCol w:w="109"/>
        <w:gridCol w:w="211"/>
        <w:gridCol w:w="36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Northern Delaware Basin Gathering Acquisition. </w:t>
      </w:r>
      <w:r>
        <w:rPr>
          <w:rFonts w:ascii="Times New Roman;sans-serif" w:hAnsi="Times New Roman;sans-serif"/>
          <w:b w:val="false"/>
          <w:color w:val="000000"/>
          <w:sz w:val="20"/>
        </w:rPr>
        <w:t>On November 1, 2023, we acquired a crude oil gathering system in the Northern Delaware Basin from a subsidiary of LM Energy Partners for approximately $135 million (approximately $88 million net to our 65% interest in the Permian JV), subject to certain adjustments.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Keyera Fort Saskatchewan Divestiture.</w:t>
      </w:r>
      <w:r>
        <w:rPr>
          <w:color w:val="000000"/>
        </w:rPr>
        <w:t xml:space="preserve"> </w:t>
      </w:r>
      <w:r>
        <w:rPr>
          <w:rFonts w:ascii="Times New Roman;sans-serif" w:hAnsi="Times New Roman;sans-serif"/>
          <w:b w:val="false"/>
          <w:color w:val="000000"/>
          <w:sz w:val="20"/>
        </w:rPr>
        <w:t xml:space="preserve">In February 2023, we sold our 21% non-operated/undivided joint interest in the Keyera Fort Saskatchewan facility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which is reflected in “Other current assets” on our Condensed Consolidated Balance Sheet. Upon the sale of this facility, we recognized a gain of approximately $140 million which is included in “(Gains)/losses on asset sales and asset impairments, net” on our Condensed Consolidated Statement of Operations.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2022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includes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Results of Operations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Liquidity and Capital Resources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Recent Accounting Pronouncements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Forward-Looking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Executive Summary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and transportation corridors and at major market hubs in the United States and Canada. Our assets and the services we provide are primarily focused on crude oil and NGL.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Overview of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nine months of 2023, we recognized net income attributable to PAA of $918 million compared to $774 million during the first nine months of 2022. Our results include the benefit of higher tariff volumes and tariff escalations on our crude oil pipelines. In addition, the 2022 comparative period was impacted by an increase in the accrual for estimated costs associated with the Line 901 incident.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net income for the first nine months of 2023 compared to the first nine months of 2022 includes more favorable impacts from gains on asset sales and the mark-to-market adjustment of the Preferred Distribution Rate Reset Option, partially offset by unfavorable variances related to derivative mark-to-market valuations associated with our NGL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the “Results of Operations” section below for further discussion.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an overview of our consolidated financial results calculated in accordance with GAAP (in millions, except per unit data): </w:t>
      </w:r>
    </w:p>
    <w:p>
      <w:pPr>
        <w:pStyle w:val="TextBody"/>
        <w:bidi w:val="0"/>
        <w:spacing w:before="0" w:after="0"/>
        <w:ind w:left="0" w:right="0" w:firstLine="720"/>
        <w:jc w:val="left"/>
        <w:rPr/>
      </w:pPr>
      <w:r>
        <w:rPr/>
      </w:r>
    </w:p>
    <w:tbl>
      <w:tblPr>
        <w:tblW w:w="11582" w:type="dxa"/>
        <w:jc w:val="center"/>
        <w:tblInd w:w="0" w:type="dxa"/>
        <w:tblLayout w:type="fixed"/>
        <w:tblCellMar>
          <w:top w:w="28" w:type="dxa"/>
          <w:left w:w="28" w:type="dxa"/>
          <w:bottom w:w="28" w:type="dxa"/>
          <w:right w:w="28" w:type="dxa"/>
        </w:tblCellMar>
      </w:tblPr>
      <w:tblGrid>
        <w:gridCol w:w="844"/>
        <w:gridCol w:w="268"/>
        <w:gridCol w:w="26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33"/>
        <w:gridCol w:w="233"/>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33"/>
        <w:gridCol w:w="233"/>
        <w:gridCol w:w="316"/>
      </w:tblGrid>
      <w:tr>
        <w:trPr/>
        <w:tc>
          <w:tcPr>
            <w:tcW w:w="8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before="60" w:after="283"/>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Revenues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sales and purchases are indexed to WTI. The following table presents the range of NYMEX WTI benchmark prices of crude oil (in dollars per barrel):</w:t>
      </w:r>
    </w:p>
    <w:p>
      <w:pPr>
        <w:pStyle w:val="TextBody"/>
        <w:bidi w:val="0"/>
        <w:spacing w:before="0" w:after="0"/>
        <w:ind w:left="0" w:right="0" w:firstLine="720"/>
        <w:jc w:val="left"/>
        <w:rPr/>
      </w:pPr>
      <w:r>
        <w:rPr/>
      </w:r>
    </w:p>
    <w:tbl>
      <w:tblPr>
        <w:tblW w:w="6381" w:type="dxa"/>
        <w:jc w:val="center"/>
        <w:tblInd w:w="0" w:type="dxa"/>
        <w:tblLayout w:type="fixed"/>
        <w:tblCellMar>
          <w:top w:w="28" w:type="dxa"/>
          <w:left w:w="28" w:type="dxa"/>
          <w:bottom w:w="28" w:type="dxa"/>
          <w:right w:w="28" w:type="dxa"/>
        </w:tblCellMar>
      </w:tblPr>
      <w:tblGrid>
        <w:gridCol w:w="1264"/>
        <w:gridCol w:w="1113"/>
        <w:gridCol w:w="1117"/>
        <w:gridCol w:w="211"/>
        <w:gridCol w:w="361"/>
        <w:gridCol w:w="109"/>
        <w:gridCol w:w="109"/>
        <w:gridCol w:w="109"/>
        <w:gridCol w:w="109"/>
        <w:gridCol w:w="211"/>
        <w:gridCol w:w="466"/>
        <w:gridCol w:w="109"/>
        <w:gridCol w:w="109"/>
        <w:gridCol w:w="109"/>
        <w:gridCol w:w="109"/>
        <w:gridCol w:w="222"/>
        <w:gridCol w:w="380"/>
        <w:gridCol w:w="164"/>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NYMEX WTI</w:t>
              <w:br/>
              <w:t>Crude Oil Price</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 2022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 and purchases decreased for the three and nine months ended September 30, 2023 compared to the same periods in 2022 primarily due to lower commodity prices in the 2023 periods.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services increased for the three and nine months ended September 30, 2023 compared to the same periods in 2022 primarily due to higher volumes and tariff escalations in the 2023 periods, as well as the impact of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our net revenues (revenues less purchases and related costs) in the “—Analysis of Operating Segments”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field operating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increase in general and administrative expenses for the three and nine months ended September 30, 2023 compared to the same periods in 2022 was primarily due to (i) higher information systems costs due to ongoing systems integration work and (ii) higher employee-related costs, including an increase in equity-indexed compensation expense (a portion of which is excluded in the calculation of Adjusted EBITDA and Segment Adjusted EBITDA), partially offset by (iii) lower transition </w:t>
      </w:r>
      <w:r>
        <w:rPr>
          <w:rFonts w:ascii="Times New Roman;sans-serif" w:hAnsi="Times New Roman;sans-serif"/>
          <w:b w:val="false"/>
          <w:color w:val="000000"/>
          <w:sz w:val="20"/>
          <w:shd w:fill="FFFFFF" w:val="clear"/>
        </w:rPr>
        <w:t>costs associated with the formation of the Permian JV and (iv) the impact of exchange rate fluctuations.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Gains/(Losses) on Asset Sales and Asset Impairments,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gains on asset sales and asset impairments for the nine months ended September 30, 2023 was primarily comprised of a gain of approximately $140 million related to the sale of our Keyera Fort Saskatchewan facility in the first quarter of 2023. See Note 11 to our Condensed Consolidated Financial Statements for additional discussion of this transaction.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2022, we recognized a gain of $40 million related to the sale of land and buildings in California.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depreciation and amortization expense for the three and nine months ended September 30, 2023 compared to the same periods in 2022 was largely driven by acquisitions.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interest expense for the nine months ended September 30, 2023 compared to the nine months ended September 30, 2022 was primarily due to a lower weighted average debt balance during the 2023 period largely driven by the repayment of $750 million of senior notes in March 2022 and $400 million of senior notes in January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Other Income/(Expense),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impacting Other income/(expense), net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130"/>
        <w:gridCol w:w="1867"/>
        <w:gridCol w:w="1877"/>
        <w:gridCol w:w="109"/>
        <w:gridCol w:w="109"/>
        <w:gridCol w:w="109"/>
        <w:gridCol w:w="211"/>
        <w:gridCol w:w="406"/>
        <w:gridCol w:w="109"/>
        <w:gridCol w:w="109"/>
        <w:gridCol w:w="109"/>
        <w:gridCol w:w="109"/>
        <w:gridCol w:w="211"/>
        <w:gridCol w:w="412"/>
        <w:gridCol w:w="109"/>
        <w:gridCol w:w="109"/>
        <w:gridCol w:w="109"/>
        <w:gridCol w:w="109"/>
        <w:gridCol w:w="211"/>
        <w:gridCol w:w="361"/>
        <w:gridCol w:w="109"/>
        <w:gridCol w:w="109"/>
        <w:gridCol w:w="109"/>
        <w:gridCol w:w="109"/>
        <w:gridCol w:w="211"/>
        <w:gridCol w:w="517"/>
        <w:gridCol w:w="156"/>
      </w:tblGrid>
      <w:tr>
        <w:trPr/>
        <w:tc>
          <w:tcPr>
            <w:tcW w:w="213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Gain/(loss) on mark-to-market adjustment of Preferred Distribution Rate Reset Option embedded derivative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gain/(loss) on foreign currency revaluation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7 to our Condensed Consolidated Financial Statements for additional information.</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activity during the periods presented was primarily related to the impact from the change in the USD to CAD exchange rate on the portion of our intercompany net investment that is not long-term in nature.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Income Tax (Expense)/Benefit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favorable income tax variance for the three and nine months ended September 30, 2023, compared to the same periods in 2022 was primarily a result of lower year-over-year income within our Canadian operations as impacted by fluctuations of the derivative mark-to-market valuations. This favorable variance was partially offset for the nine-month period by the tax impact of the Keyera Fort Saskatchewan divestiture in the first quarter of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amounts attributable to noncontrolling interests for the three and nine months ended September 30, 2023 compared to the same periods in 2022 was primarily due to (i) the consolidation of Cactus II in November 2022 and (ii) higher income recognized by the Permian JV in the 2023 periods. See Note 7 to our Consolidated Financial Statements included in Part IV of our 2022 Annual Report on Form 10-K for additional information on the Cactus II transaction.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and gains on and impairments of investments in unconsolidated entities, adjusted for certain selected items impacting comparability.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definition and calculation of certain non-GAAP financial measures may not be comparable to similarly-titled measures of other companies. Adjusted EBITDA, Adjusted EBITDA attributable to PAA and Implied DCF are reconciled to Net Income, and Free Cash Flow and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Resources—Non-GAAP Financial Liquidity Measures” for additional information regarding Free Cash Flow and Free Cash Flow after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reconciliation of the non-GAAP financial performance measures Adjusted EBITDA, Adjusted EBITDA attributable to PAA and Implied DCF to Net Income (in millions): </w:t>
      </w:r>
    </w:p>
    <w:p>
      <w:pPr>
        <w:pStyle w:val="TextBody"/>
        <w:bidi w:val="0"/>
        <w:spacing w:before="0" w:after="0"/>
        <w:ind w:left="0" w:right="0" w:firstLine="720"/>
        <w:jc w:val="left"/>
        <w:rPr/>
      </w:pPr>
      <w:r>
        <w:rPr/>
      </w:r>
    </w:p>
    <w:tbl>
      <w:tblPr>
        <w:tblW w:w="11039" w:type="dxa"/>
        <w:jc w:val="center"/>
        <w:tblInd w:w="0" w:type="dxa"/>
        <w:tblLayout w:type="fixed"/>
        <w:tblCellMar>
          <w:top w:w="28" w:type="dxa"/>
          <w:left w:w="28" w:type="dxa"/>
          <w:bottom w:w="28" w:type="dxa"/>
          <w:right w:w="28" w:type="dxa"/>
        </w:tblCellMar>
      </w:tblPr>
      <w:tblGrid>
        <w:gridCol w:w="1056"/>
        <w:gridCol w:w="229"/>
        <w:gridCol w:w="231"/>
        <w:gridCol w:w="109"/>
        <w:gridCol w:w="109"/>
        <w:gridCol w:w="109"/>
        <w:gridCol w:w="211"/>
        <w:gridCol w:w="466"/>
        <w:gridCol w:w="109"/>
        <w:gridCol w:w="109"/>
        <w:gridCol w:w="109"/>
        <w:gridCol w:w="109"/>
        <w:gridCol w:w="211"/>
        <w:gridCol w:w="466"/>
        <w:gridCol w:w="109"/>
        <w:gridCol w:w="109"/>
        <w:gridCol w:w="109"/>
        <w:gridCol w:w="109"/>
        <w:gridCol w:w="211"/>
        <w:gridCol w:w="481"/>
        <w:gridCol w:w="109"/>
        <w:gridCol w:w="109"/>
        <w:gridCol w:w="109"/>
        <w:gridCol w:w="109"/>
        <w:gridCol w:w="240"/>
        <w:gridCol w:w="241"/>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39"/>
        <w:gridCol w:w="242"/>
        <w:gridCol w:w="316"/>
      </w:tblGrid>
      <w:tr>
        <w:trPr/>
        <w:tc>
          <w:tcPr>
            <w:tcW w:w="10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Selected 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Derivative activities and inventory valuation adjustments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inventory costing adjustments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Equity-indexed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Selected Items Impacting Comparability - Segment Adjusted EBITDA</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Mark-to-market adjustment of Preferred Distribution Rate Reset Option embedded derivative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Adjusted EBITDA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Adjusted EBITDA attributable to noncontrolling interests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358" w:type="dxa"/>
        <w:jc w:val="center"/>
        <w:tblInd w:w="0" w:type="dxa"/>
        <w:tblLayout w:type="fixed"/>
        <w:tblCellMar>
          <w:top w:w="28" w:type="dxa"/>
          <w:left w:w="28" w:type="dxa"/>
          <w:bottom w:w="28" w:type="dxa"/>
          <w:right w:w="28" w:type="dxa"/>
        </w:tblCellMar>
      </w:tblPr>
      <w:tblGrid>
        <w:gridCol w:w="734"/>
        <w:gridCol w:w="215"/>
        <w:gridCol w:w="216"/>
        <w:gridCol w:w="109"/>
        <w:gridCol w:w="109"/>
        <w:gridCol w:w="109"/>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187"/>
        <w:gridCol w:w="189"/>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88"/>
        <w:gridCol w:w="188"/>
        <w:gridCol w:w="316"/>
      </w:tblGrid>
      <w:tr>
        <w:trPr/>
        <w:tc>
          <w:tcPr>
            <w:tcW w:w="7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Interest expense, net of certain non-cash items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Investment capital of noncontrolling interests </w:t>
            </w: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Distributions from unconsolidated entities in excess of/(less than) adjusted equity earnings</w:t>
            </w:r>
            <w:r>
              <w:rPr>
                <w:color w:val="000000"/>
              </w:rPr>
              <w:t xml:space="preserve"> </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Distributions to noncontrolling interests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Implied DCF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Preferred unit distributions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Implied DCF Available to Common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Common unit cash distributions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Implied DCF Excess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For a more detailed discussion of these selected items impacting comparability, see the footnotes to the Segment Adjusted EBITDA Reconciliation table in Note 10 to our Condensed Consolidated Financial Statements.</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The Preferred Distribution Rate Reset Option of our Series A preferred units was accounted for as an embedded derivative and recorded at fair value in our Condensed Consolidated Financial Statements. The associated gains and losses are not integral to our results and were thus classified as a selected item impacting comparability. See Note 7 to our Condensed Consolidated Financial Statements for additional information regarding the Preferred Distribution Rate Reset Option.</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Other income/(expense), net on our Condensed Consolidated Statements of Operations, adjusted for selected items impacting comparability (“Adjusted other income/(expense), net”) is included in Adjusted EBITDA and excluded from Segment Adjusted EBITDA.</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Excludes certain non-cash items impacting interest expense such as amortization of debt issuance costs and terminated interest rate swaps.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Maintenance capital expenditures are defined as capital expenditures for the replacement and/or refurbishment of partially or fully depreciated assets in order to maintain the operating and/or earnings capacity of our existing assets.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Investment capital expenditures attributable to noncontrolling interests that reduce Implied DCF available to PAA common unitholders.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(10)</w:t>
      </w:r>
      <w:r>
        <w:rPr>
          <w:rFonts w:ascii="Times New Roman;sans-serif" w:hAnsi="Times New Roman;sans-serif"/>
          <w:b w:val="false"/>
          <w:color w:val="000000"/>
          <w:sz w:val="20"/>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(11)</w:t>
      </w:r>
      <w:r>
        <w:rPr>
          <w:rFonts w:ascii="Times New Roman;sans-serif" w:hAnsi="Times New Roman;sans-serif"/>
          <w:b w:val="false"/>
          <w:color w:val="000000"/>
          <w:sz w:val="20"/>
        </w:rPr>
        <w:t>Cash distributions paid during the period presented.</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(12)</w:t>
      </w:r>
      <w:r>
        <w:rPr>
          <w:rFonts w:ascii="Times New Roman;sans-serif" w:hAnsi="Times New Roman;sans-serif"/>
          <w:b w:val="false"/>
          <w:color w:val="000000"/>
          <w:sz w:val="20"/>
        </w:rPr>
        <w:t xml:space="preserve">Excess DCF is retained to establish reserves for debt repayment, future distributions, common equity repurchases, capital expenditures and other partnership purposes. </w: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Analysis of Operating Segments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through two operating segments: Crude Oil and NGL. Our CODM (our Chief Executive Officer) evaluates segment performance based on a variety of measures including Segment Adjusted EBITDA, segment volumes and maintenance capital investment. See Note 10 to our Condensed Consolidated Financial Statements for our definition of Segment Adjusted EBITDA and a reconciliation of Segment Adjusted EBITDA to Net income attributable to PAA. See Note 20 to our Consolidated Financial Statements included in Part IV of our 2022 Annual Report on Form 10-K for our definition of maintenance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manage exposure to commodity prices and, at times, to provide upside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primarily impacted by (i) increases or decreases in our lease gathering crude oil purchases volumes and (ii) volatility in commodity prices, as well as grade and regional price differentials and time spreads. The segment results also include the direct fixed and variable field costs of operating the crude oil assets, as well as an allocation of indirect operating costs.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our operating results from our Crude Oil segment: </w:t>
      </w:r>
    </w:p>
    <w:p>
      <w:pPr>
        <w:pStyle w:val="TextBody"/>
        <w:bidi w:val="0"/>
        <w:spacing w:before="0" w:after="0"/>
        <w:ind w:left="0" w:right="0" w:firstLine="720"/>
        <w:jc w:val="left"/>
        <w:rPr/>
      </w:pPr>
      <w:r>
        <w:rPr/>
      </w:r>
    </w:p>
    <w:tbl>
      <w:tblPr>
        <w:tblW w:w="12044" w:type="dxa"/>
        <w:jc w:val="center"/>
        <w:tblInd w:w="0" w:type="dxa"/>
        <w:tblLayout w:type="fixed"/>
        <w:tblCellMar>
          <w:top w:w="28" w:type="dxa"/>
          <w:left w:w="28" w:type="dxa"/>
          <w:bottom w:w="28" w:type="dxa"/>
          <w:right w:w="28" w:type="dxa"/>
        </w:tblCellMar>
      </w:tblPr>
      <w:tblGrid>
        <w:gridCol w:w="700"/>
        <w:gridCol w:w="497"/>
        <w:gridCol w:w="499"/>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88"/>
        <w:gridCol w:w="188"/>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88"/>
        <w:gridCol w:w="188"/>
        <w:gridCol w:w="316"/>
      </w:tblGrid>
      <w:tr>
        <w:trPr/>
        <w:tc>
          <w:tcPr>
            <w:tcW w:w="70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19"/>
        <w:gridCol w:w="342"/>
        <w:gridCol w:w="344"/>
        <w:gridCol w:w="109"/>
        <w:gridCol w:w="109"/>
        <w:gridCol w:w="109"/>
        <w:gridCol w:w="308"/>
        <w:gridCol w:w="308"/>
        <w:gridCol w:w="118"/>
        <w:gridCol w:w="117"/>
        <w:gridCol w:w="117"/>
        <w:gridCol w:w="117"/>
        <w:gridCol w:w="308"/>
        <w:gridCol w:w="308"/>
        <w:gridCol w:w="118"/>
        <w:gridCol w:w="109"/>
        <w:gridCol w:w="109"/>
        <w:gridCol w:w="109"/>
        <w:gridCol w:w="240"/>
        <w:gridCol w:w="240"/>
        <w:gridCol w:w="241"/>
        <w:gridCol w:w="109"/>
        <w:gridCol w:w="109"/>
        <w:gridCol w:w="109"/>
        <w:gridCol w:w="202"/>
        <w:gridCol w:w="204"/>
        <w:gridCol w:w="271"/>
        <w:gridCol w:w="109"/>
        <w:gridCol w:w="109"/>
        <w:gridCol w:w="109"/>
        <w:gridCol w:w="109"/>
        <w:gridCol w:w="109"/>
        <w:gridCol w:w="109"/>
        <w:gridCol w:w="308"/>
        <w:gridCol w:w="308"/>
        <w:gridCol w:w="134"/>
        <w:gridCol w:w="115"/>
        <w:gridCol w:w="115"/>
        <w:gridCol w:w="115"/>
        <w:gridCol w:w="308"/>
        <w:gridCol w:w="308"/>
        <w:gridCol w:w="134"/>
        <w:gridCol w:w="109"/>
        <w:gridCol w:w="109"/>
        <w:gridCol w:w="109"/>
        <w:gridCol w:w="240"/>
        <w:gridCol w:w="240"/>
        <w:gridCol w:w="241"/>
        <w:gridCol w:w="109"/>
        <w:gridCol w:w="109"/>
        <w:gridCol w:w="109"/>
        <w:gridCol w:w="202"/>
        <w:gridCol w:w="204"/>
        <w:gridCol w:w="322"/>
      </w:tblGrid>
      <w:tr>
        <w:trPr/>
        <w:tc>
          <w:tcPr>
            <w:tcW w:w="7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Crude oil pipeline tariff (by region)</w:t>
            </w:r>
            <w:r>
              <w:rPr>
                <w:color w:val="000000"/>
              </w:rPr>
              <w:t xml:space="preser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Basin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crude oil pipeline tariff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crude oil storage capacity </w:t>
            </w:r>
            <w:r>
              <w:rPr>
                <w:rFonts w:ascii="Times New Roman;sans-serif" w:hAnsi="Times New Roman;sans-serif"/>
                <w:b w:val="false"/>
                <w:color w:val="000000"/>
                <w:sz w:val="13"/>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Crude oil lease gathering purchases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periods represent total volumes for the number of days we actually owned the assets divided by the number of days in the period.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volumes (attributable to our interest) from assets owned by unconsolidated entities.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Average monthly capacity in millions of barrels calculated as total volumes for the period divided by the number of months in the period.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Segment Adjusted EBITDA increased for the three and nine months ended September 30, 2023 compared to the same periods in 2022 primarily due to higher tariff volumes, tariff escalations and contributions from acquisitions. These items were partially offset by fewer market-based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more detailed discussion of the significant factors impacting Segment Adjusted EBITDA for the three and nine months ended September 30, 2023 compared to the same periods in 2022.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Net Revenues and Equity Earnings. </w:t>
      </w:r>
      <w:r>
        <w:rPr>
          <w:rFonts w:ascii="Times New Roman;sans-serif" w:hAnsi="Times New Roman;sans-serif"/>
          <w:b w:val="false"/>
          <w:color w:val="000000"/>
          <w:sz w:val="20"/>
        </w:rPr>
        <w:t>Our results were favorably impacted by (i) higher volumes across our pipeline systems, primarily driven by increased production and new well connections, (ii) tariff escalations and (iii) contributions from acquisitions. These benefits were partially offset by the impact of minimum volume commitment deficiency payments received in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for the three months ended September 30, 2023 reflect fewer crude oil market-based opportunities compared to the three months ended September 30, 2022. For the full nine months of 2023 compared to 2022, more favorable results from Canadian crude oil market-based opportunities in 2023 were offset by the favorable impact to the 2022 period of the sale of excess linefill in a higher crude oil price environment.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For the three and nine months ended September 30, 2023 compared to the same periods in 2022, we had higher expenses associated with (i) utilities costs due to a combination of higher volumes and prices and an increase in the amount of drag reducing agents used, (ii) incremental consolidated operating costs in connection with acquisitions, (iii) employee-related costs primarily resulting from higher average headcount and salaries, (iv) chemical treatment costs and (v) unrealized mark-to-market losses on power hedges for the three- and nine-month period (which impact our field operating costs but are excluded from Segment Adjusted EBITDA and thus are reflected as an “Adjustment” in the table above). The unfavorable variance for the nine months ended September 30, 2023 compared to 2022 was partially offset by the recognition of additional estimated costs associated with the Line 901 incident in the first quarter of 2022 (which impact field operating costs but are excluded from Segment Adjusted EBITDA and thus are reflected as an “Adjustment” in the table above).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maintenance capital spending for the three and nine months ended September 30, 2023 compared to the same periods in 2022 was primarily due to timing of routine integrity and tank maintenance, as well as vehicle lease buyouts.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 Our management of our commodity exposure is subject to our risk management policies and may include the use of derivative instruments to mitigate the risk of such exposure and, at times, to provide upside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our segment results are impacted by (i) increases or decreases in our NGL sales volumes, (ii) volatility in commodity prices, the differential between the price of natural gas and the extracted NGL (“frac spread”), as well as location differentials and time spreads, and (iii) the volume of natural gas transported on third-party assets through our Empress straddle plant.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NGL segment:</w:t>
      </w:r>
    </w:p>
    <w:p>
      <w:pPr>
        <w:pStyle w:val="TextBody"/>
        <w:bidi w:val="0"/>
        <w:spacing w:before="0" w:after="0"/>
        <w:ind w:left="0" w:right="0" w:firstLine="720"/>
        <w:jc w:val="left"/>
        <w:rPr/>
      </w:pPr>
      <w:r>
        <w:rPr/>
      </w:r>
    </w:p>
    <w:tbl>
      <w:tblPr>
        <w:tblW w:w="10889" w:type="dxa"/>
        <w:jc w:val="center"/>
        <w:tblInd w:w="0" w:type="dxa"/>
        <w:tblLayout w:type="fixed"/>
        <w:tblCellMar>
          <w:top w:w="28" w:type="dxa"/>
          <w:left w:w="28" w:type="dxa"/>
          <w:bottom w:w="28" w:type="dxa"/>
          <w:right w:w="28" w:type="dxa"/>
        </w:tblCellMar>
      </w:tblPr>
      <w:tblGrid>
        <w:gridCol w:w="565"/>
        <w:gridCol w:w="497"/>
        <w:gridCol w:w="499"/>
        <w:gridCol w:w="109"/>
        <w:gridCol w:w="109"/>
        <w:gridCol w:w="109"/>
        <w:gridCol w:w="211"/>
        <w:gridCol w:w="466"/>
        <w:gridCol w:w="109"/>
        <w:gridCol w:w="109"/>
        <w:gridCol w:w="109"/>
        <w:gridCol w:w="109"/>
        <w:gridCol w:w="211"/>
        <w:gridCol w:w="466"/>
        <w:gridCol w:w="109"/>
        <w:gridCol w:w="109"/>
        <w:gridCol w:w="109"/>
        <w:gridCol w:w="109"/>
        <w:gridCol w:w="211"/>
        <w:gridCol w:w="481"/>
        <w:gridCol w:w="109"/>
        <w:gridCol w:w="109"/>
        <w:gridCol w:w="109"/>
        <w:gridCol w:w="109"/>
        <w:gridCol w:w="188"/>
        <w:gridCol w:w="188"/>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81"/>
        <w:gridCol w:w="109"/>
        <w:gridCol w:w="109"/>
        <w:gridCol w:w="109"/>
        <w:gridCol w:w="109"/>
        <w:gridCol w:w="188"/>
        <w:gridCol w:w="188"/>
        <w:gridCol w:w="316"/>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Adjustments</w:t>
            </w:r>
            <w:r>
              <w:rPr>
                <w:color w:val="000000"/>
              </w:rPr>
              <w:t xml:space="preserve">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81"/>
        <w:gridCol w:w="522"/>
        <w:gridCol w:w="524"/>
        <w:gridCol w:w="109"/>
        <w:gridCol w:w="109"/>
        <w:gridCol w:w="109"/>
        <w:gridCol w:w="233"/>
        <w:gridCol w:w="233"/>
        <w:gridCol w:w="139"/>
        <w:gridCol w:w="138"/>
        <w:gridCol w:w="138"/>
        <w:gridCol w:w="138"/>
        <w:gridCol w:w="233"/>
        <w:gridCol w:w="233"/>
        <w:gridCol w:w="139"/>
        <w:gridCol w:w="109"/>
        <w:gridCol w:w="109"/>
        <w:gridCol w:w="109"/>
        <w:gridCol w:w="240"/>
        <w:gridCol w:w="240"/>
        <w:gridCol w:w="241"/>
        <w:gridCol w:w="109"/>
        <w:gridCol w:w="109"/>
        <w:gridCol w:w="109"/>
        <w:gridCol w:w="200"/>
        <w:gridCol w:w="200"/>
        <w:gridCol w:w="271"/>
        <w:gridCol w:w="109"/>
        <w:gridCol w:w="109"/>
        <w:gridCol w:w="109"/>
        <w:gridCol w:w="109"/>
        <w:gridCol w:w="109"/>
        <w:gridCol w:w="109"/>
        <w:gridCol w:w="233"/>
        <w:gridCol w:w="233"/>
        <w:gridCol w:w="146"/>
        <w:gridCol w:w="134"/>
        <w:gridCol w:w="134"/>
        <w:gridCol w:w="134"/>
        <w:gridCol w:w="233"/>
        <w:gridCol w:w="233"/>
        <w:gridCol w:w="146"/>
        <w:gridCol w:w="109"/>
        <w:gridCol w:w="109"/>
        <w:gridCol w:w="109"/>
        <w:gridCol w:w="240"/>
        <w:gridCol w:w="240"/>
        <w:gridCol w:w="241"/>
        <w:gridCol w:w="109"/>
        <w:gridCol w:w="109"/>
        <w:gridCol w:w="109"/>
        <w:gridCol w:w="200"/>
        <w:gridCol w:w="200"/>
        <w:gridCol w:w="326"/>
      </w:tblGrid>
      <w:tr>
        <w:trPr/>
        <w:tc>
          <w:tcPr>
            <w:tcW w:w="7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Average Volumes </w:t>
            </w:r>
          </w:p>
          <w:p>
            <w:pPr>
              <w:pStyle w:val="TableContents"/>
              <w:bidi w:val="0"/>
              <w:spacing w:lineRule="auto" w:line="240" w:before="0" w:after="0"/>
              <w:jc w:val="left"/>
              <w:rPr/>
            </w:pPr>
            <w:r>
              <w:rPr>
                <w:rFonts w:ascii="Times New Roman;sans-serif" w:hAnsi="Times New Roman;sans-serif"/>
                <w:b/>
                <w:color w:val="000000"/>
                <w:sz w:val="16"/>
              </w:rPr>
              <w:t>(in thousands of barrels per day</w:t>
            </w:r>
            <w:r>
              <w:rPr>
                <w:rFonts w:ascii="Times New Roman;sans-serif" w:hAnsi="Times New Roman;sans-serif"/>
                <w:b/>
                <w:color w:val="000000"/>
                <w:sz w:val="20"/>
              </w:rPr>
              <w:t xml:space="preserve">) </w:t>
            </w:r>
            <w:r>
              <w:rPr>
                <w:rFonts w:ascii="Times New Roman;sans-serif" w:hAnsi="Times New Roman;sans-serif"/>
                <w:b/>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fractionation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tariff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Propane and butane sales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volumes are calculated as total volumes (attributable to our interest for assets owned through undivided joint interests) for the period divided by the number of days in the period.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During the fourth quarter of 2022, we modified our sales volumes reported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Segment Adjusted EBITDA increased for the three months ended September 30, 2023 compared to the same period in 2022 primarily due to (i) favorable NGL basis differentials and spot opportunities, partially offset by (ii) the impact of lower propane sales volumes as a result of deferring sales due to market structure, and (iii) increased field operating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net favorable impacts were more than offset for the nine months ended September 30, 2023 compared to the same period in 2022 by (i) the impact of lower NGL sales volumes during the second quarter of 2023 as a result of turnarounds, (ii) the sale of our ownership interest in the Keyera Fort Saskatchewan facility in the first quarter of 2023, combined with (iii) further increases in field operating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variances in the components of Segment Adjusted EBITDA are discussed in more detail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Net Revenues.</w:t>
      </w:r>
      <w:r>
        <w:rPr>
          <w:color w:val="000000"/>
        </w:rPr>
        <w:t xml:space="preserve"> </w:t>
      </w:r>
      <w:r>
        <w:rPr>
          <w:rFonts w:ascii="Times New Roman;sans-serif" w:hAnsi="Times New Roman;sans-serif"/>
          <w:b w:val="false"/>
          <w:color w:val="000000"/>
          <w:sz w:val="20"/>
        </w:rPr>
        <w:t>Net revenues include the impact of derivative activities and long-term inventory costing adjustments, which are excluded from Segment Adjusted EBITDA and thus are reflected as an “Adjustment” in the table above. Excluding such impacts, net revenues increased for the three and nine months ended September 30, 2023 compared to the same period in 2022 primarily due to (i) favorable NGL basis differentials and spot opportunities and (ii) higher processing revenues at our Empress straddle plants resulting from a commercial agreement executed in conjunction with the increase in our Empress ownership in the fourth quarter of 2022. This was partially offset by lower propane sales volumes as a result of deferring sales due to market structure, and further for the nine month period by the impact of (i) lower NGL sales volumes during the second quarter of 2023 as a result of turnarounds, (ii) higher gains at certain of our NGL facilities in 2022, and (iii) the sale of our ownership interest in the Keyera Fort Saskatchewan facility in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The increase in field operating costs for the three and nine months ended September 30, 2023 compared to the same periods in 2022 was primarily due to (i) an increase in unrealized mark-to-market losses on power hedges (which impact our field operating costs but are excluded from Segment Adjusted EBITDA and thus are reflected as an “Adjustment” in the table above), (ii) increased utilities-related costs largely as a result of higher prices, and the increase in our Empress ownership in the fourth quarter of 2022, along with (iii) higher regulatory costs. The increase in utilities-related costs was partially offset by the benefit to net revenues of operating cost recoveries realized through commercial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maintenance capital spending for the three and nine months ended September 30, 2023 compared to the same periods in 2022 was primarily due to a scheduled turnaround at our Empress, Alberta facility during 2022, partially offset by an increase in routine integrity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 (v) 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although we had a working capital deficit of $275 million, we had approximately $2.8 billion of liquidity available to meet our ongoing operating, investing and financing needs, subject to continued covenant compliance, as noted below (in millions): </w:t>
      </w:r>
    </w:p>
    <w:p>
      <w:pPr>
        <w:pStyle w:val="TextBody"/>
        <w:bidi w:val="0"/>
        <w:spacing w:before="0" w:after="0"/>
        <w:ind w:left="0" w:right="0" w:firstLine="720"/>
        <w:jc w:val="left"/>
        <w:rPr/>
      </w:pPr>
      <w:r>
        <w:rPr/>
      </w:r>
    </w:p>
    <w:tbl>
      <w:tblPr>
        <w:tblW w:w="7004" w:type="dxa"/>
        <w:jc w:val="center"/>
        <w:tblInd w:w="0" w:type="dxa"/>
        <w:tblLayout w:type="fixed"/>
        <w:tblCellMar>
          <w:top w:w="28" w:type="dxa"/>
          <w:left w:w="28" w:type="dxa"/>
          <w:bottom w:w="28" w:type="dxa"/>
          <w:right w:w="28" w:type="dxa"/>
        </w:tblCellMar>
      </w:tblPr>
      <w:tblGrid>
        <w:gridCol w:w="1959"/>
        <w:gridCol w:w="1725"/>
        <w:gridCol w:w="1730"/>
        <w:gridCol w:w="342"/>
        <w:gridCol w:w="999"/>
        <w:gridCol w:w="249"/>
      </w:tblGrid>
      <w:tr>
        <w:trPr/>
        <w:tc>
          <w:tcPr>
            <w:tcW w:w="195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September 30, 2023</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senior unsecured revolving credit facility </w:t>
            </w:r>
            <w:r>
              <w:rPr>
                <w:rFonts w:ascii="Times New Roman;sans-serif" w:hAnsi="Times New Roman;sans-serif"/>
                <w:b w:val="false"/>
                <w:color w:val="000000"/>
                <w:sz w:val="13"/>
              </w:rPr>
              <w:t>(1) (2)</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senior secured hedged inventory facility </w:t>
            </w:r>
            <w:r>
              <w:rPr>
                <w:rFonts w:ascii="Times New Roman;sans-serif" w:hAnsi="Times New Roman;sans-serif"/>
                <w:b w:val="false"/>
                <w:color w:val="000000"/>
                <w:sz w:val="13"/>
              </w:rPr>
              <w:t>(1) (2)</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commercial paper program</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color w:val="000000"/>
                <w:sz w:val="13"/>
              </w:rPr>
              <w:t>(3)</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availability prior to giving effect to borrowings outstanding under our commercial paper program, which reduce available capacity under our credit facilities.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Available capacity under our senior unsecured revolving credit facility and senior secured hedged inventory facility was reduced by outstanding letters of credit of $78 million and $69 million, respectively.</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Excludes restricted cash of $2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we extended the maturity dates of our senior secured hedged inventory facility and senior unsecured revolving credit facility by one year to August 2026 and August 2028, respectively, for each extending lender. The maturity date with respect to the non-extending lender under our senior unsecured revolving credit facility (which represents a commitment of approximately $64 million out of total commitments of $1.35 billion from all lenders) remains August 2027.</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September 30, 2023.</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2022 Annual Report on Form 10-K for further discussion regarding risks that may impact our 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Financial Liquidity Measures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uses the non-GAAP financial liquidity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and proceeds from the sale of noncontrolling interests. Free Cash Flow is further reduced by cash distributions paid to our preferred and common unitholders to arrive at Free Cash Flow after Distributions. Also see “Results of Operations–Non-GAAP Financial Measures” above for more information about our non-GAAP measures.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reconciliation of the non-GAAP financial liquidity measures Free Cash Flow and Free Cash Flow after Distributions to Net Cash Provided by Operating Activities (in millions):</w:t>
      </w:r>
    </w:p>
    <w:p>
      <w:pPr>
        <w:pStyle w:val="TextBody"/>
        <w:bidi w:val="0"/>
        <w:spacing w:before="0" w:after="0"/>
        <w:jc w:val="left"/>
        <w:rPr/>
      </w:pPr>
      <w:r>
        <w:rPr/>
      </w:r>
    </w:p>
    <w:tbl>
      <w:tblPr>
        <w:tblW w:w="10136" w:type="dxa"/>
        <w:jc w:val="left"/>
        <w:tblInd w:w="0" w:type="dxa"/>
        <w:tblLayout w:type="fixed"/>
        <w:tblCellMar>
          <w:top w:w="28" w:type="dxa"/>
          <w:left w:w="28" w:type="dxa"/>
          <w:bottom w:w="28" w:type="dxa"/>
          <w:right w:w="28" w:type="dxa"/>
        </w:tblCellMar>
      </w:tblPr>
      <w:tblGrid>
        <w:gridCol w:w="2568"/>
        <w:gridCol w:w="2260"/>
        <w:gridCol w:w="2267"/>
        <w:gridCol w:w="109"/>
        <w:gridCol w:w="109"/>
        <w:gridCol w:w="143"/>
        <w:gridCol w:w="143"/>
        <w:gridCol w:w="277"/>
        <w:gridCol w:w="809"/>
        <w:gridCol w:w="143"/>
        <w:gridCol w:w="109"/>
        <w:gridCol w:w="109"/>
        <w:gridCol w:w="109"/>
        <w:gridCol w:w="211"/>
        <w:gridCol w:w="616"/>
        <w:gridCol w:w="154"/>
      </w:tblGrid>
      <w:tr>
        <w:trPr/>
        <w:tc>
          <w:tcPr>
            <w:tcW w:w="256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cash provided by operating activities to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contributions from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distributions paid to noncontrolling interests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distributions </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after Distributions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Cash distributions paid during the period presented. </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Cash distributions paid to our preferred and common unitholders during the period presented.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 from Operating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2022 Annual Report on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first nine months of 2023 and 2022 was $1.716 billion and $2.074 billion, respectively, and primarily resulted from earnings from our operations. However, the 2023 period was impacted by net negative changes in working capital items, largely associated with higher margin balances required as part of our hedging activities during the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Capital Expenditures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and maintenance capital expenditures (in millions):</w:t>
      </w:r>
    </w:p>
    <w:p>
      <w:pPr>
        <w:pStyle w:val="TextBody"/>
        <w:bidi w:val="0"/>
        <w:spacing w:before="0" w:after="0"/>
        <w:ind w:left="0" w:right="0" w:firstLine="720"/>
        <w:jc w:val="left"/>
        <w:rPr/>
      </w:pPr>
      <w:r>
        <w:rPr/>
      </w:r>
    </w:p>
    <w:tbl>
      <w:tblPr>
        <w:tblW w:w="4163" w:type="dxa"/>
        <w:jc w:val="center"/>
        <w:tblInd w:w="0" w:type="dxa"/>
        <w:tblLayout w:type="fixed"/>
        <w:tblCellMar>
          <w:top w:w="28" w:type="dxa"/>
          <w:left w:w="28" w:type="dxa"/>
          <w:bottom w:w="28" w:type="dxa"/>
          <w:right w:w="28" w:type="dxa"/>
        </w:tblCellMar>
      </w:tblPr>
      <w:tblGrid>
        <w:gridCol w:w="804"/>
        <w:gridCol w:w="706"/>
        <w:gridCol w:w="709"/>
        <w:gridCol w:w="211"/>
        <w:gridCol w:w="466"/>
        <w:gridCol w:w="109"/>
        <w:gridCol w:w="109"/>
        <w:gridCol w:w="109"/>
        <w:gridCol w:w="109"/>
        <w:gridCol w:w="211"/>
        <w:gridCol w:w="46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capital </w:t>
            </w:r>
            <w:r>
              <w:rPr>
                <w:rFonts w:ascii="Times New Roman;sans-serif" w:hAnsi="Times New Roman;sans-serif"/>
                <w:b w:val="false"/>
                <w:color w:val="000000"/>
                <w:sz w:val="13"/>
              </w:rPr>
              <w:t>(1) (2) (3)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(1) (3)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capital </w:t>
            </w:r>
            <w:r>
              <w:rPr>
                <w:rFonts w:ascii="Times New Roman;sans-serif" w:hAnsi="Times New Roman;sans-serif"/>
                <w:b w:val="false"/>
                <w:color w:val="000000"/>
                <w:sz w:val="13"/>
              </w:rPr>
              <w:t>(2) (4)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contributions to unconsolidated entities, accounted for under the equity method of accounting, related to investment capital projects by such entities.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Investment capital and maintenance capital, net to our interest, was approximately $221 million and $158 million, respectively, for the nine months ended September 30, 2023, and approximately $212 million and $140 million, respectively, for the nine months ended September 30, 2022.</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Acquisition capital for the 2023 period primarily includes the Rattler Permian Transaction ($191 million net to our 65% interest in the Permian JV). See Note 11 to our Condensed Consolidated Financial Statements for additional information.</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2023 Investment and Maintenance Capital. </w:t>
      </w:r>
      <w:r>
        <w:rPr>
          <w:rFonts w:ascii="Times New Roman;sans-serif" w:hAnsi="Times New Roman;sans-serif"/>
          <w:b w:val="false"/>
          <w:color w:val="000000"/>
          <w:sz w:val="20"/>
        </w:rPr>
        <w:t>Total investment capital for the year ending December 31, 2023 is projected to be approximately $420 million ($325 million net to our interest). Approximately half of our projected investment capital expenditures are expected to be invested in the Permian JV assets. Additionally, maintenance capital for 2023 is projected to be $225 million ($210 million net to our interest). We expect to fund our 2023 investment and maintenance capital expenditures primarily with retained cash flow.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 have generally been used to fund our investment capital projects and reduce debt levels. The following table summarizes the proceeds received during the first nine months of 2023 and 2022 from sales of assets (in millions):</w:t>
      </w:r>
    </w:p>
    <w:p>
      <w:pPr>
        <w:pStyle w:val="TextBody"/>
        <w:bidi w:val="0"/>
        <w:spacing w:before="0" w:after="0"/>
        <w:ind w:left="0" w:right="0" w:firstLine="720"/>
        <w:jc w:val="left"/>
        <w:rPr/>
      </w:pPr>
      <w:r>
        <w:rPr/>
      </w:r>
    </w:p>
    <w:tbl>
      <w:tblPr>
        <w:tblW w:w="4641"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211"/>
        <w:gridCol w:w="466"/>
        <w:gridCol w:w="109"/>
        <w:gridCol w:w="109"/>
        <w:gridCol w:w="109"/>
        <w:gridCol w:w="109"/>
        <w:gridCol w:w="211"/>
        <w:gridCol w:w="36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Proceeds from divestitures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Represents proceeds, including working capital adjustments, net of transaction costs. The proceeds from divestitures for the nine months ended September 30, 2023 are primarily from the sale of our 21% non-operated/undivided joint interest in the Keyera Fort Saskatchewan facility in February 2023. See Note 11 to our Condensed Consolidated Financial Statements for additional discussion of this transaction.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ans-serif" w:hAnsi="Times New Roman;sans-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 included in our 2022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Borrowings and Repayments Under Credit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no net borrowings or repayments under our credit facilities or commercial paper program during the nine months ended September 30, 2023 and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Repayment of 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we redeemed our 2.85%, $400 million senior notes due January 2023. We utilized a combination of cash on hand and borrowings under our commercial paper program to repay these senior notes.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2023, we redeemed our 3.85%, $700 million senior notes due October 2023. We utilized a combination of cash on hand and borrowings under our commercial paper program to repay these 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Common Equity Repurchase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repurchased 7.3 million common units under the Common Equity Repurchase Program (the “Program”) during the nine months ended September 30, 2022 for a total purchase price of $74 million, including commissions and fees. There were no repurchases under the Program during the nine months ended September 30, 2023. The remaining available capacity under the Program as of September 30, 2023 was $198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Registration Statements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September 30, 2023.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nine months ended September 30,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Our Unitholders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A preferred unitholders.</w:t>
      </w:r>
      <w:r>
        <w:rPr>
          <w:color w:val="000000"/>
        </w:rPr>
        <w:t xml:space="preserve"> </w:t>
      </w:r>
      <w:r>
        <w:rPr>
          <w:rFonts w:ascii="Times New Roman;sans-serif" w:hAnsi="Times New Roman;sans-serif"/>
          <w:b w:val="false"/>
          <w:color w:val="000000"/>
          <w:sz w:val="20"/>
        </w:rPr>
        <w:t>On November 14, 2023, we will pay a quarterly cash distribution of approximately $0.615 per unit to Series A preferred unitholders of record at the close of business on October 31, 2023 for the period from July 1, 2023 through September 30, 2023.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unitholders.</w:t>
      </w:r>
      <w:r>
        <w:rPr>
          <w:color w:val="000000"/>
        </w:rPr>
        <w:t xml:space="preserve"> </w:t>
      </w:r>
      <w:r>
        <w:rPr>
          <w:rFonts w:ascii="Times New Roman;sans-serif" w:hAnsi="Times New Roman;sans-serif"/>
          <w:b w:val="false"/>
          <w:color w:val="000000"/>
          <w:sz w:val="20"/>
        </w:rPr>
        <w:t>On November 15, 2023, we will pay a quarterly cash distribution of approximately $24.88 per unit to Series B preferred unitholders of record at the close of business on November 1, 2023 for the period from August 15, 2023 through November 14, 2023.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Common Unitholders</w:t>
      </w:r>
      <w:r>
        <w:rPr>
          <w:rFonts w:ascii="Times New Roman;sans-serif" w:hAnsi="Times New Roman;sans-serif"/>
          <w:b w:val="false"/>
          <w:color w:val="000000"/>
          <w:sz w:val="20"/>
        </w:rPr>
        <w:t>. On November 14, 2023, we will pay a quarterly cash distribution of $0.2675 per common unit ($1.07 per unit on an annualized basis) to common unitholders of record at the close of business on October 31, 2023 for the period from July 1, 2023 through September 30, 2023, which is unchanged from the distribution per unit paid in August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6 to our Condensed Consolidated Financial Statements for details of distributions paid during or pertaining to the first nine months of 2023, including distributions to our preferred unitholders. </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Capital Allocation Framework Update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3, 2023, we provided updates to our capital allocation framework and announced our intention to recommend to the Board of Directors a $0.20 per unit (annualized) increase to our distribution payable to holders of our common units with respect to the fourth quarter of 2023. If approved and declared by the Board of Directors, such increased distribution would be paid in February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 represent amounts paid on interests in consolidated entities that are not owned by us. As of September 30, 2023, noncontrolling interests in our subsidiaries consisted of (i) a 35% interest in the Permian JV, (ii) a 30% interest in Cactus II and (iii) a 33% interest in Red River. See Note 6 to our Condensed Consolidated Financial Statements for details of distributions paid to noncontrolling interests during the nine months ended September 30, 2023.</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contingencies that may impact us, see Note 9 to our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Commitments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Purchase Obligations.</w:t>
      </w:r>
      <w:r>
        <w:rPr>
          <w:color w:val="000000"/>
        </w:rPr>
        <w:t xml:space="preserve"> </w:t>
      </w:r>
      <w:r>
        <w:rPr>
          <w:rFonts w:ascii="Times New Roman;sans-serif" w:hAnsi="Times New Roman;sans-serif"/>
          <w:b w:val="false"/>
          <w:color w:val="000000"/>
          <w:sz w:val="20"/>
        </w:rPr>
        <w:t xml:space="preserve">In the ordinary course of doing business, we purchase crude oil and NGL from third parties under contracts, the majority of which range in term from thirty-day evergreen to five years, with a limited number of contracts with remaining terms extending up to 11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includes our best estimate of the amount and timing of these payments as of September 30, 2023 (in millions): </w:t>
      </w:r>
    </w:p>
    <w:p>
      <w:pPr>
        <w:pStyle w:val="TextBody"/>
        <w:bidi w:val="0"/>
        <w:spacing w:before="0" w:after="0"/>
        <w:ind w:left="0" w:right="0" w:firstLine="720"/>
        <w:jc w:val="left"/>
        <w:rPr/>
      </w:pPr>
      <w:r>
        <w:rPr/>
      </w:r>
    </w:p>
    <w:tbl>
      <w:tblPr>
        <w:tblW w:w="10495" w:type="dxa"/>
        <w:jc w:val="center"/>
        <w:tblInd w:w="0" w:type="dxa"/>
        <w:tblLayout w:type="fixed"/>
        <w:tblCellMar>
          <w:top w:w="28" w:type="dxa"/>
          <w:left w:w="28" w:type="dxa"/>
          <w:bottom w:w="28" w:type="dxa"/>
          <w:right w:w="28" w:type="dxa"/>
        </w:tblCellMar>
      </w:tblPr>
      <w:tblGrid>
        <w:gridCol w:w="435"/>
        <w:gridCol w:w="382"/>
        <w:gridCol w:w="384"/>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Crude oil, NGL and other purchases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are primarily based on estimated volumes and market prices based on average activity during September 2023.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Letters of Credit.</w:t>
      </w:r>
      <w:r>
        <w:rPr>
          <w:color w:val="000000"/>
        </w:rPr>
        <w:t xml:space="preserve"> </w:t>
      </w: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70 days and are terminated upon completion of each transaction. Additionally, we issue letters of credit to support insurance programs, derivative transactions, including hedging-related margin obligations, and construction activities. At September 30, 2023 and December 31, 2022, we had outstanding letters of credit of approximately $147 million and $102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our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declines in global crude oil demand and crude oil prices (whether due to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refinery capacity in areas supplied by our mainlines and other factors affecting demand for various grades of crude oil and NGL and resulting changes in pricing conditions or transportation throughput requirements;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unanticipated changes in crude oil and NGL market structure, grade differentials and volatility (or lack thereof);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environmental liabilities, litigation or other events that are not covered by an indemnity, insurance or existing reserves;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occurrence of a natural disaster, catastrophe, terrorist attack (including eco-terrorist attacks) or other event that materially impacts our operations, including cyber or other attacks on our electronic and computer systems;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weather interference with business operations or project construction, including the impact of extreme weather events or conditions;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disruptions to futures markets for crude oil, NGL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effectiveness of our risk management activities;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shortages or cost increases of supplies, materials or labor;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maintenance of our credit rating and ability to receive open credit from our suppliers and trade counterparties;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availability of, and our ability to consummate, divestitures, joint ventures, acquisitions or other strategic opportunities;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incurrence of costs and expenses related to unexpected or unplanned capital expenditures, third-party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amplification of other risks caused by volatile financial markets, capital constraints, liquidity concerns and inflation;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currency exchange rate of the Canadian dollar to the United States dollar;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inability to recognize current revenue attributable to deficiency payments received from customers who fail to ship or move more than minimum contracted volumes until the related credits expire or are used;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significant under-utilization of our assets and facilities;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increased costs, or lack of availability, of insurance;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the debt and equity markets, including the price of our units at the time of vesting under our long-term incentive plans;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risks related to the development and operation of our assets;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described herein, as well as factors that are unknown or unpredictable, could also have a material adverse effect on future results. Please read “Risk Factors” discussed in Item 1A of our 2022 Annual Report on Form 10-K. Except as required by applicable securities laws, we do not intend to update these forward-looking statements and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hedge price risk associated with the following commodities: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ans-serif" w:hAnsi="Times New Roman;sans-serif"/>
          <w:b w:val="false"/>
          <w:i/>
          <w:color w:val="000000"/>
          <w:sz w:val="20"/>
          <w:u w:val="single"/>
        </w:rPr>
        <w:t>Crude oil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i/>
          <w:color w:val="000000"/>
          <w:sz w:val="20"/>
          <w:u w:val="single"/>
        </w:rPr>
        <w:t>Natural gas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ans-serif" w:hAnsi="Times New Roman;sans-serif"/>
          <w:b w:val="false"/>
          <w:i/>
          <w:color w:val="000000"/>
          <w:sz w:val="20"/>
          <w:u w:val="single"/>
        </w:rPr>
        <w:t>NGL and other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our Condensed Consolidated Financial Statements for further discussion regarding our hedging strategies and objectives.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commodity derivatives and the change in fair value as of September 30, 2023 that would be expected from a 10% price increase or decrease is shown in the table below (in millions):</w:t>
      </w:r>
    </w:p>
    <w:p>
      <w:pPr>
        <w:pStyle w:val="TextBody"/>
        <w:bidi w:val="0"/>
        <w:spacing w:before="0" w:after="0"/>
        <w:jc w:val="left"/>
        <w:rPr/>
      </w:pPr>
      <w:r>
        <w:rPr/>
      </w:r>
    </w:p>
    <w:tbl>
      <w:tblPr>
        <w:tblW w:w="5247" w:type="dxa"/>
        <w:jc w:val="center"/>
        <w:tblInd w:w="0" w:type="dxa"/>
        <w:tblLayout w:type="fixed"/>
        <w:tblCellMar>
          <w:top w:w="28" w:type="dxa"/>
          <w:left w:w="28" w:type="dxa"/>
          <w:bottom w:w="28" w:type="dxa"/>
          <w:right w:w="28" w:type="dxa"/>
        </w:tblCellMar>
      </w:tblPr>
      <w:tblGrid>
        <w:gridCol w:w="495"/>
        <w:gridCol w:w="433"/>
        <w:gridCol w:w="437"/>
        <w:gridCol w:w="268"/>
        <w:gridCol w:w="478"/>
        <w:gridCol w:w="140"/>
        <w:gridCol w:w="109"/>
        <w:gridCol w:w="109"/>
        <w:gridCol w:w="109"/>
        <w:gridCol w:w="341"/>
        <w:gridCol w:w="608"/>
        <w:gridCol w:w="177"/>
        <w:gridCol w:w="109"/>
        <w:gridCol w:w="109"/>
        <w:gridCol w:w="109"/>
        <w:gridCol w:w="346"/>
        <w:gridCol w:w="617"/>
        <w:gridCol w:w="253"/>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10%</w:t>
              <w:b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10%</w:t>
              <w:b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and other</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Debt</w:t>
      </w:r>
      <w:r>
        <w:rPr>
          <w:rFonts w:ascii="Times New Roman;sans-serif" w:hAnsi="Times New Roman;sans-serif"/>
          <w:b w:val="false"/>
          <w:color w:val="000000"/>
          <w:sz w:val="20"/>
        </w:rPr>
        <w:t>. 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We did not have any variable rate debt outstanding at September 30, 2023. The average interest rate on variable rate debt that was outstanding during the nine months ended September 30, 2023 was 5.6%, based upon rates in effect during such period. The fair value of our interest rate derivatives was a net asset of $80 million as of September 30, 2023. A 10% increase in the forward SOFR curve as of September 30, 2023 would have resulted in an increase of $19 million to the fair value of our interest rate derivatives. A 10% decrease in the forward SOFR curve as of September 30, 2023 would have resulted in a decrease of $19 million to the fair value of our interest rate derivatives. See Note 7 to our Condensed Consolidated Financial Statements for a discussion of our interest rate risk hedging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Units</w:t>
      </w:r>
      <w:r>
        <w:rPr>
          <w:rFonts w:ascii="Times New Roman;sans-serif" w:hAnsi="Times New Roman;sans-serif"/>
          <w:b w:val="false"/>
          <w:color w:val="000000"/>
          <w:sz w:val="20"/>
        </w:rPr>
        <w:t>. Distributions on the Series B preferred units accumulate and are payable quarterly in arrears on the 15th day of February, May, August and November. Beginning August 15, 2023, distributions on the Series B preferred units accumulate based on the applicable three-month SOFR, plus certain adjustments. Based upon the Series B preferred units outstanding at September 30, 2023 and the liquidation preference of $1,000 per unit, a change of 100 basis points in interest rates would increase or decrease the annual distributions on the Series B preferred units by approximately $8 million. See Note 6 to our Condensed Consolidated Financial Statements for additional information on the Series B preferred units.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September 30, 2023, the end of the period covered by this report, and, based on such evaluation, our Chief Executive Officer and Chief Financial Officer have concluded that our DCP is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information concerning our DCP, we are required to disclose certain changes in internal control over financial reporting. There have been no changes in our internal control over financial reporting during the third quarter of 2023 that have materially affected, or are reasonably likely to materially affect, our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9 to our Condensed Consolidated Financial Statements, and is incorporated herein by reference thereto.</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our risk factors, see Item 1A. of our 2022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of Unregistered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Omnibus Agreement, entered into as part of the Simplification Transactions, which closed on November 15, 2016, provides for the mechanics by which (i) the total number of PAGP’s outstanding Class A shares will equal the number of AAP units held by PAGP, and (ii) the total number of our common units held by AAP will equal the sum of the number of outstanding Class A units of AAP (“AAP units”) and the number of AAP units that are issuable to the holders of vested and earned Class B units of AAP (“AAP Management Units”). As such, we are obligated to issue common units to AAP in connection with PAGP’s issuance of Class A shares upon PAGP LTIP award vestings. During the three months ended September 30, 2023, we issued 139,350 common units to AAP in connection with PAGP LTIP award vestings. This issuance was exempt from the registration requirements of the Securities Act of 1933, as amended, pursuant to Section 4(a)(2) thereof.</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ind w:left="0" w:right="0" w:hanging="3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color w:val="000000"/>
          <w:sz w:val="20"/>
        </w:rPr>
        <w:t>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2023, none of our directors or officers (as defined in Rule 16a-1(f) of the Securities Exchange Act of 1934) adopted or terminated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 xml:space="preserve">EXHIBITS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3"/>
        <w:gridCol w:w="258"/>
        <w:gridCol w:w="259"/>
        <w:gridCol w:w="115"/>
        <w:gridCol w:w="115"/>
        <w:gridCol w:w="116"/>
        <w:gridCol w:w="2813"/>
        <w:gridCol w:w="2572"/>
        <w:gridCol w:w="366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"http://www.sec.gov/Archives/edgar/data/1070423/000110465917061889/a17-22685_5ex3d1.htm" \l "Exhibit3_1_122228"</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Seventh Amended and Restated Agreement of Limited Partnership of Plains All American Pipeline, L.P., dated as of October 10, 2017 (incorporated by reference to Exhibit 3.1 to our Current Report on Form 8-K filed October 12, 2017).</w:t>
            </w:r>
            <w:r>
              <w:rPr>
                <w:rStyle w:val="InternetLink"/>
                <w:sz w:val="20"/>
                <w:u w:val="single"/>
                <w:b w:val="false"/>
                <w:rFonts w:ascii="Times New Roman;sans-serif" w:hAnsi="Times New Roman;sans-serif"/>
                <w:color w:val="0000FF"/>
              </w:rPr>
              <w:fldChar w:fldCharType="end"/>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Third Amended and Restated Agreement of Limited Partnership of Plains Marketing, L.P. dated as of April 1, 2004 (incorporated by reference to Exhibit 3.2 to our Quarterly Report on Form 10-Q for the quarter ended March 31, 2004).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Amendment No. 1 dated December 31, 2010 to the Third Amended and Restated Agreement of Limited Partnership of Plains Marketing, L.P. (incorporated by reference to Exhibit 3.9 to our Annual Report on Form 10-K for the year ended December 31, 2010).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No. 2 dated January 1, 2011 to the Third Amended and Restated Agreement of Limited Partnership of Plains Marketing, L.P. (incorporated by reference to Exhibit 3.10 to our Annual Report on Form 10-K for the year ended December 31, 2010).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Amendment No. 3 dated June 30, 2011 to the Third Amended and Restated Agreement of Limited Partnership of Plains Marketing, L.P. (incorporated by reference to Exhibit 3.7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Amendment No. 4 dated January 1, 2013 to the Third Amended and Restated Agreement of Limited Partnership of Plains Marketing, L.P (incorporated by reference to Exhibit 3.8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Amendment No. 5 dated December 1, 2019 to the Third Amended and Restated Agreement of Limited Partnership of Plains Marketing, L.P. (incorporated by reference to Exhibit 3.7 to our Annual Report on Form 10-K for the year ended December, 31, 2019).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Third Amended and Restated Agreement of Limited Partnership of Plains Pipeline, L.P. dated as of April 1, 2004 (incorporated by reference to Exhibit 3.3 to our Quarterly Report on Form 10-Q for the quarter ended March 31, 2004).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Amendment No. 1 dated January 1, 2013 to the Third Amended and Restated Agreement of Limited Partnership of Plains Pipeline, L.P. (incorporated by reference to Exhibit 3.10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80"/>
                  <w:sz w:val="20"/>
                  <w:u w:val="single"/>
                </w:rPr>
                <w:t>Amendment No. 3 dated August 17, 2023</w:t>
              </w:r>
            </w:hyperlink>
            <w:hyperlink r:id="rId15">
              <w:r>
                <w:rPr>
                  <w:rStyle w:val="InternetLink"/>
                  <w:rFonts w:ascii="Times New Roman;sans-serif" w:hAnsi="Times New Roman;sans-serif"/>
                  <w:b w:val="false"/>
                  <w:color w:val="000080"/>
                  <w:sz w:val="20"/>
                  <w:u w:val="single"/>
                </w:rPr>
                <w:t xml:space="preserve"> </w:t>
              </w:r>
            </w:hyperlink>
            <w:hyperlink r:id="rId16">
              <w:r>
                <w:rPr>
                  <w:rStyle w:val="InternetLink"/>
                  <w:rFonts w:ascii="Times New Roman;sans-serif" w:hAnsi="Times New Roman;sans-serif"/>
                  <w:b w:val="false"/>
                  <w:color w:val="000080"/>
                  <w:sz w:val="20"/>
                  <w:u w:val="single"/>
                </w:rPr>
                <w:t xml:space="preserve">to the Eighth Amended and Restated Limited Partnership Agreement of Plains AAP, L.P. (incorporated by reference to Exhibit 3.1 to our Current Report on Form 8-K filed August </w:t>
              </w:r>
            </w:hyperlink>
            <w:hyperlink r:id="rId17">
              <w:r>
                <w:rPr>
                  <w:rStyle w:val="InternetLink"/>
                  <w:rFonts w:ascii="Times New Roman;sans-serif" w:hAnsi="Times New Roman;sans-serif"/>
                  <w:b w:val="false"/>
                  <w:color w:val="000080"/>
                  <w:sz w:val="20"/>
                  <w:u w:val="single"/>
                </w:rPr>
                <w:t>21</w:t>
              </w:r>
            </w:hyperlink>
            <w:hyperlink r:id="rId18">
              <w:r>
                <w:rPr>
                  <w:rStyle w:val="InternetLink"/>
                  <w:rFonts w:ascii="Times New Roman;sans-serif" w:hAnsi="Times New Roman;sans-serif"/>
                  <w:b w:val="false"/>
                  <w:color w:val="000080"/>
                  <w:sz w:val="20"/>
                  <w:u w:val="single"/>
                </w:rPr>
                <w:t>, 2023).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Certificate of Incorporation of PAA Finance Corp. (f/k/a Pacific Energy Finance Corporation, successor-by-merger to PAA Finance Corp.) (incorporated by reference to Exhibit 3.10 to our Annual Report on Form 10-K for the year ended December 31, 2006).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4"/>
        <w:gridCol w:w="153"/>
        <w:gridCol w:w="154"/>
        <w:gridCol w:w="115"/>
        <w:gridCol w:w="115"/>
        <w:gridCol w:w="116"/>
        <w:gridCol w:w="2797"/>
        <w:gridCol w:w="2722"/>
        <w:gridCol w:w="385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38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Bylaws of PAA Finance Corp. (f/k/a Pacific Energy Finance Corporation, successor-by-merger to PAA Finance Corp.) (incorporated by reference to Exhibit 3.11 to our Annual Report on Form 10-K for the year ended December 31,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Limited Liability Company Agreement of PAA GP LLC dated December 28, 2007 (incorporated by reference to Exhibit 3.3 to our Current Report on Form 8-K filed January 4, 2008).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Certificate of Limited Partnership of Plains GP Holdings, L.P. (incorporated by reference to Exhibit 3.1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Second Amended and Restated Agreement of Limited Partnership of Plains GP Holdings, L.P. dated November 15, 2016 (incorporated by reference to Exhibit 3.2 to PAGP’s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Amendment No. 1 dated April 6, 2020 to the Second Amended and Restated Agreement of Limited Partnership of Plains GP Holdings, L.P. (incorporated by reference to Exhibit 3.1 to PAGP’s Current Report on Form 8-K filed April 9, 2020).</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Certificate of Formation of PAA GP Holdings LLC (incorporated by reference to Exhibit 3.3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Fourth Amended and Restated Limited Liability Company Agreement of PAA GP Holdings LLC dated effective as of August 19, 2021 (incorporated by reference to Exhibit 3.21 to our Annual Report on Form 10-K for the year ended December 31,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Indenture dated September 25, 2002 among Plains All American Pipeline, L.P., PAA Finance Corp. and Wachovia Bank, National Association, as trustee (incorporated by reference to Exhibit 4.1 to our Quarterly Report on Form 10-Q for the quarter ended September 30,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our Current Report on Form 8-K filed March 26,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Twenty-Fourth Supplemental Indenture (3.85% Senior Notes due 2023) dated August 15, 2013, by and among Plains All American Pipeline, L.P., PAA Finance Corp. and U.S. Bank National Association, as trustee (incorporated by reference to Exhibit 4.1 to our Current Report on Form 8-K filed August 15,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r>
              <w:rPr>
                <w:rFonts w:ascii="Times New Roman;sans-serif" w:hAnsi="Times New Roman;sans-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50"/>
        <w:gridCol w:w="202"/>
        <w:gridCol w:w="207"/>
        <w:gridCol w:w="115"/>
        <w:gridCol w:w="115"/>
        <w:gridCol w:w="116"/>
        <w:gridCol w:w="2691"/>
        <w:gridCol w:w="2691"/>
        <w:gridCol w:w="3818"/>
      </w:tblGrid>
      <w:tr>
        <w:trPr/>
        <w:tc>
          <w:tcPr>
            <w:tcW w:w="2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18"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Twenty-Ninth Supplemental Indenture (4.65% Senior Notes due 2025) dated August 24, 2015, by and among Plains All American Pipeline, L.P., PAA Finance Corp. and U.S. Bank National Association, as trustee (incorporated by reference to Exhibit 4.1 to our Current Report on Form 8-K filed August 26, 2015).</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our Current Report on Form 8-K filed November 29, 2016)</w:t>
              </w:r>
            </w:hyperlink>
            <w:r>
              <w:rPr>
                <w:rFonts w:ascii="Times New Roman;sans-serif" w:hAnsi="Times New Roman;sans-serif"/>
                <w:b w:val="false"/>
                <w:color w:val="000000"/>
                <w:sz w:val="20"/>
              </w:rPr>
              <w: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our Current Report on Form 8-K filed September 17, 2019).</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our Current Report on Form 8-K filed June 11, 2020).</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Registration Rights Agreement dated September 3, 2009 by and between Plains All American Pipeline, L.P. and Vulcan Gas Storage LLC (incorporated by reference to Exhibit 4.1 to our Registration Statement on Form S-3, File No. 333-162477).</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Registration Rights Agreement dated as of January 28, 2016 among Plains All American Pipeline, L.P. and the Purchasers named therein (incorporated by reference to Exhibit 4.1 to our Current Report on Form 8-K filed February 2, 2016).</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Registration Rights Agreement by and among Plains All American Pipeline, L.P. and the Holders defined therein, dated November 15, 2016 (incorporated by reference to Exhibit 10.4 to our Current Report on Form 8-K filed November 21, 2016).</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Description of Our Securities (incorporated by reference to Exhibit 4.18 to our Annual Report on Form 10-K for the year ended December 31, 2022).</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3exhibit101.htm">
              <w:r>
                <w:rPr>
                  <w:rStyle w:val="InternetLink"/>
                  <w:rFonts w:ascii="Times New Roman;sans-serif" w:hAnsi="Times New Roman;sans-serif"/>
                  <w:b w:val="false"/>
                  <w:color w:val="0000FF"/>
                  <w:sz w:val="20"/>
                  <w:u w:val="single"/>
                </w:rPr>
                <w:t>Form of LTIP Grant Letter dated August 17, 2023 (Named Executive Officers)</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3exhibit102.htm">
              <w:r>
                <w:rPr>
                  <w:rStyle w:val="InternetLink"/>
                  <w:rFonts w:ascii="Times New Roman;sans-serif" w:hAnsi="Times New Roman;sans-serif"/>
                  <w:b w:val="false"/>
                  <w:color w:val="0000FF"/>
                  <w:sz w:val="20"/>
                  <w:u w:val="single"/>
                </w:rPr>
                <w:t>Form of LTIP Grant Letter dated August 17, 2023 (Directors)</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3exhibit311.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3exhibit312.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3exhibit321.htm">
              <w:r>
                <w:rPr>
                  <w:rStyle w:val="InternetLink"/>
                  <w:rFonts w:ascii="Times New Roman;sans-serif" w:hAnsi="Times New Roman;sans-serif"/>
                  <w:b w:val="false"/>
                  <w:color w:val="0000FF"/>
                  <w:sz w:val="20"/>
                  <w:u w:val="single"/>
                </w:rPr>
                <w:t>Certification of Principal Executive Officer pursuant to 18 U.S.C. 1350.</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32023exhibit322.htm">
              <w:r>
                <w:rPr>
                  <w:rStyle w:val="InternetLink"/>
                  <w:rFonts w:ascii="Times New Roman;sans-serif" w:hAnsi="Times New Roman;sans-serif"/>
                  <w:b w:val="false"/>
                  <w:color w:val="0000FF"/>
                  <w:sz w:val="20"/>
                  <w:u w:val="single"/>
                </w:rPr>
                <w:t>Certification of Principal Financial Officer pursuant to 18 U.S.C. 1350.</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8341" w:type="dxa"/>
        <w:jc w:val="left"/>
        <w:tblInd w:w="0" w:type="dxa"/>
        <w:tblLayout w:type="fixed"/>
        <w:tblCellMar>
          <w:top w:w="28" w:type="dxa"/>
          <w:left w:w="28" w:type="dxa"/>
          <w:bottom w:w="28" w:type="dxa"/>
          <w:right w:w="28" w:type="dxa"/>
        </w:tblCellMar>
      </w:tblPr>
      <w:tblGrid>
        <w:gridCol w:w="196"/>
        <w:gridCol w:w="171"/>
        <w:gridCol w:w="173"/>
        <w:gridCol w:w="115"/>
        <w:gridCol w:w="115"/>
        <w:gridCol w:w="116"/>
        <w:gridCol w:w="2183"/>
        <w:gridCol w:w="2183"/>
        <w:gridCol w:w="3089"/>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0" w:after="120"/>
        <w:ind w:left="0" w:right="0" w:hanging="720"/>
        <w:jc w:val="left"/>
        <w:rPr/>
      </w:pPr>
      <w:r>
        <w:rPr>
          <w:color w:val="000000"/>
        </w:rPr>
        <w:t>††    </w:t>
      </w:r>
      <w:r>
        <w:rPr>
          <w:rFonts w:ascii="Times New Roman;sans-serif" w:hAnsi="Times New Roman;sans-serif"/>
          <w:b w:val="false"/>
          <w:color w:val="000000"/>
          <w:sz w:val="20"/>
        </w:rPr>
        <w:t>Furnished herewith.</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compensatory plan or arrangement.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06b1a9b33b94f419eb62da963f5db0c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55"/>
        <w:gridCol w:w="488"/>
        <w:gridCol w:w="489"/>
        <w:gridCol w:w="547"/>
        <w:gridCol w:w="547"/>
        <w:gridCol w:w="547"/>
        <w:gridCol w:w="2072"/>
        <w:gridCol w:w="2066"/>
        <w:gridCol w:w="2894"/>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PLAINS ALL AMERICAN PIPELINE, L.P.</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GP LLC,</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AAP, L.P.,</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sole member</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GP LLC,</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Willie Chiang,</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Chief Executive Officer of Plains All American GP LLC</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Executive Officer)</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 Swanson,</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Financial Officer of Plains All American GP LLC</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Financial Officer)</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Chris Herbold,</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Senior Vice President, Finance and Chief Accounting Officer of Plains All American GP LLC</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Accounting Officer)</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867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before="0" w:after="0"/>
        <w:ind w:left="0" w:right="0" w:hanging="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center"/>
        <w:rPr/>
      </w:pPr>
      <w:r>
        <w:rPr/>
        <w:drawing>
          <wp:inline distT="0" distB="0" distL="0" distR="0">
            <wp:extent cx="3076575" cy="885825"/>
            <wp:effectExtent l="0" t="0" r="0" b="0"/>
            <wp:docPr id="6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 descr=""/>
                    <pic:cNvPicPr>
                      <a:picLocks noChangeAspect="1" noChangeArrowheads="1"/>
                    </pic:cNvPicPr>
                  </pic:nvPicPr>
                  <pic:blipFill>
                    <a:blip r:embed="rId44"/>
                    <a:stretch>
                      <a:fillRect/>
                    </a:stretch>
                  </pic:blipFill>
                  <pic:spPr bwMode="auto">
                    <a:xfrm>
                      <a:off x="0" y="0"/>
                      <a:ext cx="3076575" cy="885825"/>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u w:val="single"/>
        </w:rPr>
      </w:pPr>
      <w:r>
        <w:rPr>
          <w:rFonts w:ascii="Times New Roman;sans-serif" w:hAnsi="Times New Roman;sans-serif"/>
          <w:b/>
          <w:color w:val="000000"/>
          <w:sz w:val="24"/>
          <w:u w:val="single"/>
        </w:rPr>
        <w:t>2023 Regular Annual LTIP Grant</w:t>
      </w:r>
    </w:p>
    <w:p>
      <w:pPr>
        <w:pStyle w:val="TextBody"/>
        <w:bidi w:val="0"/>
        <w:spacing w:lineRule="auto" w:line="288" w:before="0" w:after="0"/>
        <w:jc w:val="right"/>
        <w:rPr>
          <w:rFonts w:ascii="Times New Roman;sans-serif" w:hAnsi="Times New Roman;sans-serif"/>
          <w:b/>
          <w:color w:val="000000"/>
          <w:sz w:val="24"/>
          <w:u w:val="single"/>
        </w:rPr>
      </w:pPr>
      <w:r>
        <w:rPr>
          <w:rFonts w:ascii="Times New Roman;sans-serif" w:hAnsi="Times New Roman;sans-serif"/>
          <w:b/>
          <w:color w:val="000000"/>
          <w:sz w:val="24"/>
          <w:u w:val="single"/>
        </w:rPr>
        <w:t>Section 16 Officers</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August 17, 2023</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bidi w:val="0"/>
        <w:spacing w:lineRule="auto" w:line="288"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Grant of Phantom Units</w: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Dear «Name»:</w:t>
      </w:r>
    </w:p>
    <w:p>
      <w:pPr>
        <w:pStyle w:val="TextBody"/>
        <w:bidi w:val="0"/>
        <w:spacing w:lineRule="auto" w:line="28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am pleased to inform you that, subject to the terms hereof, you have been granted a target number of Phantom Units equal to «Amount»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pStyle w:val="TextBody"/>
        <w:bidi w:val="0"/>
        <w:spacing w:lineRule="auto" w:line="288" w:before="0" w:after="0"/>
        <w:ind w:left="0" w:right="0" w:hanging="4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1.Subject to the further provisions hereof, your Phantom Units shall vest (become payable in the form of one Common Unit of PAA for each Phantom Unit that vests) as set forth below. With respect to Tranche 2 and Tranche 3 below, the actual number of Phantom Units that vest may be lower or higher than the percentage of target Phantom Units associated with such Tranche.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a.50% of your Phantom Units (“Tranche 1”) will vest on the August 2026 Distribution Date.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b.25% of your Phantom Units (“Tranche 2”) will vest pursuant to the terms and conditions described in Exhibit A attached hereto. </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c.25% of your Phantom Units (“Tranche 3”) will vest pursuant to the terms and conditions described in Exhibit B attached hereto. </w:t>
      </w:r>
    </w:p>
    <w:p>
      <w:pPr>
        <w:pStyle w:val="TextBody"/>
        <w:bidi w:val="0"/>
        <w:spacing w:lineRule="auto" w:line="288" w:before="0" w:after="12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d.Any Tranche 2 or Tranche 3 Phantom Units that are determined not to have vested as of the August 2026 Distribution Date shall expire effective as of such date.</w:t>
      </w:r>
    </w:p>
    <w:p>
      <w:pPr>
        <w:pStyle w:val="TextBody"/>
        <w:bidi w:val="0"/>
        <w:spacing w:lineRule="auto" w:line="288" w:before="0" w:after="0"/>
        <w:ind w:left="0" w:right="0" w:hanging="450"/>
        <w:jc w:val="both"/>
        <w:rPr>
          <w:rFonts w:ascii="Times New Roman;sans-serif" w:hAnsi="Times New Roman;sans-serif"/>
          <w:b w:val="false"/>
          <w:color w:val="000000"/>
          <w:sz w:val="24"/>
        </w:rPr>
      </w:pPr>
      <w:r>
        <w:rPr>
          <w:rFonts w:ascii="Times New Roman;sans-serif" w:hAnsi="Times New Roman;sans-serif"/>
          <w:b w:val="false"/>
          <w:color w:val="000000"/>
          <w:sz w:val="24"/>
        </w:rPr>
        <w:t>2.Subject to the further provisions hereof, your DERs shall vest (become payable in cash) as follows:</w:t>
      </w:r>
    </w:p>
    <w:p>
      <w:pPr>
        <w:pStyle w:val="TextBody"/>
        <w:bidi w:val="0"/>
        <w:spacing w:lineRule="auto" w:line="288" w:before="0" w:after="12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DERs associated with Tranche 1 will begin accruing on the November 2023 Distribution Date and will continue to accrue until the August 2024 Distribution Date, on which date such accrued but unpaid DERs will vest and be paid in a lump sum. Beginning on the November 2024 Distribution Date, such vested DERs will be paid quarterly until the associated Phantom Units vest or are forfeited pursuant to the terms 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97205"/>
                <wp:effectExtent l="0" t="0" r="0" b="0"/>
                <wp:wrapNone/>
                <wp:docPr id="65" name="Frame6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color w:val="000080"/>
                                <w:sz w:val="20"/>
                              </w:rPr>
                            </w:pPr>
                            <w:r>
                              <w:rPr>
                                <w:rFonts w:ascii="Times New Roman;sans-serif" w:hAnsi="Times New Roman;sans-serif"/>
                                <w:b/>
                                <w:color w:val="000080"/>
                                <w:sz w:val="20"/>
                              </w:rPr>
                              <w:t>333 Clay Street, Suite 1600 (77002)     ■ P.O. Box 4648 ■ Houston, Texas 77210-4648 ■ 713-646-4100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color w:val="000080"/>
                          <w:sz w:val="20"/>
                        </w:rPr>
                      </w:pPr>
                      <w:r>
                        <w:rPr>
                          <w:rFonts w:ascii="Times New Roman;sans-serif" w:hAnsi="Times New Roman;sans-serif"/>
                          <w:b/>
                          <w:color w:val="000080"/>
                          <w:sz w:val="20"/>
                        </w:rPr>
                        <w:t>333 Clay Street, Suite 1600 (77002)     ■ P.O. Box 4648 ■ Houston, Texas 77210-4648 ■ 713-646-4100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August 17, 2023</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bidi w:val="0"/>
        <w:spacing w:lineRule="auto" w:line="288" w:before="0" w:after="12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b.The DERs associated with Tranches 2 and 3 will begin accruing on the November 2023 Distribution Date and will continue to accrue until the associated Phantom Units vest or are forfeited pursuant to the terms hereof. Until such time as a final determination has been made regarding the number of Phantom Units that have vested for Tranche 2 and Tranche 3, such accruals will be based on the assumption that the final “Payout Percentage” as determined pursuant to Exhibit A or Exhibit B, as applicable, equals 100%. Once the final Payout Percentages and the final number of Phantom Units vesting for Tranche 2 and Tranche 3 have been determined, such accrued amounts shall be adjusted upward or downward, as applicable, so that they equal the total amount that would have been accrued in respect of the DERs associated with such vested Phantom Units had the accrual been based on such number of vested Phantom Units commencing on the November 2023 Distribution Date. All accrued and unpaid DERs associated with Tranche 2 and Tranche 3 shall be paid on the August 2026 Distribution Date or as soon thereafter as is administratively practicable. </w:t>
      </w:r>
    </w:p>
    <w:p>
      <w:pPr>
        <w:pStyle w:val="TextBody"/>
        <w:bidi w:val="0"/>
        <w:spacing w:lineRule="auto" w:line="288" w:before="0" w:after="12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3.The number of Phantom Units and DERs subject to this award, and with respect to the Phantom Units comprising Tranche 3, the distributable cash flow level required for vesting of such Phantom Units, shall be proportionately reduced or increased for any split or reverse split, respectively, of PAA Common Units, or any event or transaction having a similar effect. </w:t>
      </w:r>
    </w:p>
    <w:p>
      <w:pPr>
        <w:pStyle w:val="TextBody"/>
        <w:bidi w:val="0"/>
        <w:spacing w:lineRule="auto" w:line="288" w:before="0" w:after="12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4.Upon vesting of any Phantom Units, an equivalent number of DERs will expire. Any such DERs that are payable on the Distribution Date on which the Phantom Units vest, shall be payable on such Distribution Date prior to their expiration. </w:t>
      </w:r>
    </w:p>
    <w:p>
      <w:pPr>
        <w:pStyle w:val="TextBody"/>
        <w:bidi w:val="0"/>
        <w:spacing w:lineRule="auto" w:line="28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5.In the event of the termination of your employment with the Company and its Affiliates for any reason (other than in connection with a Change in Status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after the first anniversary of the date of this grant, a “pro rata portion” of the target number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target number of your then outstanding Phantom Units by a fraction equal to the number of days between the grant date and the date of termination divided by the number of days between the grant date and the August 2026 Distribution Date (1,093). If the resulting amount includes a fraction, it will be rounded down to the nearest whole number.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August 17, 2023</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3</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6.In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7.In the event of a Change in Status, (i) all of your then outstanding Phantom Units (which shall be equal to the target number of Phantom Units specified in the first paragraph hereof, except that in connection with a Change in Status that involves a Change of Control, the Compensation Committee shall have the discretion to adjust the payout level for any Tranche 2 or Tranche 3 Phantom Units based on the performance of the Company under the applicable performance metric taking into account such Change of Control transaction, in each case as reasonably determined by the Compensation Committee)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8.Upon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Nasdaq for the five trading days preceding the then most recent “ex dividend” date for payment of a distribution by the Partnership.</w:t>
      </w:r>
    </w:p>
    <w:p>
      <w:pPr>
        <w:pStyle w:val="TextBody"/>
        <w:bidi w:val="0"/>
        <w:ind w:left="0" w:right="0" w:firstLine="720"/>
        <w:jc w:val="both"/>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August 17, 2023</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4</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phrase “Change of Control” means, and shall be deemed to have occurred upon the occurrence of, one or more of the following events:</w:t>
      </w:r>
    </w:p>
    <w:p>
      <w:pPr>
        <w:pStyle w:val="TextBody"/>
        <w:bidi w:val="0"/>
        <w:spacing w:before="0" w:after="0"/>
        <w:ind w:left="0" w:right="0" w:firstLine="720"/>
        <w:jc w:val="both"/>
        <w:rPr/>
      </w:pPr>
      <w:r>
        <w:rPr/>
      </w:r>
    </w:p>
    <w:p>
      <w:pPr>
        <w:pStyle w:val="TextBody"/>
        <w:bidi w:val="0"/>
        <w:spacing w:lineRule="auto" w:line="288" w:before="0" w:after="0"/>
        <w:ind w:left="0" w:right="0" w:hanging="1032"/>
        <w:jc w:val="both"/>
        <w:rPr/>
      </w:pPr>
      <w:r>
        <w:rPr>
          <w:rFonts w:ascii="Times New Roman;sans-serif" w:hAnsi="Times New Roman;sans-serif"/>
          <w:b w:val="false"/>
          <w:color w:val="000000"/>
          <w:sz w:val="24"/>
        </w:rPr>
        <w:t>(i)any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r>
        <w:rPr>
          <w:rFonts w:ascii="Times New Roman;sans-serif" w:hAnsi="Times New Roman;sans-serif"/>
          <w:b w:val="false"/>
          <w:color w:val="000000"/>
          <w:sz w:val="16"/>
        </w:rPr>
        <w:t>1</w:t>
      </w:r>
      <w:r>
        <w:rPr>
          <w:rFonts w:ascii="Times New Roman;sans-serif" w:hAnsi="Times New Roman;sans-serif"/>
          <w:b w:val="false"/>
          <w:color w:val="000000"/>
          <w:sz w:val="24"/>
        </w:rPr>
        <w:t>;</w:t>
      </w:r>
    </w:p>
    <w:p>
      <w:pPr>
        <w:pStyle w:val="TextBody"/>
        <w:bidi w:val="0"/>
        <w:spacing w:lineRule="auto" w:line="288" w:before="0" w:after="0"/>
        <w:ind w:left="0" w:right="0" w:hanging="1032"/>
        <w:jc w:val="both"/>
        <w:rPr>
          <w:rFonts w:ascii="Times New Roman;sans-serif" w:hAnsi="Times New Roman;sans-serif"/>
          <w:b w:val="false"/>
          <w:color w:val="000000"/>
          <w:sz w:val="24"/>
        </w:rPr>
      </w:pPr>
      <w:r>
        <w:rPr>
          <w:rFonts w:ascii="Times New Roman;sans-serif" w:hAnsi="Times New Roman;sans-serif"/>
          <w:b w:val="false"/>
          <w:color w:val="000000"/>
          <w:sz w:val="24"/>
        </w:rPr>
        <w:t>(ii)any Person (other than PAGP GP, PAGP or any affiliate of PAGP that is controlled by PAGP) acquires (in one transaction or a series of related transactions and whether by merger or otherwise) direct or indirect control of the general partner interest of PAGP;</w:t>
      </w:r>
    </w:p>
    <w:p>
      <w:pPr>
        <w:pStyle w:val="TextBody"/>
        <w:bidi w:val="0"/>
        <w:spacing w:lineRule="auto" w:line="288" w:before="0" w:after="0"/>
        <w:ind w:left="0" w:right="0" w:hanging="1032"/>
        <w:jc w:val="both"/>
        <w:rPr>
          <w:rFonts w:ascii="Times New Roman;sans-serif" w:hAnsi="Times New Roman;sans-serif"/>
          <w:b w:val="false"/>
          <w:color w:val="000000"/>
          <w:sz w:val="24"/>
        </w:rPr>
      </w:pPr>
      <w:r>
        <w:rPr>
          <w:rFonts w:ascii="Times New Roman;sans-serif" w:hAnsi="Times New Roman;sans-serif"/>
          <w:b w:val="false"/>
          <w:color w:val="000000"/>
          <w:sz w:val="24"/>
        </w:rPr>
        <w:t>(iii)PAGP ceases to retain direct or indirect control (in one transaction or a series of related transactions and whether by merger or otherwise) of the general partner of the Partnership; or</w:t>
      </w:r>
    </w:p>
    <w:p>
      <w:pPr>
        <w:pStyle w:val="TextBody"/>
        <w:bidi w:val="0"/>
        <w:spacing w:lineRule="auto" w:line="288" w:before="0" w:after="0"/>
        <w:ind w:left="0" w:right="0" w:hanging="1032"/>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 xml:space="preserve">For the avoidance of doubt, the ownership by a Person of PAGP Class A or Class B shares (or combination thereof) that represent 50% or more of the outstanding Class A and B shares of PAGP (in the aggregate) constitutes indirect ownership of 50% or more of the membership interests in PAGP GP for so long as PAGP directly owns 50% or more of such membership interests in PAGP GP. </w:t>
      </w:r>
    </w:p>
    <w:p>
      <w:pPr>
        <w:pStyle w:val="TextBody"/>
        <w:bidi w:val="0"/>
        <w:spacing w:before="0" w:after="283"/>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August 17, 2023</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5</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used in this definition, “Person” shall include any “partnership, limited partnership, syndicate or other group” constituting a “person” within the meaning of such terms pursuant to Sections 13(d) and 14(d) of the Securities Exchange Act of 1934, as amended.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Terms used herein that are not defined herein shall have the meanings set forth in the Plan or, if not defined in the Plan, in the Seventh Amended and Restated Agreement of Limited Partnership of Plains All American Pipeline, L.P., as amended (the “Partnership Agreement”).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color w:val="000000"/>
        </w:rPr>
      </w:pPr>
      <w:r>
        <w:rPr>
          <w:color w:val="000000"/>
        </w:rPr>
        <w:t>    </w:t>
      </w:r>
      <w:r>
        <w:rPr>
          <w:rFonts w:ascii="Times New Roman;sans-serif" w:hAnsi="Times New Roman;sans-serif"/>
          <w:b w:val="false"/>
          <w:color w:val="000000"/>
          <w:sz w:val="24"/>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signing below, you agree that the Phantom Units and DERs granted hereunder are governed by the terms of the Plan. You also acknowledge and agree that (i) Tranches 2 and 3 of this award constitute performance-based compensation as defined in the Clawback Policy adopted by PAGP GP on November 12, 2020, as it may be amended from time to time, and (ii) Tranches 2 and 3 of this award, as well as any other performance-based compensation previously paid or awarded to you, are subject to recovery or cancellation pursuant to such Policy. Copies of the Plan, the Partnership Agreement and the Clawback Policy are available upon request.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rPr>
      </w:pPr>
      <w:r>
        <w:rPr>
          <w:color w:val="000000"/>
        </w:rPr>
        <w:t>    </w:t>
      </w:r>
    </w:p>
    <w:p>
      <w:pPr>
        <w:pStyle w:val="TextBody"/>
        <w:bidi w:val="0"/>
        <w:ind w:left="0" w:right="0" w:firstLine="720"/>
        <w:jc w:val="both"/>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August 17, 2023</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6</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pStyle w:val="TextBody"/>
        <w:bidi w:val="0"/>
        <w:spacing w:before="0" w:after="0"/>
        <w:jc w:val="both"/>
        <w:rPr/>
      </w:pPr>
      <w:r>
        <w:rPr/>
      </w:r>
    </w:p>
    <w:p>
      <w:pPr>
        <w:pStyle w:val="TextBody"/>
        <w:bidi w:val="0"/>
        <w:spacing w:lineRule="auto" w:line="28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PLAINS ALL AMERICAN PIPELINE, L.P.</w:t>
      </w:r>
    </w:p>
    <w:p>
      <w:pPr>
        <w:pStyle w:val="TextBody"/>
        <w:bidi w:val="0"/>
        <w:spacing w:before="0" w:after="0"/>
        <w:ind w:left="0" w:right="0" w:firstLine="4320"/>
        <w:jc w:val="both"/>
        <w:rPr/>
      </w:pPr>
      <w:r>
        <w:rPr/>
      </w:r>
    </w:p>
    <w:p>
      <w:pPr>
        <w:pStyle w:val="TextBody"/>
        <w:bidi w:val="0"/>
        <w:spacing w:lineRule="auto" w:line="28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By:    PAA GP LLC, its general partner</w:t>
      </w:r>
    </w:p>
    <w:p>
      <w:pPr>
        <w:pStyle w:val="TextBody"/>
        <w:bidi w:val="0"/>
        <w:spacing w:lineRule="auto" w:line="288"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By:    PLAINS AAP, L.P., its sole member</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PLAINS ALL AMERICAN GP LLC, </w:t>
        <w:br/>
        <w:t>its general partner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Name:    Jim Tillis</w:t>
      </w:r>
    </w:p>
    <w:p>
      <w:pPr>
        <w:pStyle w:val="TextBody"/>
        <w:bidi w:val="0"/>
        <w:spacing w:lineRule="auto" w:line="28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 – Human Resources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974" w:type="dxa"/>
        <w:jc w:val="left"/>
        <w:tblInd w:w="0" w:type="dxa"/>
        <w:tblLayout w:type="fixed"/>
        <w:tblCellMar>
          <w:top w:w="28" w:type="dxa"/>
          <w:left w:w="28" w:type="dxa"/>
          <w:bottom w:w="28" w:type="dxa"/>
          <w:right w:w="28" w:type="dxa"/>
        </w:tblCellMar>
      </w:tblPr>
      <w:tblGrid>
        <w:gridCol w:w="312"/>
        <w:gridCol w:w="274"/>
        <w:gridCol w:w="388"/>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Target Number of Phantom Units:</w:t>
      </w:r>
      <w:r>
        <w:rPr>
          <w:color w:val="000000"/>
          <w:u w:val="single"/>
        </w:rPr>
        <w:t xml:space="preserve"> </w:t>
      </w:r>
      <w:r>
        <w:rPr>
          <w:rFonts w:ascii="Times New Roman;sans-serif" w:hAnsi="Times New Roman;sans-serif"/>
          <w:b w:val="false"/>
          <w:color w:val="000000"/>
          <w:sz w:val="24"/>
          <w:u w:val="single"/>
        </w:rPr>
        <w:t>«Amount»</w:t>
      </w:r>
    </w:p>
    <w:p>
      <w:pPr>
        <w:pStyle w:val="TextBody"/>
        <w:bidi w:val="0"/>
        <w:spacing w:before="0" w:after="0"/>
        <w:jc w:val="left"/>
        <w:rPr/>
      </w:pPr>
      <w:r>
        <w:rPr/>
      </w:r>
    </w:p>
    <w:p>
      <w:pPr>
        <w:pStyle w:val="TextBody"/>
        <w:bidi w:val="0"/>
        <w:spacing w:lineRule="auto" w:line="417" w:before="0" w:after="0"/>
        <w:jc w:val="left"/>
        <w:rPr/>
      </w:pPr>
      <w:r>
        <w:rPr>
          <w:rFonts w:ascii="Times New Roman;sans-serif" w:hAnsi="Times New Roman;sans-serif"/>
          <w:b w:val="false"/>
          <w:color w:val="000000"/>
          <w:sz w:val="24"/>
        </w:rPr>
        <w:t>Dated:</w:t>
      </w:r>
      <w:r>
        <w:rPr>
          <w:color w:val="000000"/>
          <w:u w:val="single"/>
        </w:rPr>
        <w:t>            </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Beneficiary Designation</w:t>
      </w:r>
    </w:p>
    <w:tbl>
      <w:tblPr>
        <w:tblW w:w="6824" w:type="dxa"/>
        <w:jc w:val="left"/>
        <w:tblInd w:w="0" w:type="dxa"/>
        <w:tblLayout w:type="fixed"/>
        <w:tblCellMar>
          <w:top w:w="28" w:type="dxa"/>
          <w:left w:w="28" w:type="dxa"/>
          <w:bottom w:w="28" w:type="dxa"/>
          <w:right w:w="28" w:type="dxa"/>
        </w:tblCellMar>
      </w:tblPr>
      <w:tblGrid>
        <w:gridCol w:w="1053"/>
        <w:gridCol w:w="926"/>
        <w:gridCol w:w="930"/>
        <w:gridCol w:w="430"/>
        <w:gridCol w:w="430"/>
        <w:gridCol w:w="431"/>
        <w:gridCol w:w="766"/>
        <w:gridCol w:w="766"/>
        <w:gridCol w:w="1092"/>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Primary Beneficiary Name</w:t>
            </w:r>
          </w:p>
        </w:tc>
        <w:tc>
          <w:tcPr>
            <w:tcW w:w="1291"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Relationship</w:t>
            </w:r>
          </w:p>
        </w:tc>
        <w:tc>
          <w:tcPr>
            <w:tcW w:w="2624" w:type="dxa"/>
            <w:gridSpan w:val="3"/>
            <w:tcBorders>
              <w:top w:val="single" w:sz="4" w:space="0" w:color="000000"/>
              <w:left w:val="single" w:sz="4" w:space="0" w:color="000000"/>
              <w:right w:val="single" w:sz="4" w:space="0" w:color="000000"/>
            </w:tcBorders>
            <w:shd w:fill="C0C0C0" w:val="clear"/>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Percent (Must total 100%)</w:t>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Secondary Beneficiary Name</w:t>
            </w:r>
          </w:p>
        </w:tc>
        <w:tc>
          <w:tcPr>
            <w:tcW w:w="1291"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Relationship</w:t>
            </w:r>
          </w:p>
        </w:tc>
        <w:tc>
          <w:tcPr>
            <w:tcW w:w="2624" w:type="dxa"/>
            <w:gridSpan w:val="3"/>
            <w:tcBorders>
              <w:top w:val="single" w:sz="4" w:space="0" w:color="000000"/>
              <w:left w:val="single" w:sz="4" w:space="0" w:color="000000"/>
              <w:right w:val="single" w:sz="4" w:space="0" w:color="000000"/>
            </w:tcBorders>
            <w:shd w:fill="C0C0C0" w:val="clear"/>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Percent (Must total 100%)</w:t>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color w:val="000000"/>
        </w:rPr>
        <w:t xml:space="preserve">☐ </w:t>
      </w:r>
      <w:r>
        <w:rPr>
          <w:rFonts w:ascii="Times New Roman;sans-serif" w:hAnsi="Times New Roman;sans-serif"/>
          <w:b w:val="false"/>
          <w:color w:val="000000"/>
          <w:sz w:val="24"/>
        </w:rPr>
        <w:t>Check this box only if this beneficiary designation does not apply to prior grants.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Tranche 2 Vesting Terms</w:t>
        <w:br/>
        <w:t>(Total Shareholder Return)</w:t>
      </w:r>
    </w:p>
    <w:p>
      <w:pPr>
        <w:pStyle w:val="TextBody"/>
        <w:bidi w:val="0"/>
        <w:spacing w:before="0" w:after="0"/>
        <w:jc w:val="center"/>
        <w:rPr/>
      </w:pPr>
      <w:r>
        <w:rPr/>
      </w:r>
    </w:p>
    <w:p>
      <w:pPr>
        <w:pStyle w:val="TextBody"/>
        <w:bidi w:val="0"/>
        <w:spacing w:lineRule="auto" w:line="240" w:before="0" w:after="120"/>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i/>
          <w:color w:val="000000"/>
          <w:sz w:val="20"/>
          <w:u w:val="single"/>
        </w:rPr>
        <w:t>General</w:t>
      </w:r>
      <w:r>
        <w:rPr>
          <w:rFonts w:ascii="Times New Roman;sans-serif" w:hAnsi="Times New Roman;sans-serif"/>
          <w:b w:val="false"/>
          <w:color w:val="000000"/>
          <w:sz w:val="20"/>
        </w:rPr>
        <w:t>. Consistent with the Company’s pay for performance philosophy and in order to more closely align the interests of management with the 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pStyle w:val="TextBody"/>
        <w:bidi w:val="0"/>
        <w:spacing w:lineRule="auto" w:line="240" w:before="0" w:after="120"/>
        <w:ind w:left="0" w:right="0" w:hanging="360"/>
        <w:jc w:val="both"/>
        <w:rPr/>
      </w:pPr>
      <w:r>
        <w:rPr>
          <w:rFonts w:ascii="Times New Roman;sans-serif" w:hAnsi="Times New Roman;sans-serif"/>
          <w:b w:val="false"/>
          <w:color w:val="000000"/>
          <w:sz w:val="20"/>
        </w:rPr>
        <w:t>2.</w:t>
      </w:r>
      <w:r>
        <w:rPr>
          <w:rFonts w:ascii="Times New Roman;sans-serif" w:hAnsi="Times New Roman;sans-serif"/>
          <w:b w:val="false"/>
          <w:i/>
          <w:color w:val="000000"/>
          <w:sz w:val="20"/>
          <w:u w:val="single"/>
        </w:rPr>
        <w:t>Vesting and Payout</w:t>
      </w:r>
      <w:r>
        <w:rPr>
          <w:rFonts w:ascii="Times New Roman;sans-serif" w:hAnsi="Times New Roman;sans-serif"/>
          <w:b w:val="false"/>
          <w:color w:val="000000"/>
          <w:sz w:val="20"/>
        </w:rPr>
        <w:t>. As soon as administratively feasible following the close of the three-year period ending on June 30, 2026 (the “Performance Period”), the Compensation Committee shall determine and certify the TSR Payout Percentage (as defined below). The Compensation Committee shall make such determination based on a scaled payout range of between 0% and 200% as provided in the table below (the specific payout percentage is referred to as the “TSR Payout Percentage”) based on PAA’s TSR ranking at the end of the Performance Period compared to the TSR ranking of the various companies and/or indices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If PAA’s absolute TSR at the end of the Performance Period is less than 0% and the TSR Payout Percentage is greater than 100%, (i) a TSR Payout Percentage equal to or greater than 125% will be reduced by 25 gross percentage points, and (ii) a TSR Payout Percentage between 100% and 125% will be reduced to 100%. The number of Tranche 2 Phantom Units vesting will be determined by multiplying your target number of Tranche 2 Phantom Units by the TSR Payout Percentage as certified by the Compensation Committee. If the resulting amount includes a fraction, it will be rounded down to the nearest whole number.</w:t>
      </w:r>
    </w:p>
    <w:p>
      <w:pPr>
        <w:pStyle w:val="TextBody"/>
        <w:bidi w:val="0"/>
        <w:spacing w:before="0" w:after="0"/>
        <w:jc w:val="left"/>
        <w:rPr/>
      </w:pPr>
      <w:r>
        <w:rPr/>
      </w:r>
    </w:p>
    <w:tbl>
      <w:tblPr>
        <w:tblW w:w="4650" w:type="dxa"/>
        <w:jc w:val="left"/>
        <w:tblInd w:w="0" w:type="dxa"/>
        <w:tblLayout w:type="fixed"/>
        <w:tblCellMar>
          <w:top w:w="28" w:type="dxa"/>
          <w:left w:w="28" w:type="dxa"/>
          <w:bottom w:w="28" w:type="dxa"/>
          <w:right w:w="28" w:type="dxa"/>
        </w:tblCellMar>
      </w:tblPr>
      <w:tblGrid>
        <w:gridCol w:w="1242"/>
        <w:gridCol w:w="1094"/>
        <w:gridCol w:w="1099"/>
        <w:gridCol w:w="356"/>
        <w:gridCol w:w="356"/>
        <w:gridCol w:w="503"/>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PAA TSR Ranking vs. PAA Peer Group</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TSR Payout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4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1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Illustrative Examples (based on an assumed target number of Tranche 2 Phantom Units of 1,000): </w:t>
      </w:r>
    </w:p>
    <w:p>
      <w:pPr>
        <w:pStyle w:val="TextBody"/>
        <w:bidi w:val="0"/>
        <w:spacing w:before="0" w:after="0"/>
        <w:jc w:val="left"/>
        <w:rPr/>
      </w:pPr>
      <w:r>
        <w:rPr/>
      </w:r>
    </w:p>
    <w:tbl>
      <w:tblPr>
        <w:tblW w:w="7844" w:type="dxa"/>
        <w:jc w:val="left"/>
        <w:tblInd w:w="0" w:type="dxa"/>
        <w:tblLayout w:type="fixed"/>
        <w:tblCellMar>
          <w:top w:w="28" w:type="dxa"/>
          <w:left w:w="28" w:type="dxa"/>
          <w:bottom w:w="28" w:type="dxa"/>
          <w:right w:w="28" w:type="dxa"/>
        </w:tblCellMar>
      </w:tblPr>
      <w:tblGrid>
        <w:gridCol w:w="1242"/>
        <w:gridCol w:w="1094"/>
        <w:gridCol w:w="1099"/>
        <w:gridCol w:w="1291"/>
        <w:gridCol w:w="1291"/>
        <w:gridCol w:w="1827"/>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PAA TSR Ranking vs. PAA Peer Group</w:t>
            </w:r>
          </w:p>
        </w:tc>
        <w:tc>
          <w:tcPr>
            <w:tcW w:w="44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TSR Payout Percentage / Number of Units Vesting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(impact of negative absolute TSR)</w:t>
            </w:r>
          </w:p>
        </w:tc>
      </w:tr>
      <w:tr>
        <w:trPr/>
        <w:tc>
          <w:tcPr>
            <w:tcW w:w="34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 2,000 units</w:t>
            </w:r>
          </w:p>
        </w:tc>
      </w:tr>
      <w:tr>
        <w:trPr/>
        <w:tc>
          <w:tcPr>
            <w:tcW w:w="343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40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157% / 1,570 units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75"/>
        <w:gridCol w:w="1119"/>
        <w:gridCol w:w="1123"/>
        <w:gridCol w:w="1960"/>
        <w:gridCol w:w="1953"/>
        <w:gridCol w:w="2775"/>
      </w:tblGrid>
      <w:tr>
        <w:trPr/>
        <w:tc>
          <w:tcPr>
            <w:tcW w:w="127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but PAA’s absolute TSR is less than 0%</w:t>
            </w:r>
          </w:p>
        </w:tc>
        <w:tc>
          <w:tcPr>
            <w:tcW w:w="668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 / 1,320 units (TSR Payout Percentage reduced by 25 gross percentage points)</w:t>
            </w:r>
          </w:p>
        </w:tc>
      </w:tr>
      <w:tr>
        <w:trPr/>
        <w:tc>
          <w:tcPr>
            <w:tcW w:w="35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68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114% / 1,140 units</w:t>
            </w:r>
          </w:p>
        </w:tc>
      </w:tr>
      <w:tr>
        <w:trPr/>
        <w:tc>
          <w:tcPr>
            <w:tcW w:w="35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 but PAA’s absolute TSR is less than 0%</w:t>
            </w:r>
          </w:p>
        </w:tc>
        <w:tc>
          <w:tcPr>
            <w:tcW w:w="668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 1,000 units (TSR Payout Percentage reduced from 114% to 100%)</w:t>
            </w:r>
          </w:p>
        </w:tc>
      </w:tr>
      <w:tr>
        <w:trPr/>
        <w:tc>
          <w:tcPr>
            <w:tcW w:w="35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68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 1,000 units (performance at Target)</w:t>
            </w:r>
          </w:p>
        </w:tc>
      </w:tr>
      <w:tr>
        <w:trPr/>
        <w:tc>
          <w:tcPr>
            <w:tcW w:w="35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688"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 / 430 units</w:t>
            </w:r>
          </w:p>
        </w:tc>
      </w:tr>
      <w:tr>
        <w:trPr/>
        <w:tc>
          <w:tcPr>
            <w:tcW w:w="351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6688"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 / 0 units</w:t>
            </w:r>
          </w:p>
        </w:tc>
      </w:tr>
    </w:tbl>
    <w:p>
      <w:pPr>
        <w:pStyle w:val="TextBody"/>
        <w:bidi w:val="0"/>
        <w:spacing w:before="0" w:after="0"/>
        <w:jc w:val="left"/>
        <w:rPr/>
      </w:pPr>
      <w:r>
        <w:rPr/>
      </w:r>
    </w:p>
    <w:p>
      <w:pPr>
        <w:pStyle w:val="TextBody"/>
        <w:bidi w:val="0"/>
        <w:spacing w:lineRule="auto" w:line="240" w:before="0" w:after="120"/>
        <w:ind w:left="0" w:right="0" w:hanging="360"/>
        <w:jc w:val="both"/>
        <w:rPr/>
      </w:pPr>
      <w:r>
        <w:rPr>
          <w:rFonts w:ascii="Times New Roman;sans-serif" w:hAnsi="Times New Roman;sans-serif"/>
          <w:b w:val="false"/>
          <w:color w:val="000000"/>
          <w:sz w:val="20"/>
        </w:rPr>
        <w:t>3.</w:t>
      </w:r>
      <w:r>
        <w:rPr>
          <w:rFonts w:ascii="Times New Roman;sans-serif" w:hAnsi="Times New Roman;sans-serif"/>
          <w:b w:val="false"/>
          <w:i/>
          <w:color w:val="000000"/>
          <w:sz w:val="20"/>
          <w:u w:val="single"/>
        </w:rPr>
        <w:t>PAA Peer Group (2023-2026 Performance Period)</w:t>
      </w:r>
      <w:r>
        <w:rPr>
          <w:rFonts w:ascii="Times New Roman;sans-serif" w:hAnsi="Times New Roman;sans-serif"/>
          <w:b w:val="false"/>
          <w:color w:val="000000"/>
          <w:sz w:val="20"/>
        </w:rPr>
        <w:t>:</w:t>
      </w:r>
    </w:p>
    <w:p>
      <w:pPr>
        <w:pStyle w:val="TextBody"/>
        <w:bidi w:val="0"/>
        <w:spacing w:before="0" w:after="0"/>
        <w:jc w:val="left"/>
        <w:rPr/>
      </w:pPr>
      <w:r>
        <w:rPr/>
      </w:r>
    </w:p>
    <w:tbl>
      <w:tblPr>
        <w:tblW w:w="3510" w:type="dxa"/>
        <w:jc w:val="left"/>
        <w:tblInd w:w="0" w:type="dxa"/>
        <w:tblLayout w:type="fixed"/>
        <w:tblCellMar>
          <w:top w:w="28" w:type="dxa"/>
          <w:left w:w="28" w:type="dxa"/>
          <w:bottom w:w="28" w:type="dxa"/>
          <w:right w:w="28" w:type="dxa"/>
        </w:tblCellMar>
      </w:tblPr>
      <w:tblGrid>
        <w:gridCol w:w="1004"/>
        <w:gridCol w:w="882"/>
        <w:gridCol w:w="888"/>
        <w:gridCol w:w="215"/>
        <w:gridCol w:w="215"/>
        <w:gridCol w:w="306"/>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Company Name</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Ticker</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Products Partners LP</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EPD</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Kinder Morgan Inc.</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KMI</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Williams Companies Inc.</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WMB</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MPLX LP</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MPLX</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Transfer LP</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ET</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ONEOK Inc.</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OKE</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Genesis Energy LP</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GEL</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Crestwood Equity Partners LP</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CEQP</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Targa Resources Corp.</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TRGP</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Midstream Partners LP</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WES</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NuStar Energy LP</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NS</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EnLink Midstream LLC</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ENLC</w:t>
            </w:r>
          </w:p>
        </w:tc>
      </w:tr>
      <w:tr>
        <w:trPr/>
        <w:tc>
          <w:tcPr>
            <w:tcW w:w="2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Alerian Midstream Energy Index</w:t>
            </w:r>
          </w:p>
        </w:tc>
        <w:tc>
          <w:tcPr>
            <w:tcW w:w="7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AMNA</w:t>
            </w:r>
          </w:p>
        </w:tc>
      </w:tr>
      <w:tr>
        <w:trPr/>
        <w:tc>
          <w:tcPr>
            <w:tcW w:w="277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Index</w:t>
            </w:r>
          </w:p>
        </w:tc>
        <w:tc>
          <w:tcPr>
            <w:tcW w:w="73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SPX</w:t>
            </w:r>
          </w:p>
        </w:tc>
      </w:tr>
    </w:tbl>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In all cases involving the acquisition, merger, reorganization or other material change in ownership, legal structure or business operations of any member of the PAA Peer Group before the end of the Performance Period, the Compensation Committee shall have authority to retain, remove or replace such member, as applicable, for purposes of calculating the TSR Payout Percentage. In connection with any change to the PAA Peer Group, the Compensation Committee shall also have authority to make related adjustments to the rankings and TSR Payout Percentages.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Tranche 3 Vesting Terms</w:t>
        <w:br/>
        <w:t>(Cumulative DCF with Leverage Modifier)</w:t>
      </w:r>
    </w:p>
    <w:p>
      <w:pPr>
        <w:pStyle w:val="TextBody"/>
        <w:bidi w:val="0"/>
        <w:spacing w:before="0" w:after="0"/>
        <w:jc w:val="center"/>
        <w:rPr/>
      </w:pPr>
      <w:r>
        <w:rPr/>
      </w:r>
    </w:p>
    <w:p>
      <w:pPr>
        <w:pStyle w:val="TextBody"/>
        <w:bidi w:val="0"/>
        <w:spacing w:lineRule="auto" w:line="240" w:before="0" w:after="120"/>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i/>
          <w:color w:val="000000"/>
          <w:sz w:val="20"/>
          <w:u w:val="single"/>
        </w:rPr>
        <w:t>General</w:t>
      </w:r>
      <w:r>
        <w:rPr>
          <w:rFonts w:ascii="Times New Roman;sans-serif" w:hAnsi="Times New Roman;sans-serif"/>
          <w:b w:val="false"/>
          <w:color w:val="000000"/>
          <w:sz w:val="20"/>
        </w:rPr>
        <w:t>. Consistent with the Company’s pay for performance philosophy and in order to more closely align the interests of management with the interests of investors, a portion of your Phantom Units will vest based on PAA’s cumulative distributable cash flow (“DCF”) per common unit equivalent (“CUE”) over a three-year period as described below. PAA’s ability to sustain and increase DCF is a primary long-term measure of PAA’s performance and is consistent with PAA’s overall financial strategy. The final payout calculation will be subject to modification based on leverage levels at the end of the Performance Period; the purpose of the potential leverage modifier is to insure that DCF performance remains tied to leverage levels assumed in PAA’s long term plan as of the grant date (the “Grant Date Plan”).</w:t>
      </w:r>
    </w:p>
    <w:p>
      <w:pPr>
        <w:pStyle w:val="TextBody"/>
        <w:bidi w:val="0"/>
        <w:spacing w:lineRule="auto" w:line="240" w:before="0" w:after="120"/>
        <w:ind w:left="0" w:right="0" w:hanging="360"/>
        <w:jc w:val="both"/>
        <w:rPr/>
      </w:pPr>
      <w:r>
        <w:rPr>
          <w:rFonts w:ascii="Times New Roman;sans-serif" w:hAnsi="Times New Roman;sans-serif"/>
          <w:b w:val="false"/>
          <w:color w:val="000000"/>
          <w:sz w:val="20"/>
        </w:rPr>
        <w:t>2.</w:t>
      </w:r>
      <w:r>
        <w:rPr>
          <w:rFonts w:ascii="Times New Roman;sans-serif" w:hAnsi="Times New Roman;sans-serif"/>
          <w:b w:val="false"/>
          <w:i/>
          <w:color w:val="000000"/>
          <w:sz w:val="20"/>
          <w:u w:val="single"/>
        </w:rPr>
        <w:t>Vesting and Payout</w:t>
      </w:r>
      <w:r>
        <w:rPr>
          <w:rFonts w:ascii="Times New Roman;sans-serif" w:hAnsi="Times New Roman;sans-serif"/>
          <w:b w:val="false"/>
          <w:color w:val="000000"/>
          <w:sz w:val="20"/>
        </w:rPr>
        <w:t>. As soon as administratively feasible following the close of the three-year period ending on June 30, 2026 (the “Performance Period”), the Compensation Committee shall determine and certify the DCF Payout Percentage (as defined below). The Compensation Committee shall make such determination based on a scaled payout range between 0% and 200% as provided in the table below (the specific payout percentage is referred to as the “DCF Payout Percentage”) based on PAA’s cumulative DCF per CUE over the Performance Period. If PAA’s cumulative DCF per CUE at the end of the Performance Period is between any two of the stated amounts in the table below, the DCF Payout Percentage will be interpolated between the two levels. In addition, the DCF Payout Percentage will be reduced by 25 gross percentage points (the “Leverage Modifier”) if PAA’s leverage ratio</w:t>
      </w:r>
      <w:r>
        <w:rPr>
          <w:color w:val="000000"/>
        </w:rPr>
        <w:t xml:space="preserve"> </w:t>
      </w:r>
      <w:r>
        <w:rPr>
          <w:rFonts w:ascii="Times New Roman;sans-serif" w:hAnsi="Times New Roman;sans-serif"/>
          <w:b w:val="false"/>
          <w:color w:val="000000"/>
          <w:sz w:val="20"/>
        </w:rPr>
        <w:t>(long-term debt to adjusted EBITDA as calculated pursuant to PAA’s senior unsecured revolving credit facility, modified to include customary adjustments deemed appropriate by the Compensation Committee (for example, a “net debt” adjustment to account for certain cash balances reflected on PAA’s balance sheet as of the applicable measurement date)) as of June 30, 2026 is higher than the leverage ratio that equals the upper end of PAA’s then applicable guidance range (such guidance range is 3.0x to 3.5x as of the date hereof); if PAA’s leverage ratio as of June 30, 2026 is equal to or lower than the leverage ratio that equals the upper end of PAA’s then applicable guidance range, there will be no adjustment to the DCF Payout Percentage.</w:t>
      </w:r>
    </w:p>
    <w:p>
      <w:pPr>
        <w:pStyle w:val="TextBody"/>
        <w:bidi w:val="0"/>
        <w:spacing w:before="0" w:after="0"/>
        <w:ind w:left="0" w:right="0" w:firstLine="720"/>
        <w:jc w:val="left"/>
        <w:rPr/>
      </w:pPr>
      <w:r>
        <w:rPr/>
      </w:r>
    </w:p>
    <w:tbl>
      <w:tblPr>
        <w:tblW w:w="7065" w:type="dxa"/>
        <w:jc w:val="left"/>
        <w:tblInd w:w="0" w:type="dxa"/>
        <w:tblLayout w:type="fixed"/>
        <w:tblCellMar>
          <w:top w:w="28" w:type="dxa"/>
          <w:left w:w="28" w:type="dxa"/>
          <w:bottom w:w="28" w:type="dxa"/>
          <w:right w:w="28" w:type="dxa"/>
        </w:tblCellMar>
      </w:tblPr>
      <w:tblGrid>
        <w:gridCol w:w="1772"/>
        <w:gridCol w:w="1557"/>
        <w:gridCol w:w="1561"/>
        <w:gridCol w:w="637"/>
        <w:gridCol w:w="637"/>
        <w:gridCol w:w="901"/>
      </w:tblGrid>
      <w:tr>
        <w:trPr/>
        <w:tc>
          <w:tcPr>
            <w:tcW w:w="177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Cumulative DCF Per CUE Over the Performance Period</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DCF Payout Percentage</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$8.38125 (112.5% of target)</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$8.1484375</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$7.915625</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$7.6828125</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$7.45 (target)</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$7.26375</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$7.0775</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48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$6.89125</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489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$6.705 (90% of target)</w:t>
            </w:r>
          </w:p>
        </w:tc>
        <w:tc>
          <w:tcPr>
            <w:tcW w:w="217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bidi w:val="0"/>
        <w:spacing w:before="0" w:after="0"/>
        <w:ind w:left="0" w:right="0" w:firstLine="720"/>
        <w:jc w:val="left"/>
        <w:rPr/>
      </w:pPr>
      <w:r>
        <w:rPr/>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Note: Both the cumulative DCF per CUE targets set forth in the table above and the leverage ratio referenced above are based on the Grant Date Plan, excluding the earnings and leverage impacts of potential asset sales (other than asset sales under contract as of the grant date). Accordingly, when calculating the DCF Payout Percentage, the following adjustments will be made:</w:t>
      </w:r>
    </w:p>
    <w:p>
      <w:pPr>
        <w:pStyle w:val="TextBody"/>
        <w:bidi w:val="0"/>
        <w:spacing w:lineRule="auto" w:line="240"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cumulative DCF per CUE target for the Performance Period as set forth in the table above will be adjusted downward to account for the loss of earnings assumed in the Grant Date Plan for any divested assets, net of avoided interest expense allocable to the divested assets (calculated based on an assumption that 100% of the net sales proceeds from such divestitures are used to reduce debt); and</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w:t>
                      </w:r>
                    </w:p>
                  </w:txbxContent>
                </v:textbox>
                <w10:wrap type="none"/>
              </v:rect>
            </w:pict>
          </mc:Fallback>
        </mc:AlternateContent>
      </w:r>
    </w:p>
    <w:p>
      <w:pPr>
        <w:pStyle w:val="TextBody"/>
        <w:bidi w:val="0"/>
        <w:spacing w:lineRule="auto" w:line="240"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(b)with respect to any divested assets that were included as divestitures in the Grant Date Plan, the leverage ratio target will be adjusted to reflect the leverage impact of any such divested assets based on the assumptions originally set forth in the Grant Date Plan.</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for the Leverage Modifier, the leverage ratio calculation will be adjusted up or down as appropriate to neutralize the impact on leverage of any DCF per CUE over or under performance that has already been taken into account in determining the final amount of cumulative DCF per CUE during the Performance Period (with the goal of isolating the balance sheet impact of other actions such as timing and amount of asset sales, amount of capital expenditures, etc.). In addition, the Compensation Committee shall have the ability to make adjustments to the leverage ratio calculation to the extent deemed appropriate in connection with leverage attributable to a transaction or project approved by the Company’s Board of Directors. The number of Tranche 3 Phantom Units vesting will be determined by multiplying your target number of Tranche 3 Phantom Units by the DCF Payout Percentage as certified by the Compensation Committee. If the resulting amount includes a fraction, it will be rounded down to the nearest whole number.</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Illustrative Examples (based on an assumed target number of Tranche 3 Phantom Units of 1,000 and based on an assumed leverage ratio of 3.5x, which is the leverage ratio that is equal to the upper end of PAA’s current guidance range of 3.0x to 3.5x):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95"/>
        <w:gridCol w:w="1138"/>
        <w:gridCol w:w="1141"/>
        <w:gridCol w:w="718"/>
        <w:gridCol w:w="718"/>
        <w:gridCol w:w="720"/>
        <w:gridCol w:w="1328"/>
        <w:gridCol w:w="1302"/>
        <w:gridCol w:w="1845"/>
      </w:tblGrid>
      <w:tr>
        <w:trPr/>
        <w:tc>
          <w:tcPr>
            <w:tcW w:w="129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PAA Cumulative DCF per CUE Over the Performance Period</w:t>
            </w:r>
          </w:p>
        </w:tc>
        <w:tc>
          <w:tcPr>
            <w:tcW w:w="2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Leverage Ratio as of June 30, 2026</w:t>
            </w:r>
          </w:p>
        </w:tc>
        <w:tc>
          <w:tcPr>
            <w:tcW w:w="44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DCF Payout Percentage / Number of Units Vesting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(Impact of Leverage Modifier)</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$8.38125</w:t>
            </w:r>
          </w:p>
        </w:tc>
        <w:tc>
          <w:tcPr>
            <w:tcW w:w="2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3.5x or lower</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 2,000 units (no adjustment to DCF Payout Percentage)</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$8.38125</w:t>
            </w:r>
          </w:p>
        </w:tc>
        <w:tc>
          <w:tcPr>
            <w:tcW w:w="2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3.6x</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 / 1,750 units (DCF Payout Percentage reduced by 25 gross percentage points)</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2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3.5x or lower</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 1,000 units (no adjustment to DCF Payout Percentage)</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2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3.6x</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 / 750 units (DCF Payout Percentage reduced by 25 gross percentage points)</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$6.89125</w:t>
            </w:r>
          </w:p>
        </w:tc>
        <w:tc>
          <w:tcPr>
            <w:tcW w:w="2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3.5x or lower</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 250 units (no adjustment to DCF Payout Percentage)</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$6.89125</w:t>
            </w:r>
          </w:p>
        </w:tc>
        <w:tc>
          <w:tcPr>
            <w:tcW w:w="2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3.6x</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 / 0 units (DCF Payout Percentage reduced by 25 gross percentage points)</w:t>
            </w:r>
          </w:p>
        </w:tc>
      </w:tr>
      <w:tr>
        <w:trPr/>
        <w:tc>
          <w:tcPr>
            <w:tcW w:w="35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$6.705</w:t>
            </w:r>
          </w:p>
        </w:tc>
        <w:tc>
          <w:tcPr>
            <w:tcW w:w="21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3.5x or lower</w:t>
            </w:r>
          </w:p>
        </w:tc>
        <w:tc>
          <w:tcPr>
            <w:tcW w:w="44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 / 0 units (DCF Payout Percentage equal to zero based on DCF performance)</w:t>
            </w:r>
          </w:p>
        </w:tc>
      </w:tr>
      <w:tr>
        <w:trPr/>
        <w:tc>
          <w:tcPr>
            <w:tcW w:w="35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$6.705</w:t>
            </w:r>
          </w:p>
        </w:tc>
        <w:tc>
          <w:tcPr>
            <w:tcW w:w="215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3.6x</w:t>
            </w:r>
          </w:p>
        </w:tc>
        <w:tc>
          <w:tcPr>
            <w:tcW w:w="447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 / 0 units (DCF Payout Percentage equal to zero based on DCF performance)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w:t>
                      </w:r>
                    </w:p>
                  </w:txbxContent>
                </v:textbox>
                <w10:wrap type="none"/>
              </v:rect>
            </w:pict>
          </mc:Fallback>
        </mc:AlternateContent>
      </w:r>
    </w:p>
    <w:p>
      <w:pPr>
        <w:pStyle w:val="TextBody"/>
        <w:bidi w:val="0"/>
        <w:spacing w:before="0" w:after="0"/>
        <w:jc w:val="center"/>
        <w:rPr/>
      </w:pPr>
      <w:r>
        <w:rPr/>
        <w:drawing>
          <wp:inline distT="0" distB="0" distL="0" distR="0">
            <wp:extent cx="2562225" cy="619125"/>
            <wp:effectExtent l="0" t="0" r="0" b="0"/>
            <wp:docPr id="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 descr=""/>
                    <pic:cNvPicPr>
                      <a:picLocks noChangeAspect="1" noChangeArrowheads="1"/>
                    </pic:cNvPicPr>
                  </pic:nvPicPr>
                  <pic:blipFill>
                    <a:blip r:embed="rId45"/>
                    <a:stretch>
                      <a:fillRect/>
                    </a:stretch>
                  </pic:blipFill>
                  <pic:spPr bwMode="auto">
                    <a:xfrm>
                      <a:off x="0" y="0"/>
                      <a:ext cx="2562225" cy="619125"/>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2023 ANNUAL DIRECTOR GRANT</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August 17, 2023</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&lt;Name&gt;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&lt;Address&gt;</w: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Grant of Phantom Class A Shares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Dear &lt;Name&gt;:</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am pleased to inform you that you have been granted 8,050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1.Subject to the further provisions of this Agreement, your Phantom Class A Shares shall vest (become payable in the form of one Class A Share of PAGP for each Phantom Class A Share that vests) on the August 2024 Distribution Date.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2.Subject to the further provisions of this Agreement, your DERs shall be payable in cash substantially contemporaneously with each Distribution Date.</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3.Immediately after the vesting of any Phantom Class A Shares, an equal number of DERs shall expire.</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4.Upon any forfeiture of Phantom Class A Shares, an equal number of DERs shall expire.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6.In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shall immediately become nonforfeitable and shall vest in full as of the next following Distribution Date. Upon such payment, the tandem DERs associated with the Phantom Class A Shares that are vesting shall expire.</w:t>
      </w:r>
    </w:p>
    <w:p>
      <w:pPr>
        <w:pStyle w:val="TextBody"/>
        <w:bidi w:val="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&lt;Name&gt;    - 2 -    August 17, 2023</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01040"/>
                <wp:effectExtent l="0" t="0" r="0" b="0"/>
                <wp:wrapNone/>
                <wp:docPr id="76" name="Frame7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pPr>
                            <w:r>
                              <w:rPr>
                                <w:rFonts w:ascii="Times New Roman;sans-serif" w:hAnsi="Times New Roman;sans-serif"/>
                                <w:b w:val="false"/>
                                <w:color w:val="000080"/>
                                <w:sz w:val="22"/>
                              </w:rPr>
                              <w:t xml:space="preserve">333 Clay Street, Suite 1600 </w:t>
                            </w:r>
                            <w:r>
                              <w:rPr>
                                <w:color w:val="000080"/>
                              </w:rPr>
                              <w:t xml:space="preserve">■ </w:t>
                            </w:r>
                            <w:r>
                              <w:rPr>
                                <w:rFonts w:ascii="Times New Roman;sans-serif" w:hAnsi="Times New Roman;sans-serif"/>
                                <w:b w:val="false"/>
                                <w:color w:val="000080"/>
                                <w:sz w:val="22"/>
                              </w:rPr>
                              <w:t xml:space="preserve">Houston, Texas 77002 </w:t>
                            </w:r>
                            <w:r>
                              <w:rPr>
                                <w:color w:val="000080"/>
                              </w:rPr>
                              <w:t xml:space="preserve">■ </w:t>
                            </w:r>
                            <w:r>
                              <w:rPr>
                                <w:rFonts w:ascii="Times New Roman;sans-serif" w:hAnsi="Times New Roman;sans-serif"/>
                                <w:b w:val="false"/>
                                <w:color w:val="000080"/>
                                <w:sz w:val="22"/>
                              </w:rPr>
                              <w:t>713/646-4100 or 800-564-3036</w:t>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143.9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val="false"/>
                          <w:color w:val="000080"/>
                          <w:sz w:val="22"/>
                        </w:rPr>
                        <w:t xml:space="preserve">333 Clay Street, Suite 1600 </w:t>
                      </w:r>
                      <w:r>
                        <w:rPr>
                          <w:color w:val="000080"/>
                        </w:rPr>
                        <w:t xml:space="preserve">■ </w:t>
                      </w:r>
                      <w:r>
                        <w:rPr>
                          <w:rFonts w:ascii="Times New Roman;sans-serif" w:hAnsi="Times New Roman;sans-serif"/>
                          <w:b w:val="false"/>
                          <w:color w:val="000080"/>
                          <w:sz w:val="22"/>
                        </w:rPr>
                        <w:t xml:space="preserve">Houston, Texas 77002 </w:t>
                      </w:r>
                      <w:r>
                        <w:rPr>
                          <w:color w:val="000080"/>
                        </w:rPr>
                        <w:t xml:space="preserve">■ </w:t>
                      </w:r>
                      <w:r>
                        <w:rPr>
                          <w:rFonts w:ascii="Times New Roman;sans-serif" w:hAnsi="Times New Roman;sans-serif"/>
                          <w:b w:val="false"/>
                          <w:color w:val="000080"/>
                          <w:sz w:val="22"/>
                        </w:rPr>
                        <w:t>713/646-4100 or 800-564-3036</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7.For the avoidance of doubt, to the extent the expiration of a DER relates to the vesting of a Phantom Class A Share on a Distribution Date, the intent is for the DER to be paid with respect to such Distribution Date before the DER expires.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 xml:space="preserve">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 </w:t>
      </w:r>
    </w:p>
    <w:p>
      <w:pPr>
        <w:pStyle w:val="TextBody"/>
        <w:bidi w:val="0"/>
        <w:spacing w:before="0" w:after="0"/>
        <w:ind w:left="0" w:right="0" w:firstLine="72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 xml:space="preserve">Terms used herein that are not defined herein shall have the meanings set forth in the Plan or, if not defined in the Plan, in the Second Amended and Restated Agreement of Limited Partnership of Plains GP Holdings, L.P., as amended (the “Partnership Agreement”) or the Fourth Amended and Restated Limited Liability Company Agreement of PAA GP Holdings LLC (the “LLC Agreement”). By signing below, you agree that the Phantom Class A Shares and DERs granted hereunder are governed by the terms of the Plan. Copies of the Plan, the Partnership Agreement and the LLC Agreement are available upon request. </w:t>
      </w:r>
    </w:p>
    <w:p>
      <w:pPr>
        <w:pStyle w:val="TextBody"/>
        <w:bidi w:val="0"/>
        <w:spacing w:before="0" w:after="0"/>
        <w:ind w:left="0" w:right="0" w:firstLine="720"/>
        <w:jc w:val="both"/>
        <w:rPr/>
      </w:pPr>
      <w:r>
        <w:rPr/>
      </w:r>
    </w:p>
    <w:p>
      <w:pPr>
        <w:pStyle w:val="TextBody"/>
        <w:bidi w:val="0"/>
        <w:spacing w:lineRule="auto" w:line="240" w:before="0" w:after="0"/>
        <w:jc w:val="both"/>
        <w:rPr>
          <w:color w:val="000000"/>
        </w:rPr>
      </w:pPr>
      <w:r>
        <w:rPr>
          <w:color w:val="000000"/>
        </w:rPr>
        <w:t>    </w:t>
      </w:r>
    </w:p>
    <w:p>
      <w:pPr>
        <w:pStyle w:val="TextBody"/>
        <w:bidi w:val="0"/>
        <w:ind w:left="0" w:right="0" w:firstLine="720"/>
        <w:jc w:val="both"/>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&lt;Name&gt;    - 3 -    August 17, 2023</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3.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Please designate in the space provided below a beneficiary to receive benefits payable under this a grant in the event of your death. In addition, please execute and return a copy of this grant letter to me and retain a copy for your records.</w:t>
      </w:r>
    </w:p>
    <w:p>
      <w:pPr>
        <w:pStyle w:val="TextBody"/>
        <w:bidi w:val="0"/>
        <w:spacing w:before="0" w:after="0"/>
        <w:jc w:val="both"/>
        <w:rPr/>
      </w:pPr>
      <w:r>
        <w:rPr/>
      </w:r>
    </w:p>
    <w:p>
      <w:pPr>
        <w:pStyle w:val="TextBody"/>
        <w:bidi w:val="0"/>
        <w:spacing w:before="0" w:after="0"/>
        <w:ind w:left="0" w:right="0" w:firstLine="4320"/>
        <w:jc w:val="both"/>
        <w:rPr/>
      </w:pPr>
      <w:r>
        <w:rPr/>
      </w:r>
    </w:p>
    <w:p>
      <w:pPr>
        <w:pStyle w:val="TextBody"/>
        <w:bidi w:val="0"/>
        <w:spacing w:lineRule="auto" w:line="240"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PLAINS GP HOLDINGS, L.P.</w:t>
      </w:r>
    </w:p>
    <w:p>
      <w:pPr>
        <w:pStyle w:val="TextBody"/>
        <w:bidi w:val="0"/>
        <w:spacing w:before="0" w:after="0"/>
        <w:ind w:left="0" w:right="0" w:firstLine="4320"/>
        <w:jc w:val="both"/>
        <w:rPr/>
      </w:pPr>
      <w:r>
        <w:rPr/>
      </w:r>
    </w:p>
    <w:p>
      <w:pPr>
        <w:pStyle w:val="TextBody"/>
        <w:bidi w:val="0"/>
        <w:spacing w:lineRule="auto" w:line="240"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By: PAA GP HOLDINGS LLC</w:t>
      </w:r>
    </w:p>
    <w:p>
      <w:pPr>
        <w:pStyle w:val="TextBody"/>
        <w:bidi w:val="0"/>
        <w:spacing w:before="0" w:after="0"/>
        <w:ind w:left="0" w:right="0" w:firstLine="4320"/>
        <w:jc w:val="both"/>
        <w:rPr/>
      </w:pPr>
      <w:r>
        <w:rPr/>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____________________________________</w:t>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Name:    Richard McGee</w:t>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Title:    Executive Vice President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color w:val="000000"/>
          <w:u w:val="single"/>
        </w:rPr>
      </w:pPr>
      <w:r>
        <w:rPr>
          <w:color w:val="000000"/>
          <w:u w:val="single"/>
        </w:rPr>
        <w:t>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&lt;Name&gt;</w:t>
      </w:r>
    </w:p>
    <w:p>
      <w:pPr>
        <w:pStyle w:val="TextBody"/>
        <w:bidi w:val="0"/>
        <w:spacing w:before="0" w:after="0"/>
        <w:jc w:val="both"/>
        <w:rPr/>
      </w:pPr>
      <w:r>
        <w:rPr/>
      </w:r>
    </w:p>
    <w:p>
      <w:pPr>
        <w:pStyle w:val="TextBody"/>
        <w:bidi w:val="0"/>
        <w:spacing w:lineRule="auto" w:line="240" w:before="120" w:after="283"/>
        <w:jc w:val="both"/>
        <w:rPr/>
      </w:pPr>
      <w:r>
        <w:rPr>
          <w:rFonts w:ascii="Times New Roman;sans-serif" w:hAnsi="Times New Roman;sans-serif"/>
          <w:b w:val="false"/>
          <w:color w:val="000000"/>
          <w:sz w:val="24"/>
        </w:rPr>
        <w:t xml:space="preserve">No. of Phantom Class A Shares: </w:t>
      </w:r>
      <w:r>
        <w:rPr>
          <w:rFonts w:ascii="Times New Roman;sans-serif" w:hAnsi="Times New Roman;sans-serif"/>
          <w:b w:val="false"/>
          <w:color w:val="000000"/>
          <w:sz w:val="24"/>
          <w:u w:val="single"/>
        </w:rPr>
        <w:t>8,050    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Dated: </w:t>
      </w:r>
      <w:r>
        <w:rPr>
          <w:color w:val="000000"/>
          <w:u w:val="single"/>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Beneficiary Designation </w:t>
      </w:r>
    </w:p>
    <w:tbl>
      <w:tblPr>
        <w:tblW w:w="6824" w:type="dxa"/>
        <w:jc w:val="left"/>
        <w:tblInd w:w="0" w:type="dxa"/>
        <w:tblLayout w:type="fixed"/>
        <w:tblCellMar>
          <w:top w:w="28" w:type="dxa"/>
          <w:left w:w="28" w:type="dxa"/>
          <w:bottom w:w="28" w:type="dxa"/>
          <w:right w:w="28" w:type="dxa"/>
        </w:tblCellMar>
      </w:tblPr>
      <w:tblGrid>
        <w:gridCol w:w="1053"/>
        <w:gridCol w:w="926"/>
        <w:gridCol w:w="930"/>
        <w:gridCol w:w="430"/>
        <w:gridCol w:w="430"/>
        <w:gridCol w:w="431"/>
        <w:gridCol w:w="766"/>
        <w:gridCol w:w="766"/>
        <w:gridCol w:w="1092"/>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Primary Beneficiary Name</w:t>
            </w:r>
          </w:p>
        </w:tc>
        <w:tc>
          <w:tcPr>
            <w:tcW w:w="1291"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Relationship</w:t>
            </w:r>
          </w:p>
        </w:tc>
        <w:tc>
          <w:tcPr>
            <w:tcW w:w="2624" w:type="dxa"/>
            <w:gridSpan w:val="3"/>
            <w:tcBorders>
              <w:top w:val="single" w:sz="4" w:space="0" w:color="000000"/>
              <w:left w:val="single" w:sz="4" w:space="0" w:color="000000"/>
              <w:right w:val="single" w:sz="4" w:space="0" w:color="000000"/>
            </w:tcBorders>
            <w:shd w:fill="C0C0C0"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Percent (Must total 100%)</w:t>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Secondary Beneficiary Name</w:t>
            </w:r>
          </w:p>
        </w:tc>
        <w:tc>
          <w:tcPr>
            <w:tcW w:w="1291" w:type="dxa"/>
            <w:gridSpan w:val="3"/>
            <w:tcBorders>
              <w:top w:val="single" w:sz="4" w:space="0" w:color="000000"/>
              <w:left w:val="single" w:sz="4" w:space="0" w:color="000000"/>
            </w:tcBorders>
            <w:shd w:fill="C0C0C0"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Relationship</w:t>
            </w:r>
          </w:p>
        </w:tc>
        <w:tc>
          <w:tcPr>
            <w:tcW w:w="2624" w:type="dxa"/>
            <w:gridSpan w:val="3"/>
            <w:tcBorders>
              <w:top w:val="single" w:sz="4" w:space="0" w:color="000000"/>
              <w:left w:val="single" w:sz="4" w:space="0" w:color="000000"/>
              <w:right w:val="single" w:sz="4" w:space="0" w:color="000000"/>
            </w:tcBorders>
            <w:shd w:fill="C0C0C0"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Percent (Must total 100%)</w:t>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ALL AMERICAN PIPELINE,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Chief Executive Officer of Plains All American Pipeline,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September 30, 2023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145" w:type="dxa"/>
        <w:jc w:val="left"/>
        <w:tblInd w:w="0" w:type="dxa"/>
        <w:tblLayout w:type="fixed"/>
        <w:tblCellMar>
          <w:top w:w="28" w:type="dxa"/>
          <w:left w:w="28" w:type="dxa"/>
          <w:bottom w:w="28" w:type="dxa"/>
          <w:right w:w="28" w:type="dxa"/>
        </w:tblCellMar>
      </w:tblPr>
      <w:tblGrid>
        <w:gridCol w:w="686"/>
        <w:gridCol w:w="602"/>
        <w:gridCol w:w="857"/>
      </w:tblGrid>
      <w:tr>
        <w:trPr/>
        <w:tc>
          <w:tcPr>
            <w:tcW w:w="68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Willie Chiang</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ALL AMERICAN PIPELINE,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Chief Financial Officer of Plains All American Pipeline,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September 30, 2023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145" w:type="dxa"/>
        <w:jc w:val="left"/>
        <w:tblInd w:w="0" w:type="dxa"/>
        <w:tblLayout w:type="fixed"/>
        <w:tblCellMar>
          <w:top w:w="28" w:type="dxa"/>
          <w:left w:w="28" w:type="dxa"/>
          <w:bottom w:w="28" w:type="dxa"/>
          <w:right w:w="28" w:type="dxa"/>
        </w:tblCellMar>
      </w:tblPr>
      <w:tblGrid>
        <w:gridCol w:w="686"/>
        <w:gridCol w:w="602"/>
        <w:gridCol w:w="857"/>
      </w:tblGrid>
      <w:tr>
        <w:trPr/>
        <w:tc>
          <w:tcPr>
            <w:tcW w:w="68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Al Swanson</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70423/000104746904016502/a2135501zex-3_2.htm" TargetMode="External"/><Relationship Id="rId3" Type="http://schemas.openxmlformats.org/officeDocument/2006/relationships/hyperlink" Target="http://www.sec.gov/Archives/edgar/data/1070423/000110465911010359/a11-2319_1ex3d9.htm" TargetMode="External"/><Relationship Id="rId4" Type="http://schemas.openxmlformats.org/officeDocument/2006/relationships/hyperlink" Target="http://www.sec.gov/Archives/edgar/data/1070423/000110465911010359/a11-2319_1ex3d10.htm" TargetMode="External"/><Relationship Id="rId5" Type="http://schemas.openxmlformats.org/officeDocument/2006/relationships/hyperlink" Target="http://www.sec.gov/Archives/edgar/data/1070423/000110465914014322/a13-25941_1ex3d7.htm" TargetMode="External"/><Relationship Id="rId6" Type="http://schemas.openxmlformats.org/officeDocument/2006/relationships/hyperlink" Target="http://www.sec.gov/Archives/edgar/data/1070423/000110465914014322/a13-25941_1ex3d8.htm" TargetMode="External"/><Relationship Id="rId7" Type="http://schemas.openxmlformats.org/officeDocument/2006/relationships/hyperlink" Target="http://www.sec.gov/Archives/edgar/data/1070423/000107042320000004/paa201910-kexhibit37.htm" TargetMode="External"/><Relationship Id="rId8" Type="http://schemas.openxmlformats.org/officeDocument/2006/relationships/hyperlink" Target="http://www.sec.gov/Archives/edgar/data/1070423/000104746904016502/a2135501zex-3_3.htm" TargetMode="External"/><Relationship Id="rId9" Type="http://schemas.openxmlformats.org/officeDocument/2006/relationships/hyperlink" Target="http://www.sec.gov/Archives/edgar/data/1070423/000110465914014322/a13-25941_1ex3d10.htm" TargetMode="External"/><Relationship Id="rId10" Type="http://schemas.openxmlformats.org/officeDocument/2006/relationships/hyperlink" Target="http://www.sec.gov/Archives/edgar/data/1070423/000110465916158355/a16-21841_1ex3d3.htm" TargetMode="External"/><Relationship Id="rId11" Type="http://schemas.openxmlformats.org/officeDocument/2006/relationships/hyperlink" Target="http://www.sec.gov/Archives/edgar/data/1070423/000110465916158355/a16-21841_1ex3d4.htm" TargetMode="External"/><Relationship Id="rId12" Type="http://schemas.openxmlformats.org/officeDocument/2006/relationships/hyperlink" Target="http://www.sec.gov/Archives/edgar/data/1070423/000110465918060011/a18-36196_1ex3d1.htm" TargetMode="External"/><Relationship Id="rId13" Type="http://schemas.openxmlformats.org/officeDocument/2006/relationships/hyperlink" Target="http://www.sec.gov/Archives/edgar/data/1070423/000110465919032810/a19-10856_1ex3d1.htm" TargetMode="External"/><Relationship Id="rId14" Type="http://schemas.openxmlformats.org/officeDocument/2006/relationships/hyperlink" Target="https://www.sec.gov/Archives/edgar/data/1070423/000110465923093997/tm2324104d2_ex3-1.htm" TargetMode="External"/><Relationship Id="rId15" Type="http://schemas.openxmlformats.org/officeDocument/2006/relationships/hyperlink" Target="https://www.sec.gov/Archives/edgar/data/1070423/000110465923093997/tm2324104d2_ex3-1.htm" TargetMode="External"/><Relationship Id="rId16" Type="http://schemas.openxmlformats.org/officeDocument/2006/relationships/hyperlink" Target="https://www.sec.gov/Archives/edgar/data/1070423/000110465923093997/tm2324104d2_ex3-1.htm" TargetMode="External"/><Relationship Id="rId17" Type="http://schemas.openxmlformats.org/officeDocument/2006/relationships/hyperlink" Target="https://www.sec.gov/Archives/edgar/data/1070423/000110465923093997/tm2324104d2_ex3-1.htm" TargetMode="External"/><Relationship Id="rId18" Type="http://schemas.openxmlformats.org/officeDocument/2006/relationships/hyperlink" Target="https://www.sec.gov/Archives/edgar/data/1070423/000110465923093997/tm2324104d2_ex3-1.htm" TargetMode="External"/><Relationship Id="rId19" Type="http://schemas.openxmlformats.org/officeDocument/2006/relationships/hyperlink" Target="http://www.sec.gov/Archives/edgar/data/1070423/000095012907001096/h43224exv3w10.htm" TargetMode="External"/><Relationship Id="rId20" Type="http://schemas.openxmlformats.org/officeDocument/2006/relationships/hyperlink" Target="http://www.sec.gov/Archives/edgar/data/1070423/000095012907001096/h43224exv3w11.htm" TargetMode="External"/><Relationship Id="rId21" Type="http://schemas.openxmlformats.org/officeDocument/2006/relationships/hyperlink" Target="http://www.sec.gov/Archives/edgar/data/1070423/000095012908000071/h52770exv3w3.htm" TargetMode="External"/><Relationship Id="rId22" Type="http://schemas.openxmlformats.org/officeDocument/2006/relationships/hyperlink" Target="http://www.sec.gov/Archives/edgar/data/1581990/000104746913007875/a2216069zex-3_1.htm" TargetMode="External"/><Relationship Id="rId23" Type="http://schemas.openxmlformats.org/officeDocument/2006/relationships/hyperlink" Target="http://www.sec.gov/Archives/edgar/data/1581990/000110465916158356/a16-21845_1ex3d2.htm" TargetMode="External"/><Relationship Id="rId24" Type="http://schemas.openxmlformats.org/officeDocument/2006/relationships/hyperlink" Target="http://www.sec.gov/Archives/edgar/data/1581990/000158199020000012/exhibit31.htm" TargetMode="External"/><Relationship Id="rId25" Type="http://schemas.openxmlformats.org/officeDocument/2006/relationships/hyperlink" Target="http://www.sec.gov/Archives/edgar/data/1581990/000104746913007875/a2216069zex-3_3.htm" TargetMode="External"/><Relationship Id="rId26" Type="http://schemas.openxmlformats.org/officeDocument/2006/relationships/hyperlink" Target="http://www.sec.gov/Archives/edgar/data/1070423/000107042322000006/paa202110-kexhibite69.htm" TargetMode="External"/><Relationship Id="rId27" Type="http://schemas.openxmlformats.org/officeDocument/2006/relationships/hyperlink" Target="http://www.sec.gov/Archives/edgar/data/1070423/000089924302002834/dex41.txt" TargetMode="External"/><Relationship Id="rId28" Type="http://schemas.openxmlformats.org/officeDocument/2006/relationships/hyperlink" Target="http://www.sec.gov/Archives/edgar/data/1070423/000110465906034368/a06-11663_1ex4d1.htm" TargetMode="External"/><Relationship Id="rId29" Type="http://schemas.openxmlformats.org/officeDocument/2006/relationships/hyperlink" Target="http://www.sec.gov/Archives/edgar/data/1070423/000095012906009235/h40667exv4w2.htm" TargetMode="External"/><Relationship Id="rId30" Type="http://schemas.openxmlformats.org/officeDocument/2006/relationships/hyperlink" Target="http://www.sec.gov/Archives/edgar/data/1070423/000119312512132295/d321017dex43.htm" TargetMode="External"/><Relationship Id="rId31" Type="http://schemas.openxmlformats.org/officeDocument/2006/relationships/hyperlink" Target="http://www.sec.gov/Archives/edgar/data/1070423/000119312512499932/d453762dex43.htm" TargetMode="External"/><Relationship Id="rId32" Type="http://schemas.openxmlformats.org/officeDocument/2006/relationships/hyperlink" Target="http://www.sec.gov/Archives/edgar/data/1070423/000119312513336066/d581734dex41.htm" TargetMode="External"/><Relationship Id="rId33" Type="http://schemas.openxmlformats.org/officeDocument/2006/relationships/hyperlink" Target="http://www.sec.gov/Archives/edgar/data/1070423/000119312514164183/d713938dex41.htm" TargetMode="External"/><Relationship Id="rId34" Type="http://schemas.openxmlformats.org/officeDocument/2006/relationships/hyperlink" Target="http://www.sec.gov/Archives/edgar/data/1070423/000119312514338289/d787160dex41.htm" TargetMode="External"/><Relationship Id="rId35" Type="http://schemas.openxmlformats.org/officeDocument/2006/relationships/hyperlink" Target="http://www.sec.gov/Archives/edgar/data/1070423/000119312514440007/d833885dex43.htm" TargetMode="External"/><Relationship Id="rId36" Type="http://schemas.openxmlformats.org/officeDocument/2006/relationships/hyperlink" Target="http://www.sec.gov/Archives/edgar/data/1070423/000119312515302829/d45393dex41.htm" TargetMode="External"/><Relationship Id="rId37" Type="http://schemas.openxmlformats.org/officeDocument/2006/relationships/hyperlink" Target="http://www.sec.gov/Archives/edgar/data/1070423/000110465916159593/a16-22232_1ex4d1.htm" TargetMode="External"/><Relationship Id="rId38" Type="http://schemas.openxmlformats.org/officeDocument/2006/relationships/hyperlink" Target="http://www.sec.gov/Archives/edgar/data/1070423/000141057819001281/tv529555_ex4-1.htm" TargetMode="External"/><Relationship Id="rId39" Type="http://schemas.openxmlformats.org/officeDocument/2006/relationships/hyperlink" Target="http://www.sec.gov/Archives/edgar/data/1070423/000110465920072270/tm2022235d1_ex4-1.htm" TargetMode="External"/><Relationship Id="rId40" Type="http://schemas.openxmlformats.org/officeDocument/2006/relationships/hyperlink" Target="http://www.sec.gov/Archives/edgar/data/1070423/000095012309050401/h68193exv4w1.htm" TargetMode="External"/><Relationship Id="rId41" Type="http://schemas.openxmlformats.org/officeDocument/2006/relationships/hyperlink" Target="http://www.sec.gov/Archives/edgar/data/1070423/000110465916093299/a16-3362_1ex4d1.htm" TargetMode="External"/><Relationship Id="rId42" Type="http://schemas.openxmlformats.org/officeDocument/2006/relationships/hyperlink" Target="http://www.sec.gov/Archives/edgar/data/1070423/000110465916158355/a16-21841_1ex10d4.htm" TargetMode="External"/><Relationship Id="rId43" Type="http://schemas.openxmlformats.org/officeDocument/2006/relationships/hyperlink" Target="https://www.sec.gov/Archives/edgar/data/1070423/000107042323000006/paa202210-kexhibit418.htm" TargetMode="External"/><Relationship Id="rId44" Type="http://schemas.openxmlformats.org/officeDocument/2006/relationships/image" Target="media/image1.jpeg"/><Relationship Id="rId45" Type="http://schemas.openxmlformats.org/officeDocument/2006/relationships/image" Target="media/image2.pn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36333</Words>
  <Characters>197265</Characters>
  <CharactersWithSpaces>231329</CharactersWithSpaces>
  <Paragraphs>5043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