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351790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308610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660" w:right="1560" w:hanging="3652"/>
        <w:spacing w:after="0" w:line="409" w:lineRule="auto"/>
        <w:tabs>
          <w:tab w:leader="none" w:pos="4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1-36132</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2">
            <w:col w:w="7240" w:space="720"/>
            <w:col w:w="322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5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6"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7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6" w:lineRule="exact"/>
        <w:rPr>
          <w:sz w:val="24"/>
          <w:szCs w:val="24"/>
          <w:color w:val="auto"/>
        </w:rPr>
      </w:pPr>
    </w:p>
    <w:p>
      <w:pPr>
        <w:ind w:left="18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82" w:lineRule="exact"/>
        <w:rPr>
          <w:sz w:val="24"/>
          <w:szCs w:val="24"/>
          <w:color w:val="auto"/>
        </w:rPr>
      </w:pPr>
    </w:p>
    <w:p>
      <w:pPr>
        <w:sectPr>
          <w:pgSz w:w="11900" w:h="16838" w:orient="portrait"/>
          <w:cols w:equalWidth="0" w:num="2">
            <w:col w:w="6620" w:space="720"/>
            <w:col w:w="384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October 31, 2025, there were 197,888,124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78105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52705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2025 and 2024</w:t>
            </w:r>
          </w:p>
        </w:tc>
        <w:tc>
          <w:tcPr>
            <w:tcW w:w="560" w:type="dxa"/>
            <w:vAlign w:val="bottom"/>
            <w:gridSpan w:val="2"/>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nine months ended</w:t>
            </w:r>
          </w:p>
        </w:tc>
        <w:tc>
          <w:tcPr>
            <w:tcW w:w="560" w:type="dxa"/>
            <w:vAlign w:val="bottom"/>
            <w:gridSpan w:val="2"/>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60" w:type="dxa"/>
            <w:vAlign w:val="bottom"/>
            <w:tcBorders>
              <w:top w:val="single" w:sz="8" w:color="0000FF"/>
            </w:tcBorders>
            <w:gridSpan w:val="29"/>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4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nine months ended September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5520" w:type="dxa"/>
            <w:vAlign w:val="bottom"/>
            <w:gridSpan w:val="11"/>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22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Net Income Per Class A Share</w:t>
            </w:r>
          </w:p>
        </w:tc>
        <w:tc>
          <w:tcPr>
            <w:tcW w:w="380" w:type="dxa"/>
            <w:vAlign w:val="bottom"/>
            <w:tcBorders>
              <w:top w:val="single" w:sz="8" w:color="0000FF"/>
            </w:tcBorders>
            <w:gridSpan w:val="4"/>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22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25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328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8"/>
              </w:rPr>
              <w:t>10. Commitments and Contingencies</w:t>
            </w:r>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11. Segment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12. Acquisitions</w:t>
            </w:r>
          </w:p>
        </w:tc>
        <w:tc>
          <w:tcPr>
            <w:tcW w:w="808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4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of discontinued operations (Note 2)</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00"/>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(5,082)</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00"/>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 (Note 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7"/>
        </w:trPr>
        <w:tc>
          <w:tcPr>
            <w:tcW w:w="8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10"/>
        </w:trPr>
        <w:tc>
          <w:tcPr>
            <w:tcW w:w="8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3,647</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 (Note 2)</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00"/>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 (Note 2)</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200"/>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shareholders (197,888,124 and 197,465,699 shares outstanding,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8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r>
      <w:tr>
        <w:trPr>
          <w:trHeight w:val="22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revenues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35,606</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07"/>
        </w:trPr>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36,854</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34,086</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35,976</w:t>
            </w: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capitalized interest of $4, $2, $9 and $7,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14"/>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 (NOTE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 from continuing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7"/>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PAGP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PAGP from discontinued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Class A shares outstanding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2"/>
        </w:trPr>
        <w:tc>
          <w:tcPr>
            <w:tcW w:w="5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Class A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65"/>
        </w:trPr>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1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 activity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period activity</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(Gains)/losses on asset sales,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(Gain)/loss on foreign currency revaluation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 (Note 8)</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investments in unconsolidated entities, net (Note 12)</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provided by operating activities - continuing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r>
      <w:tr>
        <w:trPr>
          <w:trHeight w:val="21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Cash provided by operating activities - discontinued operations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20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2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used in investing activities - continuing operations</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Cash used in investing activities - discontinued operations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0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repayments under PAA commercial paper program (Note 6)</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PAA senior notes (Note 6)</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units by a subsidiary</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Series A preferred units by a subsidiary (Note 7)</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Class A shareholders (Note 7)</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7)</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34"/>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continuing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discontinued operations</w:t>
            </w:r>
          </w:p>
        </w:tc>
        <w:tc>
          <w:tcPr>
            <w:tcW w:w="9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49"/>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13"/>
        </w:trPr>
        <w:tc>
          <w:tcPr>
            <w:tcW w:w="8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0"/>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CHANGES IN PARTNERS’ CAPITAL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units by a subsidiary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Series A preferred units by a subsidiary (Note 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1"/>
                <w:szCs w:val="21"/>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48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tcPr>
          <w:p>
            <w:pPr>
              <w:spacing w:after="0"/>
              <w:rPr>
                <w:sz w:val="21"/>
                <w:szCs w:val="21"/>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September 30, 2025, its sole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we owned an approximate 85% limited partner interest in Plains AAP L.P.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September 30, 2025,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Natural Gas Liquids (“NGL”). See Note 11 for further discussion of our operating segments.</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2024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and nine months ended September 30,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With the exception of a deferred tax asset of $1.157 billion and $1.220 billion as of September 30, 2025 and December 31, 2024,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2025 or the year ended December 31, 2024. See Note 16 to our Consolidated Financial Statements included in Part IV of our 2024 Annual Report on Form 10-K for information regarding the Omnibus Agreement entered into by the Plains Entities on November 15, 2016.</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the first quarter of 2026, subject to the satisfaction or waiver of customary closing conditions, including receipt of regulatory approvals.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See Note 2 for additional information regarding discontinued operations. All significant intercompany balances and transactions between the Canadian NGL Business and our continuing operations have been eliminated.</w:t>
      </w:r>
    </w:p>
    <w:p>
      <w:pPr>
        <w:spacing w:after="0" w:line="2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will divest the Canadian NGL Business as part of the sale, we will retain substantially all NGL assets in the United States and will also retain all crude oil assets in Canada. Prior to its classification as held for sale and presentation as discontinued operations, the Canadian NGL Business was part of our NGL reportable segment.</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June 2025, we entered into a forward currency instrument to hedge currency exchange risk associated with anticipated proceeds from the pending sale of our Canadian NGL Business. See Note 8 for additional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the first quarter of 2026, based on existing contracts to be transferred and current market conditions as of September 30, 2025, we would recognize a liability of approximately $45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2024 Annual Report on Form 10-K, there have been no new accounting pronouncements that have become effective or have been issued during the nine months ended September 30, 2025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148"/>
        </w:trPr>
        <w:tc>
          <w:tcPr>
            <w:tcW w:w="388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Linefill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inventory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assets of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148"/>
        </w:trPr>
        <w:tc>
          <w:tcPr>
            <w:tcW w:w="388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149"/>
        </w:trPr>
        <w:tc>
          <w:tcPr>
            <w:tcW w:w="388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 of discontinued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175"/>
        </w:trPr>
        <w:tc>
          <w:tcPr>
            <w:tcW w:w="388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accumulated depreciation of $866 million and $794 million as of September 30, 2025 and December 31, 2024, respectively.</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line items comprising pretax income from discontinued operations to income from discontinued operations, net of tax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63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0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00" w:type="dxa"/>
            <w:vAlign w:val="bottom"/>
          </w:tcPr>
          <w:p>
            <w:pPr>
              <w:spacing w:after="0"/>
              <w:rPr>
                <w:sz w:val="19"/>
                <w:szCs w:val="19"/>
                <w:color w:val="auto"/>
              </w:rPr>
            </w:pPr>
          </w:p>
        </w:tc>
        <w:tc>
          <w:tcPr>
            <w:tcW w:w="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78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on pipelines and trucks. Revenues from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50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50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280035</wp:posOffset>
            </wp:positionV>
            <wp:extent cx="908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306070</wp:posOffset>
            </wp:positionV>
            <wp:extent cx="9086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w:t>
            </w:r>
          </w:p>
        </w:tc>
      </w:tr>
      <w:tr>
        <w:trPr>
          <w:trHeight w:val="22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36,867</w:t>
            </w: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4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14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left="1154"/>
              <w:spacing w:after="0" w:line="203"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center"/>
              <w:ind w:left="1154"/>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0"/>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7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3,835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3,922</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 and other receivables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8"/>
              </w:rPr>
              <w:t>7,839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7,339</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(7,582)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w w:val="98"/>
              </w:rPr>
              <w:t>3,623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3,679</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 Per Class A Share</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Basic net income per Class A share is determined by dividing net income attributable to PAGP from continuing operations and net income attributable to PAGP from discontinued operations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5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from continuing operations and net income attributable to PAGP from discontinued operations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2024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2024 Annual Report on Form 10-K for information regarding PAGP LTIP awards.</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 weighted-average basis, the possible exchange of 35 million AAP units was dilutive to net income per Class A share from discontinued operations for the three and nine months ended September 30, 2025. The possible exchange did not result in dilution for net income per Class A share from discontinued operations for the three and nine months ended September 30, 2024. The possible exchange did not result in dilution for net income per Class A share from continuing operations for any of the periods presented. Accordingly, the effect of the possible exchange of AAP units is included in the computation of diluted net income per share for discontinued operations for these periods and excluded from the calculation for all others. For each of the three and nine months ended September 30, 2025 and 2024, our PAGP LTIP awards were also dilutive and are included in the calculation of diluted weighted average Class A shares outstanding,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Class A share (in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6"/>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of AAP Management Units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86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Net income attributable to PAGP from discontinued operations including</w:t>
            </w:r>
          </w:p>
        </w:tc>
        <w:tc>
          <w:tcPr>
            <w:tcW w:w="820" w:type="dxa"/>
            <w:vAlign w:val="bottom"/>
            <w:tcBorders>
              <w:top w:val="single" w:sz="8" w:color="auto"/>
            </w:tcBorders>
            <w:vMerge w:val="restart"/>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incremental net income from assumed exchange of AAP Management Units</w:t>
            </w: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4"/>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4.6%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PAA senior notes: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4.65% senior notes due October 2025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460" w:type="dxa"/>
            <w:vAlign w:val="bottom"/>
            <w:gridSpan w:val="2"/>
          </w:tcPr>
          <w:p>
            <w:pPr>
              <w:jc w:val="center"/>
              <w:ind w:right="6460"/>
              <w:spacing w:after="0"/>
              <w:rPr>
                <w:sz w:val="20"/>
                <w:szCs w:val="20"/>
                <w:color w:val="auto"/>
              </w:rPr>
            </w:pPr>
            <w:r>
              <w:rPr>
                <w:rFonts w:ascii="Times New Roman" w:cs="Times New Roman" w:eastAsia="Times New Roman" w:hAnsi="Times New Roman"/>
                <w:sz w:val="18"/>
                <w:szCs w:val="18"/>
                <w:color w:val="auto"/>
                <w:w w:val="99"/>
              </w:rPr>
              <w:t>Total short-term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0"/>
        </w:trPr>
        <w:tc>
          <w:tcPr>
            <w:tcW w:w="388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PAA senior notes, net of unamortized discounts and debt issuance costs of $62 and $42, respectively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29"/>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8460" w:type="dxa"/>
            <w:vAlign w:val="bottom"/>
            <w:gridSpan w:val="2"/>
            <w:shd w:val="clear" w:color="auto" w:fill="CCEEFF"/>
          </w:tcPr>
          <w:p>
            <w:pPr>
              <w:jc w:val="center"/>
              <w:ind w:right="6500"/>
              <w:spacing w:after="0"/>
              <w:rPr>
                <w:sz w:val="20"/>
                <w:szCs w:val="20"/>
                <w:color w:val="auto"/>
              </w:rPr>
            </w:pPr>
            <w:r>
              <w:rPr>
                <w:rFonts w:ascii="Times New Roman" w:cs="Times New Roman" w:eastAsia="Times New Roman" w:hAnsi="Times New Roman"/>
                <w:sz w:val="18"/>
                <w:szCs w:val="18"/>
                <w:color w:val="auto"/>
                <w:w w:val="99"/>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3"/>
        </w:trPr>
        <w:tc>
          <w:tcPr>
            <w:tcW w:w="8460" w:type="dxa"/>
            <w:vAlign w:val="bottom"/>
            <w:gridSpan w:val="2"/>
          </w:tcPr>
          <w:p>
            <w:pPr>
              <w:jc w:val="center"/>
              <w:ind w:right="6440"/>
              <w:spacing w:after="0" w:line="223" w:lineRule="exact"/>
              <w:rPr>
                <w:sz w:val="20"/>
                <w:szCs w:val="20"/>
                <w:color w:val="auto"/>
              </w:rPr>
            </w:pPr>
            <w:r>
              <w:rPr>
                <w:rFonts w:ascii="Times New Roman" w:cs="Times New Roman" w:eastAsia="Times New Roman" w:hAnsi="Times New Roman"/>
                <w:sz w:val="18"/>
                <w:szCs w:val="18"/>
                <w:color w:val="auto"/>
                <w:w w:val="93"/>
              </w:rPr>
              <w:t xml:space="preserve">Total debt </w:t>
            </w:r>
            <w:r>
              <w:rPr>
                <w:rFonts w:ascii="Times New Roman" w:cs="Times New Roman" w:eastAsia="Times New Roman" w:hAnsi="Times New Roman"/>
                <w:sz w:val="23"/>
                <w:szCs w:val="23"/>
                <w:color w:val="auto"/>
                <w:w w:val="93"/>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1"/>
        </w:trPr>
        <w:tc>
          <w:tcPr>
            <w:tcW w:w="3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160" w:hanging="11"/>
        <w:spacing w:after="0" w:line="312" w:lineRule="auto"/>
        <w:rPr>
          <w:sz w:val="20"/>
          <w:szCs w:val="20"/>
          <w:color w:val="auto"/>
        </w:rPr>
      </w:pPr>
      <w:r>
        <w:rPr>
          <w:rFonts w:ascii="Times New Roman" w:cs="Times New Roman" w:eastAsia="Times New Roman" w:hAnsi="Times New Roman"/>
          <w:sz w:val="17"/>
          <w:szCs w:val="17"/>
          <w:color w:val="auto"/>
        </w:rPr>
        <w:t>We classified these PAA commercial paper notes as short-term as of December 31, 2024, as these notes were primarily designated as working capital borrowings, were required to be repaid within one year and were primarily for hedged inventory and NYMEX and ICE margin deposits.</w:t>
      </w:r>
    </w:p>
    <w:p>
      <w:pPr>
        <w:spacing w:after="0" w:line="32" w:lineRule="exact"/>
        <w:rPr>
          <w:sz w:val="20"/>
          <w:szCs w:val="20"/>
          <w:color w:val="auto"/>
        </w:rPr>
      </w:pPr>
    </w:p>
    <w:p>
      <w:pPr>
        <w:ind w:right="32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2024, PAA classified its $1.0 billion, 4.65% senior notes due October 2025 as long-term based on its ability and intent to refinance the notes on a long-term basis at that time. PAA redeemed these senior notes on October 3, 2025.</w:t>
      </w:r>
    </w:p>
    <w:p>
      <w:pPr>
        <w:spacing w:after="0" w:line="54" w:lineRule="exact"/>
        <w:rPr>
          <w:sz w:val="20"/>
          <w:szCs w:val="20"/>
          <w:color w:val="auto"/>
        </w:rPr>
      </w:pPr>
    </w:p>
    <w:p>
      <w:pPr>
        <w:ind w:right="80" w:hanging="11"/>
        <w:spacing w:after="0" w:line="255"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$9.4 billion and $7.2 billion as of September 30, 2025 and December 31, 2024, respectively. We estimated the aggregate fair value of these notes as of September 30, 2025 and December 31, 2024 to be approximately $9.2 billion and $6.7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00"/>
          </w:cols>
          <w:pgMar w:left="320" w:top="121" w:right="4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September 2025, PAA completed the offering of $700 million, 4.70% senior notes due January 2031 and $550 million, 5.60% senior notes due January 2036 at a public offering price of 99.865% and 99.798%, respectively. Interest payments on these notes are due on January 15 and July 15 of each year, commencing on January 15,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the PAA commercial paper program for the nine months ended September 30, 2025 and 2024 were approximately $38.7 billion and $20.7 billion, respectively. Total repayments under the PAA commercial paper program were approximately $39.1 billion and $21.1 billion for the nine months ended September 30, 2025 and 2024,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2025 and December 31, 2024, we had outstanding letters of credit of $70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Class A shares, Class B shares and Class C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197,465,699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542,004,838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Series A preferred units by a subsidiary</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(12,678,560)</w:t>
            </w:r>
          </w:p>
        </w:tc>
        <w:tc>
          <w:tcPr>
            <w:tcW w:w="0" w:type="dxa"/>
            <w:vAlign w:val="bottom"/>
          </w:tcPr>
          <w:p>
            <w:pPr>
              <w:spacing w:after="0"/>
              <w:rPr>
                <w:sz w:val="1"/>
                <w:szCs w:val="1"/>
                <w:color w:val="auto"/>
              </w:rPr>
            </w:pPr>
          </w:p>
        </w:tc>
      </w:tr>
      <w:tr>
        <w:trPr>
          <w:trHeight w:val="230"/>
        </w:trPr>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21"/>
        </w:trPr>
        <w:tc>
          <w:tcPr>
            <w:tcW w:w="6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197,743,624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529,331,928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163"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4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Repurchase Program</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196"/>
        </w:trPr>
        <w:tc>
          <w:tcPr>
            <w:tcW w:w="6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June 30, 2025</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197,743,624</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528,860,430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2,048,818</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197,888,124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530,909,248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196,416,760</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36,237,168</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539,445,289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196"/>
        </w:trPr>
        <w:tc>
          <w:tcPr>
            <w:tcW w:w="6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197,252,259</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35,401,669</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539,507,571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21"/>
        </w:trPr>
        <w:tc>
          <w:tcPr>
            <w:tcW w:w="6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June 30, 2024</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197,263,697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539,517,839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Borders>
              <w:top w:val="single" w:sz="8" w:color="CCEEFF"/>
              <w:bottom w:val="single" w:sz="8" w:color="CCEEFF"/>
            </w:tcBorders>
            <w:gridSpan w:val="2"/>
            <w:vMerge w:val="continue"/>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202,002</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2,385,758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197,465,699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541,903,597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40" w:hanging="652"/>
        <w:spacing w:after="0" w:line="22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11 to our Consolidated Financial Statements included in Part IV of our 2024 Annual Report on Form 10-K for information regarding conversions of AAP Management Units, Exchange Rights and Redemption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distributions to our Class A shareholders paid during or pertaining to the first nine months of 2025 (in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0" w:type="dxa"/>
            <w:vAlign w:val="bottom"/>
          </w:tcPr>
          <w:p>
            <w:pPr>
              <w:spacing w:after="0"/>
              <w:rPr>
                <w:sz w:val="1"/>
                <w:szCs w:val="1"/>
                <w:color w:val="auto"/>
              </w:rPr>
            </w:pPr>
          </w:p>
        </w:tc>
      </w:tr>
      <w:tr>
        <w:trPr>
          <w:trHeight w:val="23"/>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40" w:type="dxa"/>
            <w:vAlign w:val="bottom"/>
          </w:tcPr>
          <w:p>
            <w:pPr>
              <w:spacing w:after="0"/>
              <w:rPr>
                <w:sz w:val="16"/>
                <w:szCs w:val="16"/>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84"/>
        </w:trPr>
        <w:tc>
          <w:tcPr>
            <w:tcW w:w="250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14, 2025</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31, 2025</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1, 2025 through September</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14, 2025</w:t>
            </w:r>
          </w:p>
        </w:tc>
        <w:tc>
          <w:tcPr>
            <w:tcW w:w="24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31, 2025</w:t>
            </w:r>
          </w:p>
        </w:tc>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1, 2025 through June 30,</w:t>
            </w: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15, 2025</w:t>
            </w:r>
          </w:p>
        </w:tc>
        <w:tc>
          <w:tcPr>
            <w:tcW w:w="24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 2025</w:t>
            </w:r>
          </w:p>
        </w:tc>
        <w:tc>
          <w:tcPr>
            <w:tcW w:w="25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1, 2025 through March</w:t>
            </w:r>
          </w:p>
        </w:tc>
        <w:tc>
          <w:tcPr>
            <w:tcW w:w="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14, 2025</w:t>
            </w:r>
          </w:p>
        </w:tc>
        <w:tc>
          <w:tcPr>
            <w:tcW w:w="24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31, 2025</w:t>
            </w:r>
          </w:p>
        </w:tc>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1, 2024 through</w:t>
            </w: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shareholders of record at the close of business on the applicable Record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56"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As of September 30,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w:t>
      </w:r>
    </w:p>
    <w:p>
      <w:pPr>
        <w:spacing w:after="0" w:line="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interest in Red River Pipeline Company LLC (“Red River”).</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of PAA Series A Preferred Units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of its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our board of directors.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A Preferred Unit Distributions</w:t>
      </w:r>
      <w:r>
        <w:rPr>
          <w:rFonts w:ascii="Times New Roman" w:cs="Times New Roman" w:eastAsia="Times New Roman" w:hAnsi="Times New Roman"/>
          <w:sz w:val="18"/>
          <w:szCs w:val="18"/>
          <w:color w:val="auto"/>
        </w:rPr>
        <w:t>. Distributions on PAA’s Series A preferred units accumulate and are payable quarterly within 45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end of each quarter. See Note 11 to our Consolidated Financial Statements included in Part IV of our 2024 Annual Report on Form 10-K for additional information regarding PAA Series A preferred unit distributions. The following table details distributions to PAA’s Series A preferred unitholders paid during or pertaining to the first nine months of 2025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5"/>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5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69"/>
        </w:trPr>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 xml:space="preserve">November 14, 2025 </w:t>
            </w:r>
            <w:r>
              <w:rPr>
                <w:rFonts w:ascii="Times New Roman" w:cs="Times New Roman" w:eastAsia="Times New Roman" w:hAnsi="Times New Roman"/>
                <w:sz w:val="19"/>
                <w:szCs w:val="19"/>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31, 2025</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1, 2025 through September</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14, 2025</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31, 2025</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1, 2025 through June 30,</w:t>
            </w:r>
          </w:p>
        </w:tc>
        <w:tc>
          <w:tcPr>
            <w:tcW w:w="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May 15, 2025</w:t>
            </w:r>
          </w:p>
        </w:tc>
        <w:tc>
          <w:tcPr>
            <w:tcW w:w="25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May 1, 2025</w:t>
            </w:r>
          </w:p>
        </w:tc>
        <w:tc>
          <w:tcPr>
            <w:tcW w:w="25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January 1, 2025 through March</w:t>
            </w:r>
          </w:p>
        </w:tc>
        <w:tc>
          <w:tcPr>
            <w:tcW w:w="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14, 2025</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31, 2025</w:t>
            </w:r>
          </w:p>
        </w:tc>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2024 through</w:t>
            </w:r>
          </w:p>
        </w:tc>
        <w:tc>
          <w:tcPr>
            <w:tcW w:w="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200" w:hanging="11"/>
        <w:spacing w:after="0" w:line="282" w:lineRule="auto"/>
        <w:rPr>
          <w:sz w:val="20"/>
          <w:szCs w:val="20"/>
          <w:color w:val="auto"/>
        </w:rPr>
      </w:pPr>
      <w:r>
        <w:rPr>
          <w:rFonts w:ascii="Times New Roman" w:cs="Times New Roman" w:eastAsia="Times New Roman" w:hAnsi="Times New Roman"/>
          <w:sz w:val="18"/>
          <w:szCs w:val="18"/>
          <w:color w:val="auto"/>
        </w:rPr>
        <w:t>At September 30, 2025,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B Preferred Unit Distributions</w:t>
      </w:r>
      <w:r>
        <w:rPr>
          <w:rFonts w:ascii="Times New Roman" w:cs="Times New Roman" w:eastAsia="Times New Roman" w:hAnsi="Times New Roman"/>
          <w:sz w:val="18"/>
          <w:szCs w:val="18"/>
          <w:color w:val="auto"/>
        </w:rPr>
        <w:t>. Distributions on PAA’s Series B preferred units accumulate and are payable quarterly in arrears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15th day of February, May, August and November. See Note 11 to our Consolidated Financial Statements included in Part IV of our 2024 Annual Report on Form 10-K for additional information regarding PAA Series B preferred unit distributions. The following table details distributions paid or to be paid to PAA’s Series B preferred unitholders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9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0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2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69"/>
        </w:trPr>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 xml:space="preserve">November 17, 2025 </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3, 2025</w:t>
            </w:r>
          </w:p>
        </w:tc>
        <w:tc>
          <w:tcPr>
            <w:tcW w:w="12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15, 2025 through November</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15, 2025</w:t>
            </w:r>
          </w:p>
        </w:tc>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 2025</w:t>
            </w:r>
          </w:p>
        </w:tc>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May 15, 2025 through August 14,</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May 15, 2025</w:t>
            </w:r>
          </w:p>
        </w:tc>
        <w:tc>
          <w:tcPr>
            <w:tcW w:w="24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May 1, 2025</w:t>
            </w:r>
          </w:p>
        </w:tc>
        <w:tc>
          <w:tcPr>
            <w:tcW w:w="29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February 15, 2025 through May 14,</w:t>
            </w:r>
          </w:p>
        </w:tc>
        <w:tc>
          <w:tcPr>
            <w:tcW w:w="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18, 2025</w:t>
            </w:r>
          </w:p>
        </w:tc>
        <w:tc>
          <w:tcPr>
            <w:tcW w:w="24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3, 2025</w:t>
            </w:r>
          </w:p>
        </w:tc>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15, 2024 through February</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5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At September 30, 2025, approximately $9 million of accrued distributions payable to PAA’s Series B preferred unitholders was included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41"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The following table details distributions to PAA’s common unitholders paid during or pertaining to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(in millions, except per unit data):</w:t>
      </w: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26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4"/>
                <w:szCs w:val="14"/>
                <w:color w:val="auto"/>
              </w:rPr>
            </w:pPr>
          </w:p>
        </w:tc>
        <w:tc>
          <w:tcPr>
            <w:tcW w:w="108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AAP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0" w:type="dxa"/>
            <w:vAlign w:val="bottom"/>
          </w:tcPr>
          <w:p>
            <w:pPr>
              <w:spacing w:after="0"/>
              <w:rPr>
                <w:sz w:val="1"/>
                <w:szCs w:val="1"/>
                <w:color w:val="auto"/>
              </w:rPr>
            </w:pPr>
          </w:p>
        </w:tc>
      </w:tr>
      <w:tr>
        <w:trPr>
          <w:trHeight w:val="195"/>
        </w:trPr>
        <w:tc>
          <w:tcPr>
            <w:tcW w:w="204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183"/>
        </w:trPr>
        <w:tc>
          <w:tcPr>
            <w:tcW w:w="19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November 14, 2025</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October 31, 2025</w:t>
            </w:r>
          </w:p>
        </w:tc>
        <w:tc>
          <w:tcPr>
            <w:tcW w:w="1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July 1, 2025 through</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14, 2025</w:t>
            </w:r>
          </w:p>
        </w:tc>
        <w:tc>
          <w:tcPr>
            <w:tcW w:w="1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31, 2025</w:t>
            </w: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April 1, 2025 through</w:t>
            </w:r>
          </w:p>
        </w:tc>
        <w:tc>
          <w:tcPr>
            <w:tcW w:w="260" w:type="dxa"/>
            <w:vAlign w:val="bottom"/>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6"/>
                <w:szCs w:val="16"/>
                <w:color w:val="auto"/>
              </w:rPr>
            </w:pP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15, 2025</w:t>
            </w:r>
          </w:p>
        </w:tc>
        <w:tc>
          <w:tcPr>
            <w:tcW w:w="1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 2025</w:t>
            </w: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1, 2025 through</w:t>
            </w:r>
          </w:p>
        </w:tc>
        <w:tc>
          <w:tcPr>
            <w:tcW w:w="260" w:type="dxa"/>
            <w:vAlign w:val="bottom"/>
            <w:shd w:val="clear" w:color="auto" w:fill="CCEEFF"/>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14, 2025</w:t>
            </w:r>
          </w:p>
        </w:tc>
        <w:tc>
          <w:tcPr>
            <w:tcW w:w="1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31, 2025</w:t>
            </w: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1, 2024 through</w:t>
            </w:r>
          </w:p>
        </w:tc>
        <w:tc>
          <w:tcPr>
            <w:tcW w:w="260" w:type="dxa"/>
            <w:vAlign w:val="bottom"/>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6"/>
                <w:szCs w:val="16"/>
                <w:color w:val="auto"/>
              </w:rPr>
            </w:pP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5"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The following table details the distributions to AAP’s partners paid during or pertaining to the first nine months of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received from PAA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 to AAP</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b w:val="1"/>
                <w:bCs w:val="1"/>
                <w:color w:val="auto"/>
              </w:rPr>
              <w:t>s Partners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2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3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14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1100" w:type="dxa"/>
            <w:vAlign w:val="bottom"/>
          </w:tcPr>
          <w:p>
            <w:pPr>
              <w:jc w:val="center"/>
              <w:ind w:right="168"/>
              <w:spacing w:after="0" w:line="137"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229"/>
        </w:trPr>
        <w:tc>
          <w:tcPr>
            <w:tcW w:w="236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40" w:type="dxa"/>
            <w:vAlign w:val="bottom"/>
            <w:vMerge w:val="continue"/>
          </w:tcPr>
          <w:p>
            <w:pPr>
              <w:spacing w:after="0"/>
              <w:rPr>
                <w:sz w:val="19"/>
                <w:szCs w:val="19"/>
                <w:color w:val="auto"/>
              </w:rPr>
            </w:pPr>
          </w:p>
        </w:tc>
        <w:tc>
          <w:tcPr>
            <w:tcW w:w="11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line="219" w:lineRule="auto"/>
        <w:rPr>
          <w:sz w:val="20"/>
          <w:szCs w:val="20"/>
          <w:color w:val="auto"/>
        </w:rPr>
      </w:pPr>
      <w:r>
        <w:rPr>
          <w:rFonts w:ascii="Times New Roman" w:cs="Times New Roman" w:eastAsia="Times New Roman" w:hAnsi="Times New Roman"/>
          <w:sz w:val="18"/>
          <w:szCs w:val="18"/>
          <w:color w:val="auto"/>
        </w:rPr>
        <w:t>November 14, 2025</w:t>
      </w:r>
    </w:p>
    <w:tbl>
      <w:tblPr>
        <w:tblLayout w:type="fixed"/>
        <w:tblInd w:w="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October 31, 2025</w:t>
            </w:r>
          </w:p>
        </w:tc>
        <w:tc>
          <w:tcPr>
            <w:tcW w:w="0" w:type="dxa"/>
            <w:vAlign w:val="bottom"/>
          </w:tcPr>
          <w:p>
            <w:pPr>
              <w:spacing w:after="0"/>
              <w:rPr>
                <w:sz w:val="1"/>
                <w:szCs w:val="1"/>
                <w:color w:val="auto"/>
              </w:rPr>
            </w:pPr>
          </w:p>
        </w:tc>
      </w:tr>
      <w:tr>
        <w:trPr>
          <w:trHeight w:val="30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2025</w:t>
            </w:r>
          </w:p>
        </w:tc>
        <w:tc>
          <w:tcPr>
            <w:tcW w:w="1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94"/>
        </w:trPr>
        <w:tc>
          <w:tcPr>
            <w:tcW w:w="19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1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May 1, 2025</w:t>
            </w:r>
          </w:p>
        </w:tc>
        <w:tc>
          <w:tcPr>
            <w:tcW w:w="0" w:type="dxa"/>
            <w:vAlign w:val="bottom"/>
          </w:tcPr>
          <w:p>
            <w:pPr>
              <w:spacing w:after="0"/>
              <w:rPr>
                <w:sz w:val="1"/>
                <w:szCs w:val="1"/>
                <w:color w:val="auto"/>
              </w:rPr>
            </w:pPr>
          </w:p>
        </w:tc>
      </w:tr>
      <w:tr>
        <w:trPr>
          <w:trHeight w:val="94"/>
        </w:trPr>
        <w:tc>
          <w:tcPr>
            <w:tcW w:w="19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2025</w:t>
            </w:r>
          </w:p>
        </w:tc>
        <w:tc>
          <w:tcPr>
            <w:tcW w:w="18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94"/>
        </w:trPr>
        <w:tc>
          <w:tcPr>
            <w:tcW w:w="19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auto"/>
        <w:rPr>
          <w:sz w:val="20"/>
          <w:szCs w:val="20"/>
          <w:color w:val="auto"/>
        </w:rPr>
      </w:pPr>
      <w:r>
        <w:rPr>
          <w:rFonts w:ascii="Times New Roman" w:cs="Times New Roman" w:eastAsia="Times New Roman" w:hAnsi="Times New Roman"/>
          <w:sz w:val="18"/>
          <w:szCs w:val="18"/>
          <w:color w:val="auto"/>
        </w:rPr>
        <w:t>July 1, 2025 through</w:t>
      </w: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April 1, 2025 through June 30, 2025</w:t>
      </w:r>
    </w:p>
    <w:p>
      <w:pPr>
        <w:spacing w:after="0" w:line="1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January 1, 2025 through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-255905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60"/>
        <w:spacing w:after="0" w:line="237" w:lineRule="auto"/>
        <w:rPr>
          <w:sz w:val="20"/>
          <w:szCs w:val="20"/>
          <w:color w:val="auto"/>
        </w:rPr>
      </w:pPr>
      <w:r>
        <w:rPr>
          <w:rFonts w:ascii="Times New Roman" w:cs="Times New Roman" w:eastAsia="Times New Roman" w:hAnsi="Times New Roman"/>
          <w:sz w:val="18"/>
          <w:szCs w:val="18"/>
          <w:color w:val="auto"/>
        </w:rPr>
        <w:t>October 1, 2024 through December 31, 2024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18"/>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18"/>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94" w:lineRule="exact"/>
        <w:rPr>
          <w:sz w:val="20"/>
          <w:szCs w:val="20"/>
          <w:color w:val="auto"/>
        </w:rPr>
      </w:pPr>
    </w:p>
    <w:p>
      <w:pPr>
        <w:sectPr>
          <w:pgSz w:w="11900" w:h="16838" w:orient="portrait"/>
          <w:cols w:equalWidth="0" w:num="3">
            <w:col w:w="4000" w:space="720"/>
            <w:col w:w="1940" w:space="320"/>
            <w:col w:w="4260"/>
          </w:cols>
          <w:pgMar w:left="320" w:top="121" w:right="339" w:bottom="1440" w:gutter="0" w:footer="0" w:header="0"/>
          <w:type w:val="continuous"/>
        </w:sectPr>
      </w:pPr>
    </w:p>
    <w:p>
      <w:pPr>
        <w:spacing w:after="0" w:line="22"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The following table details distributions paid to noncontrolling interests in consolidated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periods presented (in millions):</w:t>
      </w: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200" w:type="dxa"/>
            <w:vAlign w:val="bottom"/>
            <w:gridSpan w:val="4"/>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2"/>
                <w:szCs w:val="12"/>
                <w:color w:val="auto"/>
              </w:rPr>
            </w:pPr>
          </w:p>
        </w:tc>
      </w:tr>
      <w:tr>
        <w:trPr>
          <w:trHeight w:val="195"/>
        </w:trPr>
        <w:tc>
          <w:tcPr>
            <w:tcW w:w="58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88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260" w:firstLine="607"/>
        <w:spacing w:after="0" w:line="261" w:lineRule="auto"/>
        <w:rPr>
          <w:sz w:val="20"/>
          <w:szCs w:val="20"/>
          <w:color w:val="auto"/>
        </w:rPr>
      </w:pPr>
      <w:r>
        <w:rPr>
          <w:rFonts w:ascii="Times New Roman" w:cs="Times New Roman" w:eastAsia="Times New Roman" w:hAnsi="Times New Roman"/>
          <w:sz w:val="18"/>
          <w:szCs w:val="18"/>
          <w:color w:val="auto"/>
        </w:rPr>
        <w:t>At September 30,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September 30, 2025, net derivative positions related to these activities included:</w:t>
      </w:r>
    </w:p>
    <w:p>
      <w:pPr>
        <w:spacing w:after="0" w:line="162" w:lineRule="exact"/>
        <w:rPr>
          <w:sz w:val="20"/>
          <w:szCs w:val="20"/>
          <w:color w:val="auto"/>
        </w:rPr>
      </w:pPr>
    </w:p>
    <w:p>
      <w:pPr>
        <w:ind w:left="980" w:right="14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9.4 million barrels associated with our crude oil purchases, which will be unwound ratably through December 2025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2.1 million barrels, which hedges a portion of our anticipated crude oil lease gathering purchases through April 2026.</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2.5 million barrels at multiple locations through December 2026.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5.7 million barrels through December 2029 related to anticipated net sales of crude oil inventory.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0.5 TWh through December 2030 related to anticipated power supply requirements.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58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8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160" w:type="dxa"/>
            <w:vAlign w:val="bottom"/>
          </w:tcPr>
          <w:p>
            <w:pPr>
              <w:spacing w:after="0"/>
              <w:rPr>
                <w:sz w:val="24"/>
                <w:szCs w:val="24"/>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22</w:t>
            </w: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1"/>
                <w:szCs w:val="11"/>
                <w:color w:val="auto"/>
              </w:rPr>
            </w:pPr>
          </w:p>
        </w:tc>
        <w:tc>
          <w:tcPr>
            <w:tcW w:w="88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September 30, 2025 (notional amounts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3000" w:type="dxa"/>
            <w:vAlign w:val="bottom"/>
            <w:gridSpan w:val="2"/>
            <w:vMerge w:val="continue"/>
          </w:tcPr>
          <w:p>
            <w:pPr>
              <w:spacing w:after="0"/>
              <w:rPr>
                <w:sz w:val="16"/>
                <w:szCs w:val="16"/>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83"/>
        </w:trPr>
        <w:tc>
          <w:tcPr>
            <w:tcW w:w="28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2"/>
              <w:spacing w:after="0" w:line="182"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8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During the three months ended September 30, 2025, we terminated $200 million of notional hedging instruments for proceeds of $7 million, which was recorded in AOCI. As of September 30, 2025, there was a net loss of $31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September 30, 2025; thus, actual amounts to be reclassified will differ and could vary materially as a result of changes in market conditions.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24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9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0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the net fair value of our interest rate hedges, which was included in “Other current assets” on our Condensed Consolidated Balance Sheet, totaled $29 million. At December 31, 2024 , the net fair value of our interest rate hedges, which was included in “Other long-term assets, net” on our Condensed Consolidated Balance Sheet, totaled $27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September 30, 2025, the sale of the Canadian NGL Business is probable and the fair value of the instrument is a $41 million asset, presented in “Other current assets” on our Condensed Consolidated Balance Sheet. For the three and nine months ended September 30, 2025, we recognized the gains of $90 million and $41 million, respectively, which was included in “</w:t>
      </w:r>
      <w:r>
        <w:rPr>
          <w:rFonts w:ascii="Times New Roman" w:cs="Times New Roman" w:eastAsia="Times New Roman" w:hAnsi="Times New Roman"/>
          <w:sz w:val="16"/>
          <w:szCs w:val="16"/>
          <w:color w:val="auto"/>
        </w:rPr>
        <w:t>(Gains)/losses on asset sales, net</w:t>
      </w:r>
      <w:r>
        <w:rPr>
          <w:rFonts w:ascii="Times New Roman" w:cs="Times New Roman" w:eastAsia="Times New Roman" w:hAnsi="Times New Roman"/>
          <w:sz w:val="18"/>
          <w:szCs w:val="18"/>
          <w:color w:val="auto"/>
        </w:rPr>
        <w:t>” on our Condensed Consolidated Statements of Operations. As of September 30, 2025, for the periods covered by the instrument, the average fixed USD to CAD rate of the instrument is $1.37 and the average forward USD to CAD rate is $1.38. See Note 1 for additional information regarding the pending sale of the Canadian NGL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as of September 30, 2025</w:t>
            </w:r>
          </w:p>
        </w:tc>
        <w:tc>
          <w:tcPr>
            <w:tcW w:w="280" w:type="dxa"/>
            <w:vAlign w:val="bottom"/>
          </w:tcPr>
          <w:p>
            <w:pPr>
              <w:spacing w:after="0"/>
              <w:rPr>
                <w:sz w:val="16"/>
                <w:szCs w:val="16"/>
                <w:color w:val="auto"/>
              </w:rPr>
            </w:pPr>
          </w:p>
        </w:tc>
        <w:tc>
          <w:tcPr>
            <w:tcW w:w="3120" w:type="dxa"/>
            <w:vAlign w:val="bottom"/>
            <w:gridSpan w:val="6"/>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0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2024 Annual Report on Form 10-K for a complete discussion of related parties, including the determination of our related parties and nature of involvement with such related parties.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5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bl>
    <w:p>
      <w:pPr>
        <w:spacing w:after="0" w:line="31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8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ind w:left="660" w:right="100" w:hanging="652"/>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2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release of crude oil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Effective as of September 30,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did not recognize any costs related to the Line 901 incident. During the nine months ended September 30, 2024, we recognized costs, net of amounts probable of recovery from insurance</w:t>
      </w:r>
    </w:p>
    <w:p>
      <w:pPr>
        <w:spacing w:after="0"/>
        <w:rPr>
          <w:sz w:val="20"/>
          <w:szCs w:val="20"/>
          <w:color w:val="auto"/>
        </w:rPr>
      </w:pPr>
      <w:r>
        <w:rPr>
          <w:rFonts w:ascii="Times New Roman" w:cs="Times New Roman" w:eastAsia="Times New Roman" w:hAnsi="Times New Roman"/>
          <w:sz w:val="18"/>
          <w:szCs w:val="18"/>
          <w:color w:val="auto"/>
        </w:rPr>
        <w:t>(as applicable) of $120 million. As of September 30, 2025 and December 31, 2024, we had a remaining undiscounted gross liability of approximately</w:t>
      </w:r>
    </w:p>
    <w:p>
      <w:pPr>
        <w:spacing w:after="0" w:line="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$3 million and $5 million, respectively, related to the Line 901 incident, which aggregate amounts are reflected in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approximately $275 million of the $500 million available under our 2015 insurance program. We have submitted insurance claims seeking reimbursement for additional legal fees and settlements relating to the Line 901 incident. Such claims, in the aggregate, exceed the $215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September 30, 2025 and December 31, 2024.</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September 30, 2025, we incurred $12 million in connection with clean-up and remediation activities.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Hartree. </w:t>
      </w:r>
      <w:r>
        <w:rPr>
          <w:rFonts w:ascii="Times New Roman" w:cs="Times New Roman" w:eastAsia="Times New Roman" w:hAnsi="Times New Roman"/>
          <w:sz w:val="18"/>
          <w:szCs w:val="18"/>
          <w:color w:val="auto"/>
        </w:rPr>
        <w:t>On July 19, 2022, Hartree Natural Gas Storage, LLC (“Hartree”) filed a lawsuit under seal in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In October 2025, the court limited the time period for which LADWF may pursue damages to the period of its ownership of the subject property, which began in 2014. We believe the claims in the lawsuit lack merit and intend to vigorously defend this lawsuit in coordination with the other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11—Segment Information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four NGL assets located in the United States.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from continuing operations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905"/>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900"/>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900"/>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35,606</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(35,294)</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(13)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right="20" w:hanging="652"/>
        <w:spacing w:after="0" w:line="245"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1"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ind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spacing w:after="0" w:line="81" w:lineRule="exact"/>
        <w:rPr>
          <w:sz w:val="20"/>
          <w:szCs w:val="20"/>
          <w:color w:val="auto"/>
        </w:rPr>
      </w:pPr>
    </w:p>
    <w:p>
      <w:pPr>
        <w:ind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6"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Primarily related to acquisitions completed during the first nine months of 2025. See Note 12 for information regarding these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11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60" w:right="100" w:hanging="652"/>
        <w:spacing w:after="0" w:line="229" w:lineRule="auto"/>
        <w:tabs>
          <w:tab w:leader="none" w:pos="65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Income from continuing operations, net of tax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9"/>
        </w:trPr>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5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117" w:lineRule="exact"/>
        <w:rPr>
          <w:sz w:val="20"/>
          <w:szCs w:val="20"/>
          <w:color w:val="auto"/>
        </w:rPr>
      </w:pPr>
    </w:p>
    <w:p>
      <w:pPr>
        <w:ind w:left="20" w:right="32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185"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Ironwood Midstream</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Ironwood Midstream. </w:t>
      </w:r>
      <w:r>
        <w:rPr>
          <w:rFonts w:ascii="Times New Roman" w:cs="Times New Roman" w:eastAsia="Times New Roman" w:hAnsi="Times New Roman"/>
          <w:sz w:val="18"/>
          <w:szCs w:val="18"/>
          <w:color w:val="auto"/>
        </w:rPr>
        <w:t>On January 31, 2025, we acquired Ironwood Midstream Energy Partners II, LLC (“Ironwood Midstream”), which owns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our board of directors. See Note 7 for additional information.</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and $3 million during the three and nine months ended September 30, 2025, respectively, and the future amortization expense for the remainder of 2025 through 2029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Medallion Midstream</w:t>
      </w:r>
      <w:r>
        <w:rPr>
          <w:rFonts w:ascii="Times New Roman" w:cs="Times New Roman" w:eastAsia="Times New Roman" w:hAnsi="Times New Roman"/>
          <w:sz w:val="18"/>
          <w:szCs w:val="18"/>
          <w:color w:val="auto"/>
        </w:rPr>
        <w:t>. In January 2025, we acquired EMG Medallion 2 Holdings, LLC and its subsidiaries, which own a crude oil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business in the Delaware Basin, for $163 million (approximately $106 million net to PAA’s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our board of directors.</w:t>
      </w:r>
    </w:p>
    <w:p>
      <w:pPr>
        <w:spacing w:after="0" w:line="21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Cheyenne Pipeline. </w:t>
      </w:r>
      <w:r>
        <w:rPr>
          <w:rFonts w:ascii="Times New Roman" w:cs="Times New Roman" w:eastAsia="Times New Roman" w:hAnsi="Times New Roman"/>
          <w:sz w:val="18"/>
          <w:szCs w:val="18"/>
          <w:color w:val="auto"/>
        </w:rPr>
        <w:t>In February 2025, through a non-monetary transaction, we acquired the remaining 50% interest in Cheyenne Pipeline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spacing w:after="0" w:line="21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Black Knight Midstream. </w:t>
      </w:r>
      <w:r>
        <w:rPr>
          <w:rFonts w:ascii="Times New Roman" w:cs="Times New Roman" w:eastAsia="Times New Roman" w:hAnsi="Times New Roman"/>
          <w:sz w:val="18"/>
          <w:szCs w:val="18"/>
          <w:color w:val="auto"/>
        </w:rPr>
        <w:t>During the second quarter of 2025, we acquired Black Knight Midstream, LLC (“Black Knight Midstream”),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 crude oil gathering business in the Permian Basin, for $59 million (approximately $38 million net to PAA’s 65% interest in the Permian JV), subject to certain adjustments. The Black Knight Midstream assets are accounted for in our Crude Oil segment.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BridgeTex Pipeline</w:t>
      </w:r>
      <w:r>
        <w:rPr>
          <w:rFonts w:ascii="Times New Roman" w:cs="Times New Roman" w:eastAsia="Times New Roman" w:hAnsi="Times New Roman"/>
          <w:sz w:val="18"/>
          <w:szCs w:val="18"/>
          <w:color w:val="auto"/>
        </w:rPr>
        <w:t>. In July 2025, we acquired an additional 20% interest in BridgeTex Pipeline Company, LLC (“BridgeTex”) for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million. As a result of this transaction, we now own a 40% interest in BridgeTex and continue to account for our interest in BridgeTex, which is reported in our Crude Oil segment, as an equity method investment.</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EPIC Pipeline</w:t>
      </w:r>
      <w:r>
        <w:rPr>
          <w:rFonts w:ascii="Times New Roman" w:cs="Times New Roman" w:eastAsia="Times New Roman" w:hAnsi="Times New Roman"/>
          <w:sz w:val="18"/>
          <w:szCs w:val="18"/>
          <w:color w:val="auto"/>
        </w:rPr>
        <w:t>. On October 31, 2025, we purchased an aggregate 55% equity interest in EPIC Crude Holdings, LP (“EPIC Crude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owns the EPIC Crude Oil Pipeline (“EPIC Pipeline”), from subsidiaries of Diamondback Energy, Inc. and Kinetik Holdings Inc., for approximately $1.57 billion, subject to certain adjustments and inclusive of approximately $600 million of debt assumed. We also agreed to a potential earnout payment of $193 million contingent upon the formal sanctioning before the end of 2027 of one or more expansions of EPIC Pipeline that in the aggregate will increase the capacity of the pipeline to at least 900,000 barrels per day. In a separate transaction, effective November 1, 2025, we acquired the remaining 45% equity interest in EPIC Crude Holdings from a portfolio company of Ares Private Equity funds for approximately $1.33 billion, subject to certain adjustments and inclusive of approximately $500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w:t>
      </w:r>
    </w:p>
    <w:p>
      <w:pPr>
        <w:spacing w:after="0" w:line="21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Subsequent to these two transactions (collectively, the “EPIC acquisition”), we now own 100% of EPIC Crude Holdings and are the operator of record for the EPIC Pipeline, which provides long-haul crude oil takeaway from the Permian and Eagle Ford basins to the Gulf Coast market at Corpus Christi. We believe this acquisition is highly synergistic and strategic to our existing footprint. The EPIC acquisition will be accounted for in our Crude Oil segment.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We are a Delaware limited partnership that has elected to be taxed as a corporation for United States federal income tax purposes. As of September 30, 2025, our sole cash-generating assets consisted of an approximate 85% limited partner interest in AAP. We also own a 100% managing member interest in GP LLC, which holds the non-economic general partner interest in AAP. As of September 30, 2025, AAP directly owned a limited partner interest in PAA through its ownership of approximately 233.0 million PAA common units (approximately 31% of PAA’s total outstanding common units and Series A preferred units combined). AAP is the sole member of PAA GP, which holds the non-economic general partner interest in PAA.</w:t>
      </w:r>
    </w:p>
    <w:p>
      <w:pPr>
        <w:spacing w:after="0" w:line="16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 and, to a lesser extent, NGL.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While we will divest the Canadian NGL Business as part of the sale, we will retain substantially all NGL assets in the United States and will also retain all crude oil assets in Canada. This transaction is expected to close in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2 to our Condensed Consolidated Financial Statements for additional information.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discussion below relates to our continuing operations and excludes amounts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recognized net income of $1,279 million for the nine months ended September 30, 2025 compared to net income of $953 million for the first nine months of 2024. See the “Results of Operations” section below for discussion of significant drivers of our results from continuing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55"/>
        </w:trPr>
        <w:tc>
          <w:tcPr>
            <w:tcW w:w="3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continuing operations, net of</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tax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175"/>
        </w:trPr>
        <w:tc>
          <w:tcPr>
            <w:tcW w:w="33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Class A shares</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Class A shares</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75"/>
        </w:trPr>
        <w:tc>
          <w:tcPr>
            <w:tcW w:w="3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44" w:lineRule="exact"/>
        <w:rPr>
          <w:sz w:val="20"/>
          <w:szCs w:val="20"/>
          <w:color w:val="auto"/>
        </w:rPr>
      </w:pPr>
    </w:p>
    <w:p>
      <w:pPr>
        <w:ind w:left="660" w:right="800" w:hanging="652"/>
        <w:spacing w:after="0" w:line="224" w:lineRule="auto"/>
        <w:tabs>
          <w:tab w:leader="none" w:pos="373"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2 to our Condensed Consolidated Financial Statements for a reconciliation of the line items comprising income from discontinued operations, net of tax.</w:t>
      </w: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of our results of operations focuses on PAA’s continuing operations.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3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and purchases decreased for the three and nine months ended September 30, 2025 compared to the same periods in 2024 primarily due to lower commodity prices in the 2025 periods, partially offset by higher crude oil sales volumes in the 2025 periods.</w:t>
      </w:r>
    </w:p>
    <w:p>
      <w:pPr>
        <w:spacing w:after="0" w:line="20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Services revenues for the nine months ended September 30, 2025 increased compared to the same period in 2024 primarily due to higher pipeline volumes and tariff escalations, as well as the impact of recently completed acquisitions, partially offset by the impact from lower commodity prices in the 2025 period.</w:t>
      </w:r>
    </w:p>
    <w:p>
      <w:pPr>
        <w:spacing w:after="0" w:line="20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net revenues (defined as revenues less purchases and related costs) in the “—Analysis of Operating Segments” section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2025 compared to the same periods in 2024 was primarily due to transaction costs associated with our recent acquisitions, partially offset by lower information systems costs due to the completion of certain systems conversion and integration work, which was also the primarily driver of the decrease in general and administrative expenses for the comparative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for the nine months ended September 30, 2025 compared to the same periods in 2024 was largely driven by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Net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deal-contingent forward currency instrument to hedge the currency exchange risk associated with the sale in CAD. The 2025 periods were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recognized a net gain of $31 million related to our acquisition of the remaining 50% interest in Cheyenne in the first quarter of 2025. See Note 12 to our Condensed Consolidated Financial Statements for additional information regarding this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borrowings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17" w:lineRule="exact"/>
        <w:rPr>
          <w:sz w:val="20"/>
          <w:szCs w:val="20"/>
          <w:color w:val="auto"/>
        </w:rPr>
      </w:pPr>
    </w:p>
    <w:p>
      <w:pPr>
        <w:ind w:left="660" w:right="160" w:hanging="652"/>
        <w:spacing w:after="0" w:line="239" w:lineRule="auto"/>
        <w:tabs>
          <w:tab w:leader="none" w:pos="37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interest expense for the 2025 periods compared to the same periods in 2024 was primarily driven by PAA’s issuance of $1.0 billion, 5.95% senior notes in January 2025 and $650 million, 5.70% senior notes in June 2024, partially offset by the repayment of $750 million, 3.60% senior notes in November 2024. See Note 6 to our Condensed Consolidated Financial Statements for additional information regarding senior notes.</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interest income and gains and losses on foreign revaluation related to the impact from the change in the CAD to USD exchange rate on the portion of our intercompany net investment that is not long-term in nature.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net unfavorable income tax variance for the three months ended September 30, 2025 compared to the same period in 2024 was primarily due to higher earnings, including PAA earnings attributable to PAGP, partially offset by (i) lower year-over-year income within our Canadian operations as impacted by fluctuations of derivative mark-to-market valuations and (ii) lower income tax expense in 2025 associated with Canadian withholding tax on dividends from our Canadian entities to other Plains entities.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net favorable income tax variance for the nine months ended September 30, 2025 compared to the same period in 2024 was primarily due to the impact of (i) lower income tax expense in 2025 associated with Canadian withholding tax on dividends from our Canadian entities to other Plains entities, partially offset by (ii) higher year-over-year income within our Canadian operations as impacted by fluctuations of derivative mark-to-market valuations and (iii) higher PAA earnings attributable to PAGP.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0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20" w:firstLine="8"/>
        <w:spacing w:after="0" w:line="26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spacing w:after="0" w:line="2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Management believes that the presentation of certain Non-GAAP financial performance measures, such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and Adjusted EBITDA attributable to PAA,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1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to Net Income (in millions):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discontinued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76"/>
        </w:trPr>
        <w:tc>
          <w:tcPr>
            <w:tcW w:w="36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net from</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net from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general and administrative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valuation adjustments</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Rail fleet amortization expense related to</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 (6)</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(8)</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55"/>
        </w:trPr>
        <w:tc>
          <w:tcPr>
            <w:tcW w:w="360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ind w:left="260"/>
              <w:spacing w:after="0" w:line="237"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(9)</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63"/>
        </w:trPr>
        <w:tc>
          <w:tcPr>
            <w:tcW w:w="3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0"/>
        </w:trPr>
        <w:tc>
          <w:tcPr>
            <w:tcW w:w="3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w:t>
      </w:r>
    </w:p>
    <w:p>
      <w:pPr>
        <w:spacing w:after="0" w:line="82" w:lineRule="exact"/>
        <w:rPr>
          <w:rFonts w:ascii="Times New Roman" w:cs="Times New Roman" w:eastAsia="Times New Roman" w:hAnsi="Times New Roman"/>
          <w:sz w:val="23"/>
          <w:szCs w:val="23"/>
          <w:color w:val="auto"/>
          <w:vertAlign w:val="superscript"/>
        </w:rPr>
      </w:pPr>
    </w:p>
    <w:p>
      <w:pPr>
        <w:ind w:left="640" w:hanging="632"/>
        <w:spacing w:after="0" w:line="219"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2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54" w:lineRule="exact"/>
        <w:rPr>
          <w:sz w:val="20"/>
          <w:szCs w:val="20"/>
          <w:color w:val="auto"/>
        </w:rPr>
      </w:pPr>
    </w:p>
    <w:p>
      <w:pPr>
        <w:ind w:left="20" w:hanging="11"/>
        <w:spacing w:after="0" w:line="255" w:lineRule="auto"/>
        <w:rPr>
          <w:sz w:val="20"/>
          <w:szCs w:val="20"/>
          <w:color w:val="auto"/>
        </w:rPr>
      </w:pPr>
      <w:r>
        <w:rPr>
          <w:rFonts w:ascii="Times New Roman" w:cs="Times New Roman" w:eastAsia="Times New Roman" w:hAnsi="Times New Roman"/>
          <w:sz w:val="18"/>
          <w:szCs w:val="18"/>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Condensed Consolidated Financial Statements for additional information regarding the pending sale of the Canadian NGL Business. Also see the “—Non-GAAP Financial Measures” section above.</w:t>
      </w:r>
    </w:p>
    <w:p>
      <w:pPr>
        <w:spacing w:after="0" w:line="81"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these selected items impacting comparability, see the footnotes to the segment financial data tables in Note 11 to our Condensed Consolidated Financial Statements.</w:t>
      </w:r>
    </w:p>
    <w:p>
      <w:pPr>
        <w:spacing w:after="0" w:line="54" w:lineRule="exact"/>
        <w:rPr>
          <w:sz w:val="20"/>
          <w:szCs w:val="20"/>
          <w:color w:val="auto"/>
        </w:rPr>
      </w:pPr>
    </w:p>
    <w:p>
      <w:pPr>
        <w:ind w:left="20"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“Other income, net” on our Condensed Consolidated Statements of Operations, adjusted for selected items impacting comparability (“Adjusted other income, net”) is included in Adjusted EBITDA and excluded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19 to our Consolidated Financial Statements included in Part IV of our 2024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72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9"/>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175"/>
        </w:trPr>
        <w:tc>
          <w:tcPr>
            <w:tcW w:w="3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unconsolidated entities</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adjustments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joint ventures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46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54" w:lineRule="exact"/>
        <w:rPr>
          <w:sz w:val="20"/>
          <w:szCs w:val="20"/>
          <w:color w:val="auto"/>
        </w:rPr>
      </w:pPr>
    </w:p>
    <w:p>
      <w:pPr>
        <w:ind w:left="20" w:right="18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5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and nine months ended September 30, 2025 increased versus comparable results for the three and nine months ended September 30, 2024. The benefit to the 2025 period from higher tariff volumes on our pipelines, tariff escalations and contributions from recently completed acquisitions was largely offset by fewer market-based opportunities.</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nine months ended September 30, 2025 compared to the same periods in 2024.</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largely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production in the Permian Basin region, (ii) contributions from recently completed acquisitions in the Permian Basin and South Texas regions and (iii) the benefit of tariff escalations. These favorable impacts were partially offset by (iv) fewer market-based opportunities, (v) lower commodity prices, which resulted in lower revenues from pipeline loss allowance in the 2025 periods, and (vi) the impact from certain Permian long-haul contract rates resetting to market in the third quarter of 2025.</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and nine months ended September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2024 was primarily due to the recognition in the third quarter of 2024 of costs associated with settlements related to the Line 901 incident that occurred in May 2015 (which impact field operating costs, but are excluded from Segment Adjusted EBITDA, and thus are reflected as an “Adjustment” in the table above). This was partially offset by higher expenses resulting from acquisitions and higher volumes in the 2025 periods. In addition, the nine-month period was further impacted by higher expenses associated with (i) environmental remediation costs and (ii) property taxes.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three and nine months ended September 30, 2025 compared to the same periods in 2024 was primarily due to lower costs resulting from timing of certain pipeline integrity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four NGL assets located in the United States, namely our Bumstead, Shafter, San Pedro and Tampa facilities.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8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5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left="235"/>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6"/>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(2) (3)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Segment Adjusted EBITDA loss for all periods presented is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jc w:val="both"/>
        <w:ind w:right="240" w:firstLine="8"/>
        <w:spacing w:after="0" w:line="253"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we had a working capital surplus of $218 million and approximately $3.9 billion of liquidity available to meet our ongoing operating, investing and financing needs (subject to continued covenant compliance) as noted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388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8"/>
        </w:trPr>
        <w:tc>
          <w:tcPr>
            <w:tcW w:w="952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 (2) (3)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9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 (2) (3)</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9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outstanding under PAA commercial paper program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30"/>
        </w:trPr>
        <w:tc>
          <w:tcPr>
            <w:tcW w:w="9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1"/>
        </w:trPr>
        <w:tc>
          <w:tcPr>
            <w:tcW w:w="3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credit facilities.</w:t>
      </w:r>
    </w:p>
    <w:p>
      <w:pPr>
        <w:spacing w:after="0" w:line="54"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issued under these facilities of less than $1 million and $27 million, respectively.</w:t>
      </w:r>
    </w:p>
    <w:p>
      <w:pPr>
        <w:spacing w:after="0" w:line="54" w:lineRule="exact"/>
        <w:rPr>
          <w:sz w:val="20"/>
          <w:szCs w:val="20"/>
          <w:color w:val="auto"/>
        </w:rPr>
      </w:pPr>
    </w:p>
    <w:p>
      <w:pPr>
        <w:jc w:val="both"/>
        <w:ind w:left="20" w:right="360" w:hanging="11"/>
        <w:spacing w:after="0" w:line="312" w:lineRule="auto"/>
        <w:rPr>
          <w:sz w:val="20"/>
          <w:szCs w:val="20"/>
          <w:color w:val="auto"/>
        </w:rPr>
      </w:pPr>
      <w:r>
        <w:rPr>
          <w:rFonts w:ascii="Times New Roman" w:cs="Times New Roman" w:eastAsia="Times New Roman" w:hAnsi="Times New Roman"/>
          <w:sz w:val="17"/>
          <w:szCs w:val="17"/>
          <w:color w:val="auto"/>
        </w:rPr>
        <w:t>We borrowed approximately $1.8 billion under PAA’s commercial paper program and credit facilities to initially fund the EPIC acquisition in November 2025. See Note 12 to our Condensed Consolidated Financial Statements for additional information regarding the EPIC acquisition.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at September 30, 2025 was utilized to redeem PAA’s $1.0 billion, 4.65% senior notes on October 3, 2025.</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10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September 30, 2025.</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2024 Annual Report on Form 10-K for further discussion regarding risks that may impact our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spacing w:after="0" w:line="17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first nine months of 2025 and 2024 was $1.833 billion and $1.592 billion, respectively, and primarily resulted from earnings from our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related to continuing operations and discontinued operations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5"/>
              </w:rPr>
              <w:t xml:space="preserve">Net to PAA </w:t>
            </w:r>
            <w:r>
              <w:rPr>
                <w:rFonts w:ascii="Times New Roman" w:cs="Times New Roman" w:eastAsia="Times New Roman" w:hAnsi="Times New Roman"/>
                <w:sz w:val="18"/>
                <w:szCs w:val="18"/>
                <w:b w:val="1"/>
                <w:bCs w:val="1"/>
                <w:color w:val="auto"/>
                <w:w w:val="95"/>
                <w:vertAlign w:val="superscript"/>
              </w:rPr>
              <w:t>(1) (2)</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w w:val="99"/>
              </w:rPr>
              <w:t xml:space="preserve">Consolidated </w:t>
            </w:r>
            <w:r>
              <w:rPr>
                <w:rFonts w:ascii="Times New Roman" w:cs="Times New Roman" w:eastAsia="Times New Roman" w:hAnsi="Times New Roman"/>
                <w:sz w:val="18"/>
                <w:szCs w:val="18"/>
                <w:b w:val="1"/>
                <w:bCs w:val="1"/>
                <w:color w:val="auto"/>
                <w:w w:val="99"/>
                <w:vertAlign w:val="superscript"/>
              </w:rPr>
              <w:t>(2)</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2"/>
                <w:szCs w:val="12"/>
                <w:color w:val="auto"/>
              </w:rPr>
            </w:pPr>
          </w:p>
        </w:tc>
        <w:tc>
          <w:tcPr>
            <w:tcW w:w="2480" w:type="dxa"/>
            <w:vAlign w:val="bottom"/>
            <w:gridSpan w:val="6"/>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2"/>
                <w:szCs w:val="12"/>
                <w:color w:val="auto"/>
              </w:rPr>
            </w:pPr>
          </w:p>
        </w:tc>
        <w:tc>
          <w:tcPr>
            <w:tcW w:w="2180" w:type="dxa"/>
            <w:vAlign w:val="bottom"/>
            <w:gridSpan w:val="4"/>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203"/>
        </w:trPr>
        <w:tc>
          <w:tcPr>
            <w:tcW w:w="3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Capital Expenditures </w:t>
            </w:r>
            <w:r>
              <w:rPr>
                <w:rFonts w:ascii="Times New Roman" w:cs="Times New Roman" w:eastAsia="Times New Roman" w:hAnsi="Times New Roman"/>
                <w:sz w:val="18"/>
                <w:szCs w:val="18"/>
                <w:color w:val="auto"/>
                <w:vertAlign w:val="superscript"/>
              </w:rPr>
              <w:t>(3) (4)</w:t>
            </w:r>
          </w:p>
        </w:tc>
        <w:tc>
          <w:tcPr>
            <w:tcW w:w="380" w:type="dxa"/>
            <w:vAlign w:val="bottom"/>
          </w:tcPr>
          <w:p>
            <w:pPr>
              <w:spacing w:after="0"/>
              <w:rPr>
                <w:sz w:val="17"/>
                <w:szCs w:val="17"/>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3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350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35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(5)</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3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175"/>
        </w:trPr>
        <w:tc>
          <w:tcPr>
            <w:tcW w:w="3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ind w:right="740" w:hanging="11"/>
        <w:spacing w:after="0" w:line="282" w:lineRule="auto"/>
        <w:rPr>
          <w:sz w:val="20"/>
          <w:szCs w:val="20"/>
          <w:color w:val="auto"/>
        </w:rPr>
      </w:pPr>
      <w:r>
        <w:rPr>
          <w:rFonts w:ascii="Times New Roman" w:cs="Times New Roman" w:eastAsia="Times New Roman" w:hAnsi="Times New Roman"/>
          <w:sz w:val="18"/>
          <w:szCs w:val="18"/>
          <w:color w:val="auto"/>
        </w:rPr>
        <w:t>Excludes expenditures attributable to noncontrolling interests, which primarily relate to the Permian JV. Includes results from continuing operations and discontinued operations for all periods presented.</w:t>
      </w:r>
    </w:p>
    <w:p>
      <w:pPr>
        <w:spacing w:after="0" w:line="54" w:lineRule="exact"/>
        <w:rPr>
          <w:sz w:val="20"/>
          <w:szCs w:val="20"/>
          <w:color w:val="auto"/>
        </w:rPr>
      </w:pPr>
    </w:p>
    <w:p>
      <w:pPr>
        <w:ind w:right="100" w:hanging="11"/>
        <w:spacing w:after="0" w:line="281" w:lineRule="auto"/>
        <w:rPr>
          <w:sz w:val="20"/>
          <w:szCs w:val="20"/>
          <w:color w:val="auto"/>
        </w:rPr>
      </w:pPr>
      <w:r>
        <w:rPr>
          <w:rFonts w:ascii="Times New Roman" w:cs="Times New Roman" w:eastAsia="Times New Roman" w:hAnsi="Times New Roman"/>
          <w:sz w:val="17"/>
          <w:szCs w:val="17"/>
          <w:color w:val="auto"/>
        </w:rPr>
        <w:t>Includes results from continuing operations and discontinued operations for all periods presented. Capital expenditures related to discontinued operations were $89 million and $49 million for investment and maintenance capital for the nine months ended September 30, 2025, respectively. Capital expenditures for investment and maintenance capital related to discontinued operations were $74 million and $48 million for the nine months ended September 30, 2024, respectively. There was no acquisition capital related to discontinued operations for any period presented.</w:t>
      </w:r>
    </w:p>
    <w:p>
      <w:pPr>
        <w:spacing w:after="0" w:line="56" w:lineRule="exact"/>
        <w:rPr>
          <w:sz w:val="20"/>
          <w:szCs w:val="20"/>
          <w:color w:val="auto"/>
        </w:rPr>
      </w:pPr>
    </w:p>
    <w:p>
      <w:pPr>
        <w:jc w:val="both"/>
        <w:ind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ind w:right="100" w:hanging="11"/>
        <w:spacing w:after="0" w:line="261" w:lineRule="auto"/>
        <w:rPr>
          <w:sz w:val="20"/>
          <w:szCs w:val="20"/>
          <w:color w:val="auto"/>
        </w:rPr>
      </w:pPr>
      <w:r>
        <w:rPr>
          <w:rFonts w:ascii="Times New Roman" w:cs="Times New Roman" w:eastAsia="Times New Roman" w:hAnsi="Times New Roman"/>
          <w:sz w:val="18"/>
          <w:szCs w:val="18"/>
          <w:color w:val="auto"/>
        </w:rPr>
        <w:t>Acquisition capital for the 2025 period primarily included the acquisitions of (i) Ironwood Midstream, (ii) Medallion Midstream by the Permian JV, (iii) the remaining 50% interest in Cheyenne Pipeline LLC through a non-cash transaction, (iv) Black Knight Midstream and (v) an additional 20% interest in BridgeTex Pipeline. See Note 12 to our Condensed Consolidated Financial Statements for additional information. Acquisition capital for the 2024 period primarily included the acquisition of additional ownership interests in equity method investees.</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2025 Investment and Maintenance Capital. </w:t>
      </w:r>
      <w:r>
        <w:rPr>
          <w:rFonts w:ascii="Times New Roman" w:cs="Times New Roman" w:eastAsia="Times New Roman" w:hAnsi="Times New Roman"/>
          <w:sz w:val="18"/>
          <w:szCs w:val="18"/>
          <w:color w:val="auto"/>
        </w:rPr>
        <w:t>Total investment capital for the year ending December 31, 2025 is projected to be approximately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($490 million net to our interest), which includes approximately $110 million related to discontinued operations. Approximately half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investment capital expenditures are expected to be invested in the Permian JV assets. Additionally, maintenance capital for 2025 is projected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approximately $230 million ($215 million net to our interest), which includes approximately $70 million related to discontinued operations.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2024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had net repayments under the PAA commercial paper program of $393 million. The net repayments resulted primarily from cash flow from operating activities and proceeds from the issuance of PAA’s $1.25 billion aggregate principal amount of senior notes in September 2025, which offset borrowings during the period related to funding needs for capital investments, inventory purchases and other general partnership purposes.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had net repayments under PAA commercial paper program of $433 million. The net repayments resulted primarily from cash flow from operating activities and proceeds from the issuance of PAA’s $650 million, 5.70% senior notes in June 2024, which offset borrowings during the period related to funding needs for capital investments, inventory purchases and other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 PAA used the net proceeds from this offering of approximately $988 million, after deducting the underwriting discount and offering expenses, to (i) fund the acquisitions completed during the nine months ended September 30, 2025, (ii) fund the repurchase of approximately 12.7 million of PAA’s Series A preferred units in January 2025 and (iii) repay outstanding borrowings under PAA’s credit facilities and commercial paper program and for general partnership purposes.</w:t>
      </w:r>
    </w:p>
    <w:p>
      <w:pPr>
        <w:spacing w:after="0" w:line="21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September 2025, PAA completed the offering of $1.25 billion aggregate principal amount of senior notes, consisting of $700 million, 4.70% senior notes due January 2031 and $550 million, 5.60% senior notes due January 2036 at a public offering price of 99.865% and 99.798%, respectively. Interest payments on these notes are due on January 15 and July 15 of each year, commencing on January 15, 2026. PAA used the net proceeds from this offering of approximately $1.2 billion, after deducting the underwriting discount and offering expenses, to (i) redeem on October 3, 2025 the principal amount of its $1.0 billion, 4.65% senior notes due October 2025 and (ii) fund a portion of the purchase price for the EPIC Pipeline acquisition.</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7 and Note 12 to our Condensed Consolidated Financial Statements for additional information regarding our Series A preferred units and our recently completed and pending acquisitions,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PAA repurchased 0.5 million common units under the Common Equity Repurchase Program (the “Program”) through open market purchases that settled during the nine months ended September 30, 2025, for a total purchase price of $8 million, including commissions and fees. The repurchased PAA common units were canceled immediately upon acquisition, as were the Class C shares held by PAA associated with the repurchased common units. There were no repurchases under the Program during the nine months ended September 30, 2024. At September 30, 2025, the remaining available capacity under the Program was $190 million. See Note 11 to our Consolidated Financial Statements included in Part IV of our 2024 Annual Report on Form 10-K for additional information regarding the Program.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September 30, 2025,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nine months ended September 30, 2025.</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PAA Registration Statements. </w:t>
      </w:r>
      <w:r>
        <w:rPr>
          <w:rFonts w:ascii="Times New Roman" w:cs="Times New Roman" w:eastAsia="Times New Roman" w:hAnsi="Times New Roman"/>
          <w:sz w:val="18"/>
          <w:szCs w:val="18"/>
          <w:color w:val="auto"/>
        </w:rPr>
        <w:t>PAA periodically accesses the capital markets for both equity and debt financing. PAA has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September 30, 2025. PAA did not conduct any offerings under the PAA Traditional Shelf during the nine months ended September 30, 2025. PAA also has access to a universal shelf registration statement (“PAA WKSI Shelf”), which provides it with the ability to offer and sell an unlimited amount of debt and equity securities, subject to market conditions and its capital needs. The offerings of PAA’s $1.0 billion, 5.95% senior notes in January 2025, $700 million, 4.70% senior notes and $550 million, 5.60% senior notes in September 2025 were conducted under its WKSI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 Repurchase</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7 to our Condensed Consolidated Financial Statements for more information regarding PAA’s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November 14, 2025, we will pay a quarterly cash distribution of $0.38 per Class A share ($1.52 per Class A share on an annualized basis) to shareholders of record at the close of business on October 31, 2025 for the period from July 1, 2025 through September 30, 2025. See Note 7 to our Condensed Consolidated Financial Statements for details of distributions paid during the first nine months of 2025.</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September 30,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A preferred unitholders. </w:t>
      </w:r>
      <w:r>
        <w:rPr>
          <w:rFonts w:ascii="Times New Roman" w:cs="Times New Roman" w:eastAsia="Times New Roman" w:hAnsi="Times New Roman"/>
          <w:sz w:val="18"/>
          <w:szCs w:val="18"/>
          <w:color w:val="auto"/>
        </w:rPr>
        <w:t>On November 14, 2025, PAA will pay a quarterly cash distribution of approximately $0.615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unit to its Series A preferred unitholders of record at the close of business on October 31, 2025 for the period from July 1, 2025 through September 30, 2025.</w:t>
      </w:r>
    </w:p>
    <w:p>
      <w:pPr>
        <w:spacing w:after="0" w:line="20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Distributions to PAA’s Series B preferred unitholders</w:t>
      </w:r>
      <w:r>
        <w:rPr>
          <w:rFonts w:ascii="Times New Roman" w:cs="Times New Roman" w:eastAsia="Times New Roman" w:hAnsi="Times New Roman"/>
          <w:sz w:val="18"/>
          <w:szCs w:val="18"/>
          <w:color w:val="auto"/>
        </w:rPr>
        <w:t>. On November 17, 2025, PAA will pay a quarterly cash distribution of approximately $21.93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unit to its Series B preferred unitholders of record at the close of business on November 3, 2025 for the period from August 15, 2025 through November 14, 2025.</w:t>
      </w:r>
    </w:p>
    <w:p>
      <w:pPr>
        <w:spacing w:after="0" w:line="20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common unitholders. </w:t>
      </w:r>
      <w:r>
        <w:rPr>
          <w:rFonts w:ascii="Times New Roman" w:cs="Times New Roman" w:eastAsia="Times New Roman" w:hAnsi="Times New Roman"/>
          <w:sz w:val="18"/>
          <w:szCs w:val="18"/>
          <w:color w:val="auto"/>
        </w:rPr>
        <w:t>On November 14, 2025, PAA will pay a quarterly cash distribution of $0.38 per common unit ($1.52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unit on an annualized basis) to common unitholders of record at the close of business on October 31, 2025 for the period from July 1, 2025 through September 30, 2025.</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for details of distributions paid during or pertaining to the nine months ended September 30, 2025, including distributions to PAA’s preferred unitholders.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10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from third parties under contracts, the majority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September 30,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40" w:type="dxa"/>
            <w:vAlign w:val="bottom"/>
          </w:tcPr>
          <w:p>
            <w:pPr>
              <w:spacing w:after="0"/>
              <w:rPr>
                <w:sz w:val="13"/>
                <w:szCs w:val="1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and other purchases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20,496</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18,425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16,159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35,624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112,322</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120" w:hanging="652"/>
        <w:spacing w:after="0" w:line="235"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September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3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EPIC Acquisition. </w:t>
      </w:r>
      <w:r>
        <w:rPr>
          <w:rFonts w:ascii="Times New Roman" w:cs="Times New Roman" w:eastAsia="Times New Roman" w:hAnsi="Times New Roman"/>
          <w:sz w:val="18"/>
          <w:szCs w:val="18"/>
          <w:color w:val="auto"/>
        </w:rPr>
        <w:t>Through two separate transactions completed in the fourth quarter of 2025, we acquired 100% of the entity that owns the EPIC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for aggregate consideration of approximately $2.9 billion, inclusive of approximately $1.1 billion of debt assumed. We initially funded the EPIC acquisition by assuming the $1.1 billion of existing debt and funding the $1.8 billion equity portion through a combination of PAA’s commercial paper and credit facility borrowings and cash on hand. See Note 12 to our Condensed Consolidated Financial Statements for additional information regarding the EPIC acquisition.</w:t>
      </w:r>
    </w:p>
    <w:p>
      <w:pPr>
        <w:spacing w:after="0" w:line="210"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September 30, 2025 and December 31, 2024, we had outstanding letters of credit of approximately $70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40" w:hanging="324"/>
        <w:spacing w:after="0" w:line="282" w:lineRule="auto"/>
        <w:tabs>
          <w:tab w:leader="none" w:pos="97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40" w:lineRule="exact"/>
        <w:rPr>
          <w:rFonts w:ascii="Times New Roman" w:cs="Times New Roman" w:eastAsia="Times New Roman" w:hAnsi="Times New Roman"/>
          <w:sz w:val="18"/>
          <w:szCs w:val="18"/>
          <w:i w:val="1"/>
          <w:iCs w:val="1"/>
          <w:color w:val="auto"/>
        </w:rPr>
      </w:pPr>
    </w:p>
    <w:p>
      <w:pPr>
        <w:ind w:left="980" w:right="20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1"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0" w:hanging="324"/>
        <w:spacing w:after="0" w:line="25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PAA’s ability to consummate, acquisitions, divestitures, joint ventures or other strategic opportunities and realize benefits therefrom, including the Canadian NGL Business divestiture and the EPIC acquisition;</w:t>
      </w:r>
    </w:p>
    <w:p>
      <w:pPr>
        <w:spacing w:after="0" w:line="53"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 including the EPIC acquisition;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8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980" w:right="1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177"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Power</w:t>
      </w:r>
    </w:p>
    <w:p>
      <w:pPr>
        <w:spacing w:after="0" w:line="227" w:lineRule="exact"/>
        <w:rPr>
          <w:rFonts w:ascii="Times New Roman" w:cs="Times New Roman" w:eastAsia="Times New Roman" w:hAnsi="Times New Roman"/>
          <w:sz w:val="18"/>
          <w:szCs w:val="18"/>
          <w:i w:val="1"/>
          <w:iCs w:val="1"/>
          <w:color w:val="auto"/>
        </w:rPr>
      </w:pPr>
    </w:p>
    <w:p>
      <w:pPr>
        <w:ind w:left="98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power derivatives to hedge anticipated operational requirements related to our crude oil pipelines. We manage these exposures with various instruments including futures, swaps and options.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further discussion regarding our hedging strategies and objectives.</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September 30, 2025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280" w:type="dxa"/>
            <w:vAlign w:val="bottom"/>
            <w:tcBorders>
              <w:bottom w:val="single" w:sz="8" w:color="CCEEFF"/>
            </w:tcBorders>
            <w:gridSpan w:val="2"/>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September 30, 2025. The average interest rate on variable rate debt that was outstanding during the nine months ended September 30, 2025 was approximately 4.7%, based upon rates in effect during such period. The fair value of our interest rate derivatives was a net asset of $29 million as of September 30, 2025. A 10% increase in the forward SOFR curve as of September 30, 2025 would have resulted in an increase of $13 million to the fair value of our interest rate derivatives. A 10% decrease in the forward SOFR curve as of September 30, 2025 would have resulted in a decrease of $13 million to the fair value of our interest rate derivatives. See Note 8 to our Condensed Consolidated Financial Statements for a discussion of our interest rate risk hedging activities.</w:t>
      </w:r>
    </w:p>
    <w:p>
      <w:pPr>
        <w:spacing w:after="0" w:line="21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PAA’s Series B preferred units accumulate and are payable quarterly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May, August and November. Distributions on PAA’s Series B preferred units accumulate based on the applicable three-month SOFR, plus certain adjustments. Based upon the Series B preferred units outstanding at September 30, 2025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2024 Annual Report on Form 10-K for additional information regarding PAA’s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The fair value of our foreign currency derivatives was an asset of $41 million as of September 30, 2025. A 10% increase in the exchange rate (USD-to-CAD) would have resulted in an increase of $325 million to the fair value of our foreign currency derivatives. A 10% decrease in the exchange rate (USD-to-CAD) would have resulted in a decrease of $325 million to the fair value of our foreign currency derivatives. See Note 8 to our Condensed Consolidated Financial Statements for additional information regarding our currency exchange rate risk hedging.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2025,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We substantially completed the implementation of our new Enterprise Resource Planning (“ERP”) system during the quarter ended September 30, 2025. The implementation of our ERP system (i) resulted in changes to controls that are reliant upon system configurations, integrations and outputs, and</w:t>
      </w:r>
    </w:p>
    <w:p>
      <w:pPr>
        <w:spacing w:after="0" w:line="1" w:lineRule="exact"/>
        <w:rPr>
          <w:sz w:val="20"/>
          <w:szCs w:val="20"/>
          <w:color w:val="auto"/>
        </w:rPr>
      </w:pPr>
    </w:p>
    <w:p>
      <w:pPr>
        <w:ind w:right="60" w:firstLine="8"/>
        <w:spacing w:after="0" w:line="253"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expected to, among other things, improve user access security and enable convergence of accounting, back office and reporting processes and activities. Except for the implementation of our new ERP system and corresponding changes to controls reliant upon system configurations, integrations and outputs, there was no change in our internal control over financial reporting that occurred during the third quarter of 2025 that materially affected, or is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10 to our Condensed Consolidated Financial Statements,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spacing w:after="0" w:line="1" w:lineRule="exact"/>
        <w:rPr>
          <w:sz w:val="20"/>
          <w:szCs w:val="20"/>
          <w:color w:val="auto"/>
        </w:rPr>
      </w:pPr>
    </w:p>
    <w:p>
      <w:pPr>
        <w:ind w:firstLine="8"/>
        <w:spacing w:after="0" w:line="251"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2025, certain Legacy Owners or their permitted transferees exercised the Exchange Right, which resulted in the issuance of 277,925 Class A shares. The issuance of Class A shares in connection with the exercise of the Exchange Right was exempt from the registration requirements of the Securities Act of 1933, as amended, pursuant to Section 4(a)(2) thereof.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2025, none of our directors or officers (as defined in Rule 16a-1(f) of the Securities Exchange Act of 1934) adopted or terminated any Rule 10b5-1 trading arrangement or any non-Rule 10b5-1 trading arrangement (as defined in Item 408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6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8" w:lineRule="exact"/>
        <w:rPr>
          <w:sz w:val="20"/>
          <w:szCs w:val="20"/>
          <w:color w:val="auto"/>
        </w:rPr>
      </w:pPr>
    </w:p>
    <w:p>
      <w:pPr>
        <w:ind w:left="1500" w:right="2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Share Purchase Agreement dated as of June 17, 2025 by and between Plains Midstream Luxembourg S.A.R.L. and Keyera Corp.</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(portions of this exhibit have been omitted pursuant to Item 601(b)(2) of Regulation S-K) (incorporated by reference to Exhibit</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2.1 to our Quarterly Report on Form 10-Q for the quarter ended June 30, 2025).</w:t>
        </w:r>
      </w:hyperlink>
    </w:p>
    <w:p>
      <w:pPr>
        <w:spacing w:after="0" w:line="111" w:lineRule="exact"/>
        <w:rPr>
          <w:sz w:val="20"/>
          <w:szCs w:val="20"/>
          <w:color w:val="auto"/>
        </w:rPr>
      </w:pPr>
    </w:p>
    <w:p>
      <w:pPr>
        <w:ind w:left="1500" w:right="180" w:hanging="1378"/>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 *</w:t>
      </w:r>
      <w:r>
        <w:rPr>
          <w:sz w:val="20"/>
          <w:szCs w:val="20"/>
          <w:color w:val="auto"/>
        </w:rPr>
        <w:tab/>
      </w: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Purchase and Sale Agreement dated August 30, 2025 by and among Altus Midstream Processing LP, Kinetik EC Holdco LLC,</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Rattler Midstream Operating LLC and Rattler OMOG LLC, as Sellers, and Plains BK Holdco LLC, as Buyer, and the other</w:t>
        </w:r>
      </w:hyperlink>
    </w:p>
    <w:p>
      <w:pPr>
        <w:spacing w:after="0" w:line="2" w:lineRule="exact"/>
        <w:rPr>
          <w:sz w:val="20"/>
          <w:szCs w:val="20"/>
          <w:color w:val="auto"/>
        </w:rPr>
      </w:pPr>
    </w:p>
    <w:p>
      <w:pPr>
        <w:ind w:left="1860" w:right="540"/>
        <w:spacing w:after="0" w:line="22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parties thereto (portions of this exhibit have been omitted pursuant to Item 601(b)(2) of Regulation S-K) (incorporated by</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reference to Exhibit 2.1 to our Current Report on Form 8-K filed November 6, 2025).</w:t>
        </w:r>
      </w:hyperlink>
    </w:p>
    <w:p>
      <w:pPr>
        <w:spacing w:after="0" w:line="103" w:lineRule="exact"/>
        <w:rPr>
          <w:sz w:val="20"/>
          <w:szCs w:val="20"/>
          <w:color w:val="auto"/>
        </w:rPr>
      </w:pPr>
    </w:p>
    <w:p>
      <w:pPr>
        <w:ind w:left="1500" w:right="200" w:hanging="1378"/>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 *</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Equity Purchase Agreement dated November 3, 2025 by and among EPIC Crude Parent, L.P., as Seller, and Plains BK Holdco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LLC, as Buyer, and the other parties thereto (portions of this exhibit have been omitted pursuant to Item 601(b)(2) of</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Registration S-K (incorporated by reference to Exhibit 2.2 to our Current Report on Form 8-K filed November 6, 2025).</w:t>
        </w:r>
      </w:hyperlink>
    </w:p>
    <w:p>
      <w:pPr>
        <w:spacing w:after="0" w:line="111" w:lineRule="exact"/>
        <w:rPr>
          <w:sz w:val="20"/>
          <w:szCs w:val="20"/>
          <w:color w:val="auto"/>
        </w:rPr>
      </w:pPr>
    </w:p>
    <w:p>
      <w:pPr>
        <w:ind w:left="1500" w:right="46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our Registration</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Second Amended and Restated Agreement of Limited Partnership of Plains GP Holdings, L.P. dated as of November 15, 2016</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(incorporated by reference to Exhibit 3.2 to our Current Report on Form 8-K filed November 21, 2016).</w:t>
        </w:r>
      </w:hyperlink>
    </w:p>
    <w:p>
      <w:pPr>
        <w:spacing w:after="0" w:line="118" w:lineRule="exact"/>
        <w:rPr>
          <w:sz w:val="20"/>
          <w:szCs w:val="20"/>
          <w:color w:val="auto"/>
        </w:rPr>
      </w:pPr>
    </w:p>
    <w:p>
      <w:pPr>
        <w:ind w:left="1500" w:right="3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Holdings, L.P. (incorporated by reference to Exhibit 3.1 to our Current Report on Form 8-K filed April 9, 2020).</w:t>
        </w:r>
      </w:hyperlink>
    </w:p>
    <w:p>
      <w:pPr>
        <w:spacing w:after="0" w:line="118" w:lineRule="exact"/>
        <w:rPr>
          <w:sz w:val="20"/>
          <w:szCs w:val="20"/>
          <w:color w:val="auto"/>
        </w:rPr>
      </w:pPr>
    </w:p>
    <w:p>
      <w:pPr>
        <w:ind w:left="1500" w:right="2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Certificate of Formation of PAA GP Holdings LLC (incorporated by reference to Exhibit 3.3 to our Registration Statement on</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8">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w:t>
        </w:r>
      </w:hyperlink>
    </w:p>
    <w:p>
      <w:pPr>
        <w:ind w:left="18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19, 2021 (incorporated by reference to Exhibit 3.11 to our Annual Report on Form 10-K for the year ended December 31, 2021).</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9">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86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2017 (incorporated by reference to Exhibit 3.1 to PAA's Current Report on Form 8-K filed October 12, 2017).</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0">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8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500" w:right="3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AAP, L.P. (incorporated by reference to Exhibit 3.1 to our Current Report on Form 8-K filed October 2, 2018).</w:t>
        </w:r>
      </w:hyperlink>
    </w:p>
    <w:p>
      <w:pPr>
        <w:spacing w:after="0" w:line="106" w:lineRule="exact"/>
        <w:rPr>
          <w:sz w:val="20"/>
          <w:szCs w:val="20"/>
          <w:color w:val="auto"/>
        </w:rPr>
      </w:pPr>
    </w:p>
    <w:p>
      <w:pPr>
        <w:ind w:left="50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3">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8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500" w:right="160" w:hanging="1352"/>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500" w:right="180" w:hanging="1356"/>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PAA’s Current Report on Form 8-K filed January 4, 2008).</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30" w:lineRule="exact"/>
        <w:rPr>
          <w:sz w:val="20"/>
          <w:szCs w:val="20"/>
          <w:color w:val="auto"/>
        </w:rPr>
      </w:pPr>
    </w:p>
    <w:p>
      <w:pPr>
        <w:ind w:left="1500" w:right="520" w:hanging="1311"/>
        <w:spacing w:after="0" w:line="230"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National Association, as trustee (incorporated by reference to Exhibit 4.1 to PAA’s Quarterly Report on Form 10-Q for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186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quarter ended September 30, 2002).</w:t>
        </w:r>
      </w:hyperlink>
    </w:p>
    <w:p>
      <w:pPr>
        <w:spacing w:after="0" w:line="111" w:lineRule="exact"/>
        <w:rPr>
          <w:sz w:val="20"/>
          <w:szCs w:val="20"/>
          <w:color w:val="auto"/>
        </w:rPr>
      </w:pPr>
    </w:p>
    <w:p>
      <w:pPr>
        <w:ind w:left="1500" w:right="46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Association, as trustee (incorporated by reference to Exhibit 4.1 to PAA’s Current Report on Form 8-K filed May 12, 2006).</w:t>
        </w:r>
      </w:hyperlink>
    </w:p>
    <w:p>
      <w:pPr>
        <w:spacing w:after="0" w:line="111" w:lineRule="exact"/>
        <w:rPr>
          <w:sz w:val="20"/>
          <w:szCs w:val="20"/>
          <w:color w:val="auto"/>
        </w:rPr>
      </w:pPr>
    </w:p>
    <w:p>
      <w:pPr>
        <w:ind w:left="1500" w:right="1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111" w:lineRule="exact"/>
        <w:rPr>
          <w:sz w:val="20"/>
          <w:szCs w:val="20"/>
          <w:color w:val="auto"/>
        </w:rPr>
      </w:pPr>
    </w:p>
    <w:p>
      <w:pPr>
        <w:ind w:left="1500" w:right="32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4.3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PAA’s Current Report on Form 8-K filed March 26, 2012).</w:t>
        </w:r>
      </w:hyperlink>
    </w:p>
    <w:p>
      <w:pPr>
        <w:spacing w:after="0" w:line="111" w:lineRule="exact"/>
        <w:rPr>
          <w:sz w:val="20"/>
          <w:szCs w:val="20"/>
          <w:color w:val="auto"/>
        </w:rPr>
      </w:pPr>
    </w:p>
    <w:p>
      <w:pPr>
        <w:ind w:left="1500" w:right="48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Exhibit 4.3 to PAA’s Current Report on Form 8-K filed December 12, 2012).</w:t>
        </w:r>
      </w:hyperlink>
    </w:p>
    <w:p>
      <w:pPr>
        <w:spacing w:after="0" w:line="111" w:lineRule="exact"/>
        <w:rPr>
          <w:sz w:val="20"/>
          <w:szCs w:val="20"/>
          <w:color w:val="auto"/>
        </w:rPr>
      </w:pPr>
    </w:p>
    <w:p>
      <w:pPr>
        <w:ind w:left="1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Current Report on Form 8-K filed April 29, 2014).</w:t>
        </w:r>
      </w:hyperlink>
    </w:p>
    <w:p>
      <w:pPr>
        <w:spacing w:after="0" w:line="111" w:lineRule="exact"/>
        <w:rPr>
          <w:sz w:val="20"/>
          <w:szCs w:val="20"/>
          <w:color w:val="auto"/>
        </w:rPr>
      </w:pPr>
    </w:p>
    <w:p>
      <w:pPr>
        <w:jc w:val="right"/>
        <w:ind w:left="560" w:right="4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114">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500" w:right="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Exhibit 4.1 to PAA’s Current Report on Form 8-K filed August 26, 2015).</w:t>
        </w:r>
      </w:hyperlink>
    </w:p>
    <w:p>
      <w:pPr>
        <w:spacing w:after="0" w:line="111" w:lineRule="exact"/>
        <w:rPr>
          <w:sz w:val="20"/>
          <w:szCs w:val="20"/>
          <w:color w:val="auto"/>
        </w:rPr>
      </w:pPr>
    </w:p>
    <w:p>
      <w:pPr>
        <w:ind w:left="1500" w:right="6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PAA’s Current Report on Form 8-K filed November 29, 2016).</w:t>
        </w:r>
      </w:hyperlink>
    </w:p>
    <w:p>
      <w:pPr>
        <w:spacing w:after="0" w:line="111" w:lineRule="exact"/>
        <w:rPr>
          <w:sz w:val="20"/>
          <w:szCs w:val="20"/>
          <w:color w:val="auto"/>
        </w:rPr>
      </w:pPr>
    </w:p>
    <w:p>
      <w:pPr>
        <w:jc w:val="right"/>
        <w:ind w:left="500" w:right="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  </w:t>
      </w:r>
      <w:hyperlink r:id="rId117">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Exhibit 4.1 to PAA’s Current Report on Form 8-K filed September 17, 2019).</w:t>
        </w:r>
      </w:hyperlink>
    </w:p>
    <w:p>
      <w:pPr>
        <w:spacing w:after="0" w:line="111" w:lineRule="exact"/>
        <w:rPr>
          <w:sz w:val="20"/>
          <w:szCs w:val="20"/>
          <w:color w:val="auto"/>
        </w:rPr>
      </w:pPr>
    </w:p>
    <w:p>
      <w:pPr>
        <w:ind w:left="1500" w:right="100" w:hanging="1352"/>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PAA’s Current Report on Form 8-K filed June 11, 2020).</w:t>
        </w:r>
      </w:hyperlink>
    </w:p>
    <w:p>
      <w:pPr>
        <w:spacing w:after="0" w:line="111" w:lineRule="exact"/>
        <w:rPr>
          <w:sz w:val="20"/>
          <w:szCs w:val="20"/>
          <w:color w:val="auto"/>
        </w:rPr>
      </w:pPr>
    </w:p>
    <w:p>
      <w:pPr>
        <w:ind w:left="1500" w:right="10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Thirty-Third Supplemental Indenture (5.70% Senior Notes due 2034) dated June 27, 2024, by and among Plains All American</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u w:val="single" w:color="auto"/>
            <w:color w:val="0000FF"/>
          </w:rPr>
          <w:t>Exhibit 4.1 to PAA’s Current Report on Form 8-K filed June 27, 2024)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500" w:right="26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Thirty-Fourth Supplemental Indenture (5.950% Senior Notes due 2035) dated January 15, 2025, by and among Plains All</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American Pipeline, L.P., PAA Finance Corp. and U.S. Bank Trust Company, National Association, as trustee (incorporated by</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reference to Exhibit 4.1 to PAA’s Current Report on Form 8-K filed January 15, 2025).</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gridSpan w:val="19"/>
          </w:tcPr>
          <w:p>
            <w:pPr>
              <w:ind w:left="27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8"/>
        </w:trPr>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5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9360" w:type="dxa"/>
            <w:vAlign w:val="bottom"/>
            <w:gridSpan w:val="21"/>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Thirty-Fifth Supplemental Indenture (4.70% Senior Notes due 2031) dated September 8, 2025, by and among Plains All</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20" w:type="dxa"/>
            <w:vAlign w:val="bottom"/>
          </w:tcPr>
          <w:p>
            <w:pPr>
              <w:spacing w:after="0"/>
              <w:rPr>
                <w:sz w:val="13"/>
                <w:szCs w:val="13"/>
                <w:color w:val="auto"/>
              </w:rPr>
            </w:pPr>
          </w:p>
        </w:tc>
        <w:tc>
          <w:tcPr>
            <w:tcW w:w="680" w:type="dxa"/>
            <w:vAlign w:val="bottom"/>
            <w:gridSpan w:val="9"/>
          </w:tcPr>
          <w:p>
            <w:pPr>
              <w:ind w:left="200"/>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by</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reference to Exhibit 4.1 to PAA's Current Report on Form 8-K filed September 8,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9900" w:type="dxa"/>
            <w:vAlign w:val="bottom"/>
            <w:gridSpan w:val="2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Thirty-Sixth Supplemental Indenture (5.60% Senior Notes due 2036) dated September 8, 2025, by and among Plains All</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680" w:type="dxa"/>
            <w:vAlign w:val="bottom"/>
            <w:gridSpan w:val="9"/>
          </w:tcPr>
          <w:p>
            <w:pPr>
              <w:ind w:left="200"/>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reference to Exhibit 4.3 to PAA's Current Report on Form 8-K filed September 8,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9900" w:type="dxa"/>
            <w:vAlign w:val="bottom"/>
            <w:gridSpan w:val="2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Shareholder and Registration Rights Agreement dated October 21, 2013 by and among Plains GP Holdings, L.P. and the other</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9900" w:type="dxa"/>
            <w:vAlign w:val="bottom"/>
            <w:gridSpan w:val="2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Description of Our Securities (incorporated by reference to Exhibit 4.15 to our Annual Report on Form 10-K for the year ended</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December 31, 2024).</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Fourth Amended and Restated Employment Agreement dated effective May 23, 2024 between Plains All American GP LLC and</w:t>
            </w: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Greg L. Armstrong.</w:t>
            </w:r>
          </w:p>
        </w:tc>
        <w:tc>
          <w:tcPr>
            <w:tcW w:w="786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Employment Agreement dated effective June 1, 2025 between Plains All American GP LLC and Harry N. Pefanis.</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LTIP Grant Letter dated August 14, 2025 (Named Executive Officers).</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LTIP Grant Letter dated August 14, 2025 (Directors).</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Special Retention LTIP Grant Letter dated August 14, 2025.</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dated August 14, 2025 to Special Promotional LTIP Grant Letter dated August 16, 2018 (Willie Chiang).</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9900" w:type="dxa"/>
            <w:vAlign w:val="bottom"/>
            <w:gridSpan w:val="23"/>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Credit Agreement, dated as of October 15, 2024, by and among EPIC Crude Holdings, EPIC Crude Services, LP, as borrower,</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182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1"/>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Goldman Sachs Bank USA, as administrative and collateral agent, and the lenders and letters of credit issuers party thereto from</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time to time, as amended (incorporated by reference to Exhibit 10.1 to our Current Report on Form 8-K filed November 6, 2025)</w:t>
              </w:r>
            </w:hyperlink>
          </w:p>
        </w:tc>
        <w:tc>
          <w:tcPr>
            <w:tcW w:w="100" w:type="dxa"/>
            <w:vAlign w:val="bottom"/>
            <w:tcBorders>
              <w:bottom w:val="single" w:sz="8" w:color="0000FF"/>
            </w:tcBorders>
            <w:gridSpan w:val="2"/>
          </w:tcPr>
          <w:p>
            <w:pPr>
              <w:jc w:val="right"/>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w:t>
              </w:r>
            </w:hyperlink>
          </w:p>
        </w:tc>
        <w:tc>
          <w:tcPr>
            <w:tcW w:w="20" w:type="dxa"/>
            <w:vAlign w:val="bottom"/>
          </w:tcPr>
          <w:p>
            <w:pPr>
              <w:spacing w:after="0"/>
              <w:rPr>
                <w:sz w:val="14"/>
                <w:szCs w:val="14"/>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31.1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13"/>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31.2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2080" w:type="dxa"/>
            <w:vAlign w:val="bottom"/>
            <w:gridSpan w:val="13"/>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4220" w:type="dxa"/>
            <w:vAlign w:val="bottom"/>
            <w:tcBorders>
              <w:left w:val="single" w:sz="8" w:color="0000FF"/>
            </w:tcBorders>
            <w:gridSpan w:val="16"/>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4220" w:type="dxa"/>
            <w:vAlign w:val="bottom"/>
            <w:gridSpan w:val="16"/>
          </w:tcPr>
          <w:p>
            <w:pPr>
              <w:spacing w:after="0" w:line="20" w:lineRule="exact"/>
              <w:rPr>
                <w:sz w:val="1"/>
                <w:szCs w:val="1"/>
                <w:color w:val="auto"/>
              </w:rPr>
            </w:pPr>
          </w:p>
        </w:tc>
      </w:tr>
      <w:tr>
        <w:trPr>
          <w:trHeight w:val="30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90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8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117" w:lineRule="exact"/>
        <w:rPr>
          <w:sz w:val="20"/>
          <w:szCs w:val="20"/>
          <w:color w:val="auto"/>
        </w:rPr>
      </w:pPr>
    </w:p>
    <w:p>
      <w:pPr>
        <w:ind w:left="660" w:hanging="652"/>
        <w:spacing w:after="0" w:line="282"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as such omitted information is both (i) not material and (ii) the type of information that the registrant treats as private or confidential.</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6"/>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Chairman of the Board, Chief Executive Officer and President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21" w:right="3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Fourth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(“PAGP”), PAA GP Holdings LLC (“GP Holdings”), the Company and all of the entities over which the Company has or exercises direct or indirect control, including Plains All American Pipeline, L.P. and its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5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WHEREAS, Armstrong and the Company were parties to that certain Amended and Restated Employment Agreement dated as of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2001, as modified by Waiver Agreements dated August 12, 2005, December 23, 2010 and October 21, 2013 (the “Original Agreement”);</w:t>
      </w:r>
    </w:p>
    <w:p>
      <w:pPr>
        <w:spacing w:after="0" w:line="2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Armstrong and the Company amended and restated the Original Agreement by entering into that certain Second Amended and Restated Employment Agreement between Armstrong and the Company dated as of October 1, 2018 (the “Prior Agreement”);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Armstrong served as non-executive Chairman of the Board pursuant to the terms of the Prior Agreement, which provided that such arrangement would end on December 31, 2019;</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on November 21, 2019, the Board of Directors of PAA GP Holdings LLC appointed Mr. Armstrong to continue to serve as a Director for an additional two-year term and also approved a two-year extension of his employment with the Company;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effective January 1, 2020, Armstrong and the Company amended and restated the Prior Agreement by entering into that certain Third Amended and Restated Employment Agreement (the “Third A&amp;R Agreement”) pursuant to which the Parties agreed, among other things, that Mr. Armstrong would continue his employment with the Company through December 31, 2021;</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effective December 31, 2021, Armstrong and the Company entered into that certain First Amendment to Third Amended and Restated Employment Agreement (the “First Amendment” and together with the Third A&amp;R Agreement and this Agreement, the “Current Agreement”), extending the term of Armstrong’s employment with the Company through the date of the PAGP 2024 Annual Meeting;</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and Armstrong desire to amend and restate the Current Agreement by entering into this Agreement, which sets forth their mutual agreement and understanding related to the continued employment of Armstrong and certain related matters as set forth herein.</w:t>
      </w:r>
    </w:p>
    <w:p>
      <w:pPr>
        <w:sectPr>
          <w:pgSz w:w="11900" w:h="16838" w:orient="portrait"/>
          <w:cols w:equalWidth="0" w:num="1">
            <w:col w:w="11240"/>
          </w:cols>
          <w:pgMar w:left="320" w:top="122" w:right="339" w:bottom="1440" w:gutter="0" w:footer="0" w:header="0"/>
        </w:sectPr>
      </w:pPr>
    </w:p>
    <w:bookmarkStart w:id="68" w:name="page69"/>
    <w:bookmarkEnd w:id="68"/>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and conditions herein contained, the Parties agree as follows:</w:t>
      </w:r>
    </w:p>
    <w:p>
      <w:pPr>
        <w:spacing w:after="0" w:line="247" w:lineRule="exact"/>
        <w:rPr>
          <w:sz w:val="20"/>
          <w:szCs w:val="20"/>
          <w:color w:val="auto"/>
        </w:rPr>
      </w:pPr>
    </w:p>
    <w:p>
      <w:pPr>
        <w:ind w:left="920" w:hanging="912"/>
        <w:spacing w:after="0"/>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Prior Agreement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1380" w:hanging="424"/>
        <w:spacing w:after="0" w:line="256" w:lineRule="auto"/>
        <w:tabs>
          <w:tab w:leader="none" w:pos="137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May 23, 2024 (the “Effective Date”) and subject to the terms hereof, Armstrong hereby continues his employment with the Company as a Senior Advisor to the Chief Executive Officer of the Company (“CEO”). During the Term (as defined below), Armstrong agrees to devote such time and energy as may be reasonably necessary to perform the duties and responsibilities requested by the CEO of the Company.</w:t>
      </w:r>
    </w:p>
    <w:p>
      <w:pPr>
        <w:spacing w:after="0" w:line="203" w:lineRule="exact"/>
        <w:rPr>
          <w:rFonts w:ascii="Times New Roman" w:cs="Times New Roman" w:eastAsia="Times New Roman" w:hAnsi="Times New Roman"/>
          <w:sz w:val="22"/>
          <w:szCs w:val="22"/>
          <w:color w:val="auto"/>
        </w:rPr>
      </w:pPr>
    </w:p>
    <w:p>
      <w:pPr>
        <w:jc w:val="both"/>
        <w:ind w:left="1380" w:hanging="424"/>
        <w:spacing w:after="0" w:line="249" w:lineRule="auto"/>
        <w:tabs>
          <w:tab w:leader="none" w:pos="137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except as may be expressly provided for hereunder (i) the Current Agreement shall govern the duties, obligations and rights of the Parties with respect to Armstrong’s employment by the Company during the period from January 1, 2020 through the date of the PAGP 2027 Annual Meeting, (ii) the Prior Agreement shall govern the duties, obligations and rights of the Parties with respect to Armstrong’s employment by the Company during the period from October 1, 2018 through December 31, 2019, and (iii) the Original Agreement shall govern the duties, obligations and rights of the Parties with respect to Armstrong’s employment by the Company prior to October 1, 2018. Accordingly, the Parties acknowledge and agree that by virtue of their execution and delivery of this Agreement neither Party shall be deemed to have waived any of its rights or claims under the Original Agreement or the Prior Agreement with respect to Armstrong’s employment by the Company prior to December 31, 2019.</w:t>
      </w:r>
    </w:p>
    <w:p>
      <w:pPr>
        <w:spacing w:after="0" w:line="210" w:lineRule="exact"/>
        <w:rPr>
          <w:rFonts w:ascii="Times New Roman" w:cs="Times New Roman" w:eastAsia="Times New Roman" w:hAnsi="Times New Roman"/>
          <w:sz w:val="22"/>
          <w:szCs w:val="22"/>
          <w:color w:val="auto"/>
        </w:rPr>
      </w:pPr>
    </w:p>
    <w:p>
      <w:pPr>
        <w:jc w:val="both"/>
        <w:ind w:left="920" w:hanging="912"/>
        <w:spacing w:after="0" w:line="250" w:lineRule="auto"/>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Armstrong’s employment with the Company as provided hereunder (the “Term”) commenced on January 1, 2020 and will terminate on the date of the PAGP 2027 Annual Meeting; provided, however, that (a) Armstrong may terminate his employment with the Company as of any date prior to the date of the PAGP 2027 Annual Meeting by giving written notice to the Company at least two weeks prior to the effective date of such termination, (b) at the direction of the Board, the Company may terminate Armstrong’s employment with the Company as of any date prior to the date of the PAGP 2027 Annual Meeting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w:t>
      </w:r>
    </w:p>
    <w:p>
      <w:pPr>
        <w:spacing w:after="0" w:line="20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380" w:hanging="400"/>
        <w:spacing w:after="0" w:line="257" w:lineRule="auto"/>
        <w:tabs>
          <w:tab w:leader="none" w:pos="137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June 1, 2024, Armstrong shall be paid a monthly salary that equates with an annual payment of $325,000, payable semi-monthly in cash for so long as Armstrong is employed by the Company under the terms of this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9" w:name="page70"/>
    <w:bookmarkEnd w:id="69"/>
    <w:p>
      <w:pPr>
        <w:jc w:val="both"/>
        <w:ind w:left="1380"/>
        <w:spacing w:after="0" w:line="257" w:lineRule="auto"/>
        <w:rPr>
          <w:sz w:val="20"/>
          <w:szCs w:val="20"/>
          <w:color w:val="auto"/>
        </w:rPr>
      </w:pPr>
      <w:r>
        <w:rPr>
          <w:rFonts w:ascii="Times New Roman" w:cs="Times New Roman" w:eastAsia="Times New Roman" w:hAnsi="Times New Roman"/>
          <w:sz w:val="22"/>
          <w:szCs w:val="22"/>
          <w:color w:val="auto"/>
        </w:rPr>
        <w:t>Agreement. During the Term, Armstrong shall remain eligible to participate in all employee benefit plans generally available to employees of the Company (including, without limitation, all health and medical benefit plans).</w:t>
      </w:r>
    </w:p>
    <w:p>
      <w:pPr>
        <w:spacing w:after="0" w:line="213" w:lineRule="exact"/>
        <w:rPr>
          <w:sz w:val="20"/>
          <w:szCs w:val="20"/>
          <w:color w:val="auto"/>
        </w:rPr>
      </w:pPr>
    </w:p>
    <w:p>
      <w:pPr>
        <w:jc w:val="both"/>
        <w:ind w:left="1380" w:hanging="400"/>
        <w:spacing w:after="0" w:line="250" w:lineRule="auto"/>
        <w:tabs>
          <w:tab w:leader="none" w:pos="137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Armstrong will be entitled to receive prompt reimbursement for all reasonable expenses, including travel and entertainment expenses, incurred by him during the Term in connection with (i) his service as Senior Advisor to the CEO as contemplated hereunder, (ii) his prior service as non-executive Chairman of the Board pursuant to the Prior Agreement, and (iii) the provision by Armstrong of any assistance with litigation or investigations as contemplated by Section 6 hereof; it being specifically agreed that such reimbursement obligation shall cover and include any costs or expenses incurred by Armstrong for private aviation services associated with travel on Company related business.</w:t>
      </w:r>
    </w:p>
    <w:p>
      <w:pPr>
        <w:spacing w:after="0" w:line="72" w:lineRule="exact"/>
        <w:rPr>
          <w:rFonts w:ascii="Times New Roman" w:cs="Times New Roman" w:eastAsia="Times New Roman" w:hAnsi="Times New Roman"/>
          <w:sz w:val="22"/>
          <w:szCs w:val="22"/>
          <w:color w:val="auto"/>
        </w:rPr>
      </w:pPr>
    </w:p>
    <w:p>
      <w:pPr>
        <w:jc w:val="both"/>
        <w:ind w:left="1380" w:hanging="400"/>
        <w:spacing w:after="0" w:line="249" w:lineRule="auto"/>
        <w:tabs>
          <w:tab w:leader="none" w:pos="1377"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Armstrong with a private office, parking space, electronic equipment, administrative support and such other facilities and services as reasonably necessary for Armstrong to adequately and efficiently perform services hereunder and that are comparable to similar services, support and facilities provided to Armstrong under the Prior Agreement; provided, however, it is understood and agreed that the Company shall not be obligated to provide dedicated administrative support to Armstrong, but will provide non-dedicated administrative support to Armstrong as needed in connection with the performance of his duties hereunder.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spacing w:after="0" w:line="210" w:lineRule="exact"/>
        <w:rPr>
          <w:rFonts w:ascii="Times New Roman" w:cs="Times New Roman" w:eastAsia="Times New Roman" w:hAnsi="Times New Roman"/>
          <w:sz w:val="22"/>
          <w:szCs w:val="22"/>
          <w:color w:val="auto"/>
        </w:rPr>
      </w:pPr>
    </w:p>
    <w:p>
      <w:pPr>
        <w:jc w:val="both"/>
        <w:ind w:left="920" w:hanging="912"/>
        <w:spacing w:after="0" w:line="252" w:lineRule="auto"/>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spacing w:after="0" w:line="2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Certain Information; Confidentiality Obligations.</w:t>
      </w:r>
    </w:p>
    <w:p>
      <w:pPr>
        <w:spacing w:after="0" w:line="111" w:lineRule="exact"/>
        <w:rPr>
          <w:rFonts w:ascii="Times New Roman" w:cs="Times New Roman" w:eastAsia="Times New Roman" w:hAnsi="Times New Roman"/>
          <w:sz w:val="22"/>
          <w:szCs w:val="22"/>
          <w:color w:val="auto"/>
        </w:rPr>
      </w:pPr>
    </w:p>
    <w:p>
      <w:pPr>
        <w:jc w:val="both"/>
        <w:ind w:left="1380" w:hanging="426"/>
        <w:spacing w:after="0" w:line="249" w:lineRule="auto"/>
        <w:tabs>
          <w:tab w:leader="none" w:pos="136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0" w:name="page71"/>
    <w:bookmarkEnd w:id="70"/>
    <w:p>
      <w:pPr>
        <w:spacing w:after="0" w:line="90" w:lineRule="exact"/>
        <w:rPr>
          <w:sz w:val="20"/>
          <w:szCs w:val="20"/>
          <w:color w:val="auto"/>
        </w:rPr>
      </w:pPr>
    </w:p>
    <w:p>
      <w:pPr>
        <w:jc w:val="both"/>
        <w:ind w:left="1380"/>
        <w:spacing w:after="0" w:line="257" w:lineRule="auto"/>
        <w:rPr>
          <w:sz w:val="20"/>
          <w:szCs w:val="20"/>
          <w:color w:val="auto"/>
        </w:rPr>
      </w:pPr>
      <w:r>
        <w:rPr>
          <w:rFonts w:ascii="Times New Roman" w:cs="Times New Roman" w:eastAsia="Times New Roman" w:hAnsi="Times New Roman"/>
          <w:sz w:val="22"/>
          <w:szCs w:val="22"/>
          <w:color w:val="auto"/>
        </w:rPr>
        <w:t>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w:t>
      </w:r>
    </w:p>
    <w:p>
      <w:pPr>
        <w:spacing w:after="0" w:line="78" w:lineRule="exact"/>
        <w:rPr>
          <w:sz w:val="20"/>
          <w:szCs w:val="20"/>
          <w:color w:val="auto"/>
        </w:rPr>
      </w:pPr>
    </w:p>
    <w:p>
      <w:pPr>
        <w:jc w:val="both"/>
        <w:ind w:left="1380" w:hanging="426"/>
        <w:spacing w:after="0" w:line="250" w:lineRule="auto"/>
        <w:tabs>
          <w:tab w:leader="none" w:pos="13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Armstrong acknowledges and agrees that (i) the confidentiality and non-disclosure obligations set forth in Section 6 of the Original Agreement are incorporated herein by reference and shall remain in full force and effect during the Term and for a period of five years following the Termination Date and (ii) any information or materials provided by the Fundamentals Group to Armstrong pursuant to Section 5(a) above shall constitute “confidential information” obtained by Armstrong that is subject to such confidentiality and non-disclosure obligation (including the exceptions therefrom set forth in the proviso clause of Section 6 of the Original Agreement) until the fifth anniversary of the Termination Date.</w:t>
      </w:r>
    </w:p>
    <w:p>
      <w:pPr>
        <w:spacing w:after="0" w:line="207" w:lineRule="exact"/>
        <w:rPr>
          <w:rFonts w:ascii="Times New Roman" w:cs="Times New Roman" w:eastAsia="Times New Roman" w:hAnsi="Times New Roman"/>
          <w:sz w:val="22"/>
          <w:szCs w:val="22"/>
          <w:color w:val="auto"/>
        </w:rPr>
      </w:pPr>
    </w:p>
    <w:p>
      <w:pPr>
        <w:jc w:val="both"/>
        <w:ind w:left="920" w:hanging="912"/>
        <w:spacing w:after="0" w:line="262" w:lineRule="auto"/>
        <w:tabs>
          <w:tab w:leader="none" w:pos="9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 with Litigation.</w:t>
      </w:r>
      <w:r>
        <w:rPr>
          <w:rFonts w:ascii="Times New Roman" w:cs="Times New Roman" w:eastAsia="Times New Roman" w:hAnsi="Times New Roman"/>
          <w:sz w:val="21"/>
          <w:szCs w:val="21"/>
          <w:color w:val="auto"/>
        </w:rPr>
        <w:t xml:space="preserve"> Armstrong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w:t>
      </w:r>
    </w:p>
    <w:p>
      <w:pPr>
        <w:spacing w:after="0" w:line="199" w:lineRule="exact"/>
        <w:rPr>
          <w:rFonts w:ascii="Times New Roman" w:cs="Times New Roman" w:eastAsia="Times New Roman" w:hAnsi="Times New Roman"/>
          <w:sz w:val="21"/>
          <w:szCs w:val="21"/>
          <w:color w:val="auto"/>
        </w:rPr>
      </w:pPr>
    </w:p>
    <w:p>
      <w:pPr>
        <w:jc w:val="both"/>
        <w:ind w:left="920" w:hanging="912"/>
        <w:spacing w:after="0" w:line="253" w:lineRule="auto"/>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Payments</w:t>
      </w:r>
      <w:r>
        <w:rPr>
          <w:rFonts w:ascii="Times New Roman" w:cs="Times New Roman" w:eastAsia="Times New Roman" w:hAnsi="Times New Roman"/>
          <w:sz w:val="22"/>
          <w:szCs w:val="22"/>
          <w:color w:val="auto"/>
        </w:rPr>
        <w:t>.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w:t>
      </w:r>
    </w:p>
    <w:p>
      <w:pPr>
        <w:spacing w:after="0" w:line="205" w:lineRule="exact"/>
        <w:rPr>
          <w:rFonts w:ascii="Times New Roman" w:cs="Times New Roman" w:eastAsia="Times New Roman" w:hAnsi="Times New Roman"/>
          <w:sz w:val="22"/>
          <w:szCs w:val="22"/>
          <w:color w:val="auto"/>
        </w:rPr>
      </w:pPr>
    </w:p>
    <w:p>
      <w:pPr>
        <w:jc w:val="both"/>
        <w:ind w:left="920" w:hanging="912"/>
        <w:spacing w:after="0" w:line="251" w:lineRule="auto"/>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Governing Law; Jurisdiction</w:t>
      </w:r>
      <w:r>
        <w:rPr>
          <w:rFonts w:ascii="Times New Roman" w:cs="Times New Roman" w:eastAsia="Times New Roman" w:hAnsi="Times New Roman"/>
          <w:sz w:val="22"/>
          <w:szCs w:val="22"/>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1" w:name="page72"/>
    <w:bookmarkEnd w:id="71"/>
    <w:p>
      <w:pPr>
        <w:jc w:val="both"/>
        <w:ind w:left="920" w:hanging="912"/>
        <w:spacing w:after="0" w:line="247" w:lineRule="auto"/>
        <w:tabs>
          <w:tab w:leader="none" w:pos="9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202" w:lineRule="exact"/>
        <w:rPr>
          <w:rFonts w:ascii="Times New Roman" w:cs="Times New Roman" w:eastAsia="Times New Roman" w:hAnsi="Times New Roman"/>
          <w:sz w:val="22"/>
          <w:szCs w:val="22"/>
          <w:color w:val="auto"/>
        </w:rPr>
      </w:pPr>
    </w:p>
    <w:p>
      <w:pPr>
        <w:jc w:val="both"/>
        <w:ind w:left="920" w:hanging="912"/>
        <w:spacing w:after="0" w:line="257" w:lineRule="auto"/>
        <w:tabs>
          <w:tab w:leader="none" w:pos="9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333 Clay Street, Suite 1600</w:t>
      </w:r>
    </w:p>
    <w:p>
      <w:pPr>
        <w:spacing w:after="0" w:line="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Jim Tillis, VP - Human Resources</w:t>
      </w:r>
    </w:p>
    <w:p>
      <w:pPr>
        <w:spacing w:after="0" w:line="6" w:lineRule="exact"/>
        <w:rPr>
          <w:sz w:val="20"/>
          <w:szCs w:val="20"/>
          <w:color w:val="auto"/>
        </w:rPr>
      </w:pPr>
    </w:p>
    <w:p>
      <w:pPr>
        <w:ind w:left="1960"/>
        <w:spacing w:after="0"/>
        <w:tabs>
          <w:tab w:leader="none" w:pos="300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713-646-4173</w:t>
      </w:r>
    </w:p>
    <w:p>
      <w:pPr>
        <w:spacing w:after="0" w:line="6"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19"/>
          <w:szCs w:val="19"/>
          <w:color w:val="auto"/>
        </w:rPr>
        <w:t>713-646-4641</w:t>
      </w:r>
    </w:p>
    <w:p>
      <w:pPr>
        <w:spacing w:after="0" w:line="6" w:lineRule="exact"/>
        <w:rPr>
          <w:sz w:val="20"/>
          <w:szCs w:val="20"/>
          <w:color w:val="auto"/>
        </w:rPr>
      </w:pPr>
    </w:p>
    <w:p>
      <w:pPr>
        <w:ind w:left="1960"/>
        <w:spacing w:after="0"/>
        <w:tabs>
          <w:tab w:leader="none" w:pos="29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jim.tillis@plains.com</w:t>
      </w:r>
    </w:p>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333 Clay Street, Suite 1600</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Richard K. McGee, General Counsel</w:t>
      </w:r>
    </w:p>
    <w:p>
      <w:pPr>
        <w:spacing w:after="0" w:line="13" w:lineRule="exact"/>
        <w:rPr>
          <w:sz w:val="20"/>
          <w:szCs w:val="20"/>
          <w:color w:val="auto"/>
        </w:rPr>
      </w:pPr>
    </w:p>
    <w:p>
      <w:pPr>
        <w:ind w:left="1960"/>
        <w:spacing w:after="0"/>
        <w:tabs>
          <w:tab w:leader="none" w:pos="300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713-652-3655</w:t>
      </w:r>
    </w:p>
    <w:p>
      <w:pPr>
        <w:spacing w:after="0" w:line="6" w:lineRule="exact"/>
        <w:rPr>
          <w:sz w:val="20"/>
          <w:szCs w:val="20"/>
          <w:color w:val="auto"/>
        </w:rPr>
      </w:pPr>
    </w:p>
    <w:p>
      <w:pPr>
        <w:ind w:left="1960"/>
        <w:spacing w:after="0"/>
        <w:tabs>
          <w:tab w:leader="none" w:pos="29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Richard.mcgee@plains.com</w:t>
      </w:r>
    </w:p>
    <w:p>
      <w:pPr>
        <w:spacing w:after="0" w:line="6" w:lineRule="exact"/>
        <w:rPr>
          <w:sz w:val="20"/>
          <w:szCs w:val="20"/>
          <w:color w:val="auto"/>
        </w:rPr>
      </w:pPr>
    </w:p>
    <w:p>
      <w:pPr>
        <w:ind w:left="1960"/>
        <w:spacing w:after="0"/>
        <w:tabs>
          <w:tab w:leader="none" w:pos="334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corplegalnotices@plains.com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72" w:name="page73"/>
    <w:bookmarkEnd w:id="72"/>
    <w:p>
      <w:pPr>
        <w:ind w:left="1292"/>
        <w:spacing w:after="0"/>
        <w:rPr>
          <w:sz w:val="20"/>
          <w:szCs w:val="20"/>
          <w:color w:val="auto"/>
        </w:rPr>
      </w:pPr>
      <w:r>
        <w:rPr>
          <w:rFonts w:ascii="Times New Roman" w:cs="Times New Roman" w:eastAsia="Times New Roman" w:hAnsi="Times New Roman"/>
          <w:sz w:val="22"/>
          <w:szCs w:val="22"/>
          <w:color w:val="auto"/>
        </w:rPr>
        <w:t>If to the Employee:</w:t>
      </w:r>
    </w:p>
    <w:p>
      <w:pPr>
        <w:spacing w:after="0" w:line="21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20"/>
          <w:szCs w:val="20"/>
          <w:color w:val="auto"/>
        </w:rPr>
        <w:t>Greg L. Armstrong</w:t>
      </w:r>
    </w:p>
    <w:p>
      <w:pPr>
        <w:spacing w:after="0" w:line="28"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[address]</w:t>
      </w:r>
    </w:p>
    <w:p>
      <w:pPr>
        <w:spacing w:after="0" w:line="6" w:lineRule="exact"/>
        <w:rPr>
          <w:sz w:val="20"/>
          <w:szCs w:val="20"/>
          <w:color w:val="auto"/>
        </w:rPr>
      </w:pPr>
    </w:p>
    <w:p>
      <w:pPr>
        <w:ind w:left="1952"/>
        <w:spacing w:after="0"/>
        <w:tabs>
          <w:tab w:leader="none" w:pos="2992"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[phone]</w:t>
      </w:r>
    </w:p>
    <w:p>
      <w:pPr>
        <w:spacing w:after="0" w:line="6" w:lineRule="exact"/>
        <w:rPr>
          <w:sz w:val="20"/>
          <w:szCs w:val="20"/>
          <w:color w:val="auto"/>
        </w:rPr>
      </w:pPr>
    </w:p>
    <w:p>
      <w:pPr>
        <w:ind w:left="1952"/>
        <w:spacing w:after="0"/>
        <w:tabs>
          <w:tab w:leader="none" w:pos="2852"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greg.armstrong@plains.com</w:t>
      </w:r>
    </w:p>
    <w:p>
      <w:pPr>
        <w:spacing w:after="0" w:line="250" w:lineRule="exact"/>
        <w:rPr>
          <w:sz w:val="20"/>
          <w:szCs w:val="20"/>
          <w:color w:val="auto"/>
        </w:rPr>
      </w:pPr>
    </w:p>
    <w:p>
      <w:pPr>
        <w:ind w:left="912" w:hanging="912"/>
        <w:spacing w:after="0" w:line="271" w:lineRule="auto"/>
        <w:tabs>
          <w:tab w:leader="none" w:pos="5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32"/>
          </w:cols>
          <w:pgMar w:left="328" w:top="142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Effective Date.</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Greg L. Armstrong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PLAINS ALL AMERICAN GP LLC</w:t>
      </w:r>
    </w:p>
    <w:p>
      <w:pPr>
        <w:spacing w:after="0" w:line="200" w:lineRule="exact"/>
        <w:rPr>
          <w:sz w:val="20"/>
          <w:szCs w:val="20"/>
          <w:color w:val="auto"/>
        </w:rPr>
      </w:pPr>
    </w:p>
    <w:p>
      <w:pPr>
        <w:spacing w:after="0" w:line="301"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Richard McGee</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200" w:lineRule="exact"/>
        <w:rPr>
          <w:sz w:val="20"/>
          <w:szCs w:val="20"/>
          <w:color w:val="auto"/>
        </w:rPr>
      </w:pPr>
    </w:p>
    <w:p>
      <w:pPr>
        <w:spacing w:after="0" w:line="25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479"/>
          </w:cols>
          <w:pgMar w:left="980" w:top="1422" w:right="1440"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Employment Agreement (“Agreement”), effective as of the date specified in Section 1 below, is by and between Plains All American GP LLC (the “Company”) and Harry N. Pefanis (“Pefanis” or the “Employee”). The Company and the Employee are at times referred to collectively as “the Parties.” For purposes of this Agreement, the term “Company Group” means Plains GP Holdings, L.P. (“PAGP”), PAA GP Holdings LLC (“GP Holdings”), the Company and all of the entities over which the Company has or exercises direct or indirect control, including Plains All American Pipeline, L.P. and its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Pefanis is currently President of the Company and has served as an officer of the Company and its predecessors for over 25 years;</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WHEREAS, Pefanis and the Company are parties to that certain Amended and Restated Employment Agreement dated as of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June, 2001, as modified by Waiver Agreements dated August 12, 2005, December 23, 2010 and October 21, 2013 and by Amendments dated December 4, 2008 and August 15, 2019 (as modified and amended, the “Prior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in connection with his planned retirement and as approved by the Board of Directors of GP Holdings (the “Board”) in connection with the Company’s long-term succession plan, effective as set forth herein Pefanis intends to (i) resign from his position as President of the Company and from any other positions he currently holds as an officer of any entities that are a part of the Company Group, and (ii) continue his employment with the Company as a Senior Advisor to the Chief Executive Officer (“CEO”) of the Company;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Prior Agreement will terminate upon the resignation of Pefanis as President; and</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Company and Pefanis desire to enter into this Agreement, which sets forth their mutual agreement and understanding related to the continued employment of Pefanis and certain related matters as set forth 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and conditions herein contained, the Parties agree as follows:</w:t>
      </w:r>
    </w:p>
    <w:p>
      <w:pPr>
        <w:spacing w:after="0" w:line="247" w:lineRule="exact"/>
        <w:rPr>
          <w:sz w:val="20"/>
          <w:szCs w:val="20"/>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Prior Agreement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1380" w:hanging="424"/>
        <w:spacing w:after="0" w:line="256" w:lineRule="auto"/>
        <w:tabs>
          <w:tab w:leader="none" w:pos="137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June 1, 2025 (the “Effective Date”) and subject to the terms hereof, Pefanis hereby (i) resigns his position as President of the Company and as an officer of all other entities that are part of the Company Group, and (ii) continues his employment with the Company as a Senior Advisor to the CEO. During the Term (as defined below), Pefanis agrees to devote such time and energy as may</w:t>
      </w:r>
    </w:p>
    <w:p>
      <w:pPr>
        <w:sectPr>
          <w:pgSz w:w="11900" w:h="16838" w:orient="portrait"/>
          <w:cols w:equalWidth="0" w:num="1">
            <w:col w:w="11240"/>
          </w:cols>
          <w:pgMar w:left="320" w:top="122" w:right="339" w:bottom="1440" w:gutter="0" w:footer="0" w:header="0"/>
        </w:sectPr>
      </w:pPr>
    </w:p>
    <w:bookmarkStart w:id="75" w:name="page76"/>
    <w:bookmarkEnd w:id="75"/>
    <w:p>
      <w:pPr>
        <w:ind w:left="1380"/>
        <w:spacing w:after="0"/>
        <w:rPr>
          <w:sz w:val="20"/>
          <w:szCs w:val="20"/>
          <w:color w:val="auto"/>
        </w:rPr>
      </w:pPr>
      <w:r>
        <w:rPr>
          <w:rFonts w:ascii="Times New Roman" w:cs="Times New Roman" w:eastAsia="Times New Roman" w:hAnsi="Times New Roman"/>
          <w:sz w:val="22"/>
          <w:szCs w:val="22"/>
          <w:color w:val="auto"/>
        </w:rPr>
        <w:t>be reasonably necessary to perform the duties and responsibilities requested by the CEO of the Company.</w:t>
      </w:r>
    </w:p>
    <w:p>
      <w:pPr>
        <w:spacing w:after="0" w:line="247" w:lineRule="exact"/>
        <w:rPr>
          <w:sz w:val="20"/>
          <w:szCs w:val="20"/>
          <w:color w:val="auto"/>
        </w:rPr>
      </w:pPr>
    </w:p>
    <w:p>
      <w:pPr>
        <w:jc w:val="both"/>
        <w:ind w:left="1380" w:hanging="424"/>
        <w:spacing w:after="0" w:line="263" w:lineRule="auto"/>
        <w:tabs>
          <w:tab w:leader="none" w:pos="137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the Prior Agreement shall terminate upon the Effective Date and be of no further force and effect, and that this Agreement shall govern the duties, obligations and rights of the Parties with respect to Pefanis’ employment by the Company from and after June 1, 2025.</w:t>
      </w:r>
    </w:p>
    <w:p>
      <w:pPr>
        <w:spacing w:after="0" w:line="194" w:lineRule="exact"/>
        <w:rPr>
          <w:rFonts w:ascii="Times New Roman" w:cs="Times New Roman" w:eastAsia="Times New Roman" w:hAnsi="Times New Roman"/>
          <w:sz w:val="22"/>
          <w:szCs w:val="22"/>
          <w:color w:val="auto"/>
        </w:rPr>
      </w:pPr>
    </w:p>
    <w:p>
      <w:pPr>
        <w:jc w:val="both"/>
        <w:ind w:left="920" w:hanging="912"/>
        <w:spacing w:after="0" w:line="248" w:lineRule="auto"/>
        <w:tabs>
          <w:tab w:leader="none" w:pos="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Pefanis’ employment with the Company pursuant to this Agreement (the “Term”) will commence on June 1, 2025 and will terminate on the date of the PAGP 2028 Annual Meeting; provided, however, that (a) Pefanis may terminate his employment with the Company as of any date prior to the date of the PAGP 2028 Annual Meeting by giving written notice to the Company at least two weeks prior to the effective date of such termination, (b) at the direction of the Board, the Company may terminate Pefanis’ employment with the Company as of any date prior to the date of the PAGP 2028 Annual Meeting by giving written notice to Pefanis at least two weeks prior to the effective date of such termination, and (c) Pefanis’ employment relationship with the Company shall automatically terminate in the event of his death. The date as of which the employment relationship terminates shall constitute the “Termination Date” for purposes hereof.</w:t>
      </w:r>
    </w:p>
    <w:p>
      <w:pPr>
        <w:spacing w:after="0" w:line="212"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1380" w:hanging="400"/>
        <w:spacing w:after="0" w:line="250" w:lineRule="auto"/>
        <w:tabs>
          <w:tab w:leader="none" w:pos="1377"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June 1, 2025, Pefanis shall be paid a monthly salary that equates with an annual payment of $325,000, payable semi-monthly in cash for so long as Pefanis is employed by the Company under the terms of this Agreement. During the Term, Pefanis shall remain eligible to participate in all employee benefit plans generally available to employees of the Company (including, without limitation, all health and medical benefit plans).</w:t>
      </w:r>
    </w:p>
    <w:p>
      <w:pPr>
        <w:spacing w:after="0" w:line="221" w:lineRule="exact"/>
        <w:rPr>
          <w:rFonts w:ascii="Times New Roman" w:cs="Times New Roman" w:eastAsia="Times New Roman" w:hAnsi="Times New Roman"/>
          <w:sz w:val="22"/>
          <w:szCs w:val="22"/>
          <w:color w:val="auto"/>
        </w:rPr>
      </w:pPr>
    </w:p>
    <w:p>
      <w:pPr>
        <w:jc w:val="both"/>
        <w:ind w:left="1380" w:hanging="400"/>
        <w:spacing w:after="0" w:line="250" w:lineRule="auto"/>
        <w:tabs>
          <w:tab w:leader="none" w:pos="1375"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Pefanis will be entitled to receive prompt reimbursement for all reasonable expenses, including travel and entertainment expenses, incurred by him during the Term in connection with (i) his service as Senior Advisor to the CEO as contemplated hereunder, (ii) his prior service as President of the Company pursuant to the Prior Agreement, and (iii) the provision by Pefanis of any assistance with litigation or investigations as contemplated by Section 6 hereof; it being specifically agreed that such reimbursement obligation shall cover and include any costs or expenses incurred by Pefanis for private aviation services associated with travel on Company related business.</w:t>
      </w:r>
    </w:p>
    <w:p>
      <w:pPr>
        <w:spacing w:after="0" w:line="72" w:lineRule="exact"/>
        <w:rPr>
          <w:rFonts w:ascii="Times New Roman" w:cs="Times New Roman" w:eastAsia="Times New Roman" w:hAnsi="Times New Roman"/>
          <w:sz w:val="22"/>
          <w:szCs w:val="22"/>
          <w:color w:val="auto"/>
        </w:rPr>
      </w:pPr>
    </w:p>
    <w:p>
      <w:pPr>
        <w:jc w:val="both"/>
        <w:ind w:left="1380" w:hanging="400"/>
        <w:spacing w:after="0" w:line="252" w:lineRule="auto"/>
        <w:tabs>
          <w:tab w:leader="none" w:pos="1377"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Pefanis with a private office, parking space, electronic equipment, administrative support and such other facilities and services as reasonably necessary for Pefanis to adequately and efficiently perform services hereunder and that are comparable to similar services, support and facilities provided to Pefanis under the Prior Agreement; provided, however,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6" w:name="page77"/>
    <w:bookmarkEnd w:id="76"/>
    <w:p>
      <w:pPr>
        <w:spacing w:after="0" w:line="90" w:lineRule="exact"/>
        <w:rPr>
          <w:sz w:val="20"/>
          <w:szCs w:val="20"/>
          <w:color w:val="auto"/>
        </w:rPr>
      </w:pPr>
    </w:p>
    <w:p>
      <w:pPr>
        <w:jc w:val="both"/>
        <w:ind w:left="1380"/>
        <w:spacing w:after="0" w:line="251" w:lineRule="auto"/>
        <w:rPr>
          <w:sz w:val="20"/>
          <w:szCs w:val="20"/>
          <w:color w:val="auto"/>
        </w:rPr>
      </w:pPr>
      <w:r>
        <w:rPr>
          <w:rFonts w:ascii="Times New Roman" w:cs="Times New Roman" w:eastAsia="Times New Roman" w:hAnsi="Times New Roman"/>
          <w:sz w:val="22"/>
          <w:szCs w:val="22"/>
          <w:color w:val="auto"/>
        </w:rPr>
        <w:t>it is understood and agreed that the Company shall not be obligated to provide dedicated administrative support to Pefanis, but will provide non-dedicated administrative support to Pefanis as needed in connection with the performance of his duties hereunder. Within 30 days following the expiration of the Term, Pefanis shall return all keys, access badges and Company credit cards to the Company; provided, however, that Pefanis shall be entitled to retain any computers, iPhones, iPads, printers, monitors and similar Company issued equipment used by him in connection with this employment (with Company data and software to be removed by the Company).</w:t>
      </w:r>
    </w:p>
    <w:p>
      <w:pPr>
        <w:spacing w:after="0" w:line="208" w:lineRule="exact"/>
        <w:rPr>
          <w:sz w:val="20"/>
          <w:szCs w:val="20"/>
          <w:color w:val="auto"/>
        </w:rPr>
      </w:pPr>
    </w:p>
    <w:p>
      <w:pPr>
        <w:jc w:val="both"/>
        <w:ind w:left="920" w:hanging="912"/>
        <w:spacing w:after="0" w:line="256"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Notwithstanding anything herein to the contrary, Pefanis shall remain a full beneficiary with respect to any obligation of any member of the Company Group (as such obligation exists as of the Effective Date with respect to active officers and employees of such member) to indemnify, keep well and hold harmless or similarly protect Pefanis against third-party claims.</w:t>
      </w:r>
    </w:p>
    <w:p>
      <w:pPr>
        <w:spacing w:after="0" w:line="203" w:lineRule="exact"/>
        <w:rPr>
          <w:rFonts w:ascii="Times New Roman" w:cs="Times New Roman" w:eastAsia="Times New Roman" w:hAnsi="Times New Roman"/>
          <w:sz w:val="22"/>
          <w:szCs w:val="22"/>
          <w:color w:val="auto"/>
        </w:rPr>
      </w:pPr>
    </w:p>
    <w:p>
      <w:pPr>
        <w:jc w:val="both"/>
        <w:ind w:left="920" w:hanging="912"/>
        <w:spacing w:after="0" w:line="257"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Obligations.</w:t>
      </w:r>
      <w:r>
        <w:rPr>
          <w:rFonts w:ascii="Times New Roman" w:cs="Times New Roman" w:eastAsia="Times New Roman" w:hAnsi="Times New Roman"/>
          <w:sz w:val="22"/>
          <w:szCs w:val="22"/>
          <w:color w:val="auto"/>
        </w:rPr>
        <w:t xml:space="preserve"> Pefanis acknowledges and agrees that the confidentiality and non-disclosure obligations set forth in Section 6 of the Prior Agreement are incorporated herein by reference and shall remain in full force and effect during the Term and for a period of one year following the Termination Date.</w:t>
      </w:r>
    </w:p>
    <w:p>
      <w:pPr>
        <w:spacing w:after="0" w:line="199" w:lineRule="exact"/>
        <w:rPr>
          <w:rFonts w:ascii="Times New Roman" w:cs="Times New Roman" w:eastAsia="Times New Roman" w:hAnsi="Times New Roman"/>
          <w:sz w:val="22"/>
          <w:szCs w:val="22"/>
          <w:color w:val="auto"/>
        </w:rPr>
      </w:pPr>
    </w:p>
    <w:p>
      <w:pPr>
        <w:jc w:val="both"/>
        <w:ind w:left="920" w:hanging="912"/>
        <w:spacing w:after="0" w:line="250"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with Litigation.</w:t>
      </w:r>
      <w:r>
        <w:rPr>
          <w:rFonts w:ascii="Times New Roman" w:cs="Times New Roman" w:eastAsia="Times New Roman" w:hAnsi="Times New Roman"/>
          <w:sz w:val="22"/>
          <w:szCs w:val="22"/>
          <w:color w:val="auto"/>
        </w:rPr>
        <w:t xml:space="preserve"> Pefanis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Pefanis. The Parties agree that Pefanis shall render the first 50 hours of assistance pursuant to this Section 6 in exchange for the consideration described in Section 3 hereof; provided, however, that with respect to any assistance provided by Pefanis pursuant to this Section 6 in excess of 50 hours, the Company and Pefanis shall agree upon reasonable and appropriate consideration to be paid by the Company to Pefanis.</w:t>
      </w:r>
    </w:p>
    <w:p>
      <w:pPr>
        <w:spacing w:after="0" w:line="213" w:lineRule="exact"/>
        <w:rPr>
          <w:rFonts w:ascii="Times New Roman" w:cs="Times New Roman" w:eastAsia="Times New Roman" w:hAnsi="Times New Roman"/>
          <w:sz w:val="22"/>
          <w:szCs w:val="22"/>
          <w:color w:val="auto"/>
        </w:rPr>
      </w:pPr>
    </w:p>
    <w:p>
      <w:pPr>
        <w:jc w:val="both"/>
        <w:ind w:left="920" w:hanging="912"/>
        <w:spacing w:after="0" w:line="253"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Payments</w:t>
      </w:r>
      <w:r>
        <w:rPr>
          <w:rFonts w:ascii="Times New Roman" w:cs="Times New Roman" w:eastAsia="Times New Roman" w:hAnsi="Times New Roman"/>
          <w:sz w:val="22"/>
          <w:szCs w:val="22"/>
          <w:color w:val="auto"/>
        </w:rPr>
        <w:t>. The Company will, after the Termination Date, reimburse Pefanis for all costs of maintaining health insurance benefits for Pefanis and his family under, and for the maximum time period allowed by, COBRA at such time; provided, however, that such reimbursement obligation shall not extend beyond the first to occur of (i) the first date on which both Pefanis and his spouse become eligible to receive benefits under Medicare, or (ii) the date that is 18 months following the Termination Date.</w:t>
      </w:r>
    </w:p>
    <w:p>
      <w:pPr>
        <w:spacing w:after="0" w:line="205" w:lineRule="exact"/>
        <w:rPr>
          <w:rFonts w:ascii="Times New Roman" w:cs="Times New Roman" w:eastAsia="Times New Roman" w:hAnsi="Times New Roman"/>
          <w:sz w:val="22"/>
          <w:szCs w:val="22"/>
          <w:color w:val="auto"/>
        </w:rPr>
      </w:pPr>
    </w:p>
    <w:p>
      <w:pPr>
        <w:jc w:val="both"/>
        <w:ind w:left="920" w:hanging="912"/>
        <w:spacing w:after="0" w:line="257"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Governing Law; Jurisdiction</w:t>
      </w:r>
      <w:r>
        <w:rPr>
          <w:rFonts w:ascii="Times New Roman" w:cs="Times New Roman" w:eastAsia="Times New Roman" w:hAnsi="Times New Roman"/>
          <w:sz w:val="22"/>
          <w:szCs w:val="22"/>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7" w:name="page78"/>
    <w:bookmarkEnd w:id="77"/>
    <w:p>
      <w:pPr>
        <w:jc w:val="both"/>
        <w:ind w:left="920"/>
        <w:spacing w:after="0" w:line="257" w:lineRule="auto"/>
        <w:rPr>
          <w:sz w:val="20"/>
          <w:szCs w:val="20"/>
          <w:color w:val="auto"/>
        </w:rPr>
      </w:pPr>
      <w:r>
        <w:rPr>
          <w:rFonts w:ascii="Times New Roman" w:cs="Times New Roman" w:eastAsia="Times New Roman" w:hAnsi="Times New Roman"/>
          <w:sz w:val="22"/>
          <w:szCs w:val="22"/>
          <w:color w:val="auto"/>
        </w:rPr>
        <w:t>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186" w:lineRule="exact"/>
        <w:rPr>
          <w:sz w:val="20"/>
          <w:szCs w:val="20"/>
          <w:color w:val="auto"/>
        </w:rPr>
      </w:pPr>
    </w:p>
    <w:p>
      <w:pPr>
        <w:jc w:val="both"/>
        <w:ind w:left="920" w:hanging="912"/>
        <w:spacing w:after="0" w:line="247" w:lineRule="auto"/>
        <w:tabs>
          <w:tab w:leader="none" w:pos="9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189" w:lineRule="exact"/>
        <w:rPr>
          <w:rFonts w:ascii="Times New Roman" w:cs="Times New Roman" w:eastAsia="Times New Roman" w:hAnsi="Times New Roman"/>
          <w:sz w:val="22"/>
          <w:szCs w:val="22"/>
          <w:color w:val="auto"/>
        </w:rPr>
      </w:pPr>
    </w:p>
    <w:p>
      <w:pPr>
        <w:jc w:val="both"/>
        <w:ind w:left="920" w:hanging="912"/>
        <w:spacing w:after="0" w:line="263" w:lineRule="auto"/>
        <w:tabs>
          <w:tab w:leader="none" w:pos="9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333 Clay Street, Suite 1600</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Jim Tillis, VP - Human Resources</w:t>
      </w:r>
    </w:p>
    <w:p>
      <w:pPr>
        <w:spacing w:after="0" w:line="6" w:lineRule="exact"/>
        <w:rPr>
          <w:sz w:val="20"/>
          <w:szCs w:val="20"/>
          <w:color w:val="auto"/>
        </w:rPr>
      </w:pPr>
    </w:p>
    <w:p>
      <w:pPr>
        <w:ind w:left="1960"/>
        <w:spacing w:after="0"/>
        <w:tabs>
          <w:tab w:leader="none" w:pos="300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713-646-4173</w:t>
      </w:r>
    </w:p>
    <w:p>
      <w:pPr>
        <w:spacing w:after="0" w:line="6"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20"/>
          <w:szCs w:val="20"/>
          <w:color w:val="auto"/>
        </w:rPr>
        <w:t>Facsimile:</w:t>
      </w:r>
      <w:r>
        <w:rPr>
          <w:sz w:val="20"/>
          <w:szCs w:val="20"/>
          <w:color w:val="auto"/>
        </w:rPr>
        <w:tab/>
      </w:r>
      <w:r>
        <w:rPr>
          <w:rFonts w:ascii="Times New Roman" w:cs="Times New Roman" w:eastAsia="Times New Roman" w:hAnsi="Times New Roman"/>
          <w:sz w:val="19"/>
          <w:szCs w:val="19"/>
          <w:color w:val="auto"/>
        </w:rPr>
        <w:t>713-646-4641</w:t>
      </w:r>
    </w:p>
    <w:p>
      <w:pPr>
        <w:spacing w:after="0" w:line="13" w:lineRule="exact"/>
        <w:rPr>
          <w:sz w:val="20"/>
          <w:szCs w:val="20"/>
          <w:color w:val="auto"/>
        </w:rPr>
      </w:pPr>
    </w:p>
    <w:p>
      <w:pPr>
        <w:ind w:left="1960"/>
        <w:spacing w:after="0"/>
        <w:tabs>
          <w:tab w:leader="none" w:pos="292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jim.tillis@plains.com</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Plains All American GP LLC</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333 Clay Street, Suite 1600</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Richard K. McGee, General Counsel</w:t>
      </w:r>
    </w:p>
    <w:p>
      <w:pPr>
        <w:spacing w:after="0" w:line="6" w:lineRule="exact"/>
        <w:rPr>
          <w:sz w:val="20"/>
          <w:szCs w:val="20"/>
          <w:color w:val="auto"/>
        </w:rPr>
      </w:pPr>
    </w:p>
    <w:p>
      <w:pPr>
        <w:ind w:left="1960"/>
        <w:spacing w:after="0"/>
        <w:tabs>
          <w:tab w:leader="none" w:pos="300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713-652-3655</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8" w:name="page79"/>
    <w:bookmarkEnd w:id="78"/>
    <w:p>
      <w:pPr>
        <w:ind w:left="1952"/>
        <w:spacing w:after="0"/>
        <w:tabs>
          <w:tab w:leader="none" w:pos="2912"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Richard.mcgee@plains.com</w:t>
      </w:r>
    </w:p>
    <w:p>
      <w:pPr>
        <w:spacing w:after="0" w:line="28" w:lineRule="exact"/>
        <w:rPr>
          <w:sz w:val="20"/>
          <w:szCs w:val="20"/>
          <w:color w:val="auto"/>
        </w:rPr>
      </w:pPr>
    </w:p>
    <w:p>
      <w:pPr>
        <w:ind w:left="1952"/>
        <w:spacing w:after="0"/>
        <w:tabs>
          <w:tab w:leader="none" w:pos="3332"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corplegalnotices@plains.com</w:t>
      </w:r>
    </w:p>
    <w:p>
      <w:pPr>
        <w:spacing w:after="0" w:line="236"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If to the Employee:</w:t>
      </w:r>
    </w:p>
    <w:p>
      <w:pPr>
        <w:spacing w:after="0" w:line="21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20"/>
          <w:szCs w:val="20"/>
          <w:color w:val="auto"/>
        </w:rPr>
        <w:t>Harry N. Pefanis</w:t>
      </w:r>
    </w:p>
    <w:p>
      <w:pPr>
        <w:spacing w:after="0" w:line="28"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0"/>
          <w:szCs w:val="20"/>
          <w:color w:val="auto"/>
        </w:rPr>
        <w:t>[address]</w:t>
      </w:r>
    </w:p>
    <w:p>
      <w:pPr>
        <w:spacing w:after="0" w:line="13" w:lineRule="exact"/>
        <w:rPr>
          <w:sz w:val="20"/>
          <w:szCs w:val="20"/>
          <w:color w:val="auto"/>
        </w:rPr>
      </w:pPr>
    </w:p>
    <w:p>
      <w:pPr>
        <w:ind w:left="1952"/>
        <w:spacing w:after="0"/>
        <w:tabs>
          <w:tab w:leader="none" w:pos="2992"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[phone]</w:t>
      </w:r>
    </w:p>
    <w:p>
      <w:pPr>
        <w:spacing w:after="0" w:line="6" w:lineRule="exact"/>
        <w:rPr>
          <w:sz w:val="20"/>
          <w:szCs w:val="20"/>
          <w:color w:val="auto"/>
        </w:rPr>
      </w:pPr>
    </w:p>
    <w:p>
      <w:pPr>
        <w:ind w:left="1952"/>
        <w:spacing w:after="0"/>
        <w:tabs>
          <w:tab w:leader="none" w:pos="2852"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harry.pefanis@plains.com</w:t>
      </w:r>
    </w:p>
    <w:p>
      <w:pPr>
        <w:spacing w:after="0" w:line="243" w:lineRule="exact"/>
        <w:rPr>
          <w:sz w:val="20"/>
          <w:szCs w:val="20"/>
          <w:color w:val="auto"/>
        </w:rPr>
      </w:pPr>
    </w:p>
    <w:p>
      <w:pPr>
        <w:ind w:left="912" w:hanging="912"/>
        <w:spacing w:after="0" w:line="271" w:lineRule="auto"/>
        <w:tabs>
          <w:tab w:leader="none" w:pos="57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4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Effective Date.</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Harry N. Pefanis</w:t>
      </w: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PLAINS ALL AMERICAN GP LLC</w:t>
      </w:r>
    </w:p>
    <w:p>
      <w:pPr>
        <w:spacing w:after="0" w:line="200" w:lineRule="exact"/>
        <w:rPr>
          <w:sz w:val="20"/>
          <w:szCs w:val="20"/>
          <w:color w:val="auto"/>
        </w:rPr>
      </w:pPr>
    </w:p>
    <w:p>
      <w:pPr>
        <w:spacing w:after="0" w:line="301"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Richard McGee</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479"/>
          </w:cols>
          <w:pgMar w:left="980" w:top="1422" w:right="1440"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13335</wp:posOffset>
            </wp:positionV>
            <wp:extent cx="2588895" cy="779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258889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2025 Regular Annual LTIP Grant</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Officers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14,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3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8" w:lineRule="exact"/>
        <w:rPr>
          <w:sz w:val="20"/>
          <w:szCs w:val="20"/>
          <w:color w:val="auto"/>
        </w:rPr>
      </w:pPr>
    </w:p>
    <w:p>
      <w:pPr>
        <w:jc w:val="both"/>
        <w:ind w:left="1060" w:hanging="404"/>
        <w:spacing w:after="0" w:line="252" w:lineRule="auto"/>
        <w:tabs>
          <w:tab w:leader="none" w:pos="10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ind w:left="1620" w:hanging="316"/>
        <w:spacing w:after="0"/>
        <w:tabs>
          <w:tab w:leader="none" w:pos="16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your Phantom Units (“Tranche 1”) will vest on the August 2028 Distribution Date.</w:t>
      </w:r>
    </w:p>
    <w:p>
      <w:pPr>
        <w:spacing w:after="0" w:line="3" w:lineRule="exact"/>
        <w:rPr>
          <w:rFonts w:ascii="Times New Roman" w:cs="Times New Roman" w:eastAsia="Times New Roman" w:hAnsi="Times New Roman"/>
          <w:sz w:val="22"/>
          <w:szCs w:val="22"/>
          <w:color w:val="auto"/>
        </w:rPr>
      </w:pPr>
    </w:p>
    <w:p>
      <w:pPr>
        <w:ind w:left="1620" w:right="20" w:hanging="316"/>
        <w:spacing w:after="0" w:line="244" w:lineRule="auto"/>
        <w:tabs>
          <w:tab w:leader="none" w:pos="16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2”) will vest pursuant to the terms and conditions described in Exhibit A attached hereto.</w:t>
      </w:r>
    </w:p>
    <w:p>
      <w:pPr>
        <w:ind w:left="1620" w:hanging="316"/>
        <w:spacing w:after="0" w:line="248" w:lineRule="auto"/>
        <w:tabs>
          <w:tab w:leader="none" w:pos="160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3”) will vest pursuant to the terms and conditions described in Exhibit B attached hereto.</w:t>
      </w:r>
    </w:p>
    <w:p>
      <w:pPr>
        <w:spacing w:after="0" w:line="1" w:lineRule="exact"/>
        <w:rPr>
          <w:rFonts w:ascii="Times New Roman" w:cs="Times New Roman" w:eastAsia="Times New Roman" w:hAnsi="Times New Roman"/>
          <w:sz w:val="22"/>
          <w:szCs w:val="22"/>
          <w:color w:val="auto"/>
        </w:rPr>
      </w:pPr>
    </w:p>
    <w:p>
      <w:pPr>
        <w:ind w:left="1620" w:right="20" w:hanging="316"/>
        <w:spacing w:after="0" w:line="248" w:lineRule="auto"/>
        <w:tabs>
          <w:tab w:leader="none" w:pos="16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Tranche 2 or Tranche 3 Phantom Units that are determined not to have vested as of the August 2028 Distribution Date shall expire effective as of such date.</w:t>
      </w:r>
    </w:p>
    <w:p>
      <w:pPr>
        <w:spacing w:after="0" w:line="15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DERs shall vest (become payable in cash) as follows:</w:t>
      </w:r>
    </w:p>
    <w:p>
      <w:pPr>
        <w:spacing w:after="0" w:line="27" w:lineRule="exact"/>
        <w:rPr>
          <w:rFonts w:ascii="Times New Roman" w:cs="Times New Roman" w:eastAsia="Times New Roman" w:hAnsi="Times New Roman"/>
          <w:sz w:val="22"/>
          <w:szCs w:val="22"/>
          <w:color w:val="auto"/>
        </w:rPr>
      </w:pPr>
    </w:p>
    <w:p>
      <w:pPr>
        <w:jc w:val="both"/>
        <w:ind w:left="1620" w:hanging="316"/>
        <w:spacing w:after="0" w:line="245" w:lineRule="auto"/>
        <w:tabs>
          <w:tab w:leader="none" w:pos="160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 1 will begin accruing on the November 2025 Distribution Date and will continue to accrue until the August 2026 Distribution Date, on which date such accrued but unpaid DERs will vest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00080"/>
        </w:rPr>
        <w:t>333 Clay Street, Suite 1600 (77002)</w:t>
      </w:r>
      <w:r>
        <w:rPr>
          <w:sz w:val="20"/>
          <w:szCs w:val="20"/>
          <w:color w:val="auto"/>
        </w:rPr>
        <w:tab/>
      </w:r>
      <w:r>
        <w:rPr>
          <w:rFonts w:ascii="Times New Roman" w:cs="Times New Roman" w:eastAsia="Times New Roman" w:hAnsi="Times New Roman"/>
          <w:sz w:val="17"/>
          <w:szCs w:val="17"/>
          <w:b w:val="1"/>
          <w:bCs w:val="1"/>
          <w:color w:val="000080"/>
        </w:rPr>
        <w:t>■ P.O. Box 4648 ■ Houston, Texas 77210-4648 ■ 713-646-4100</w:t>
      </w:r>
    </w:p>
    <w:p>
      <w:pPr>
        <w:sectPr>
          <w:pgSz w:w="11900" w:h="16838" w:orient="portrait"/>
          <w:cols w:equalWidth="0" w:num="1">
            <w:col w:w="11240"/>
          </w:cols>
          <w:pgMar w:left="320" w:top="12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20"/>
        <w:spacing w:after="0" w:line="254" w:lineRule="auto"/>
        <w:rPr>
          <w:sz w:val="20"/>
          <w:szCs w:val="20"/>
          <w:color w:val="auto"/>
        </w:rPr>
      </w:pPr>
      <w:r>
        <w:rPr>
          <w:rFonts w:ascii="Times New Roman" w:cs="Times New Roman" w:eastAsia="Times New Roman" w:hAnsi="Times New Roman"/>
          <w:sz w:val="22"/>
          <w:szCs w:val="22"/>
          <w:color w:val="auto"/>
        </w:rPr>
        <w:t>be paid in a lump sum. Beginning on the November 2026 Distribution Date, such vested DERs will be paid quarterly until the associated Phantom Units vest or are forfeited pursuant to the terms hereof.</w:t>
      </w:r>
    </w:p>
    <w:p>
      <w:pPr>
        <w:spacing w:after="0" w:line="2" w:lineRule="exact"/>
        <w:rPr>
          <w:sz w:val="20"/>
          <w:szCs w:val="20"/>
          <w:color w:val="auto"/>
        </w:rPr>
      </w:pPr>
    </w:p>
    <w:p>
      <w:pPr>
        <w:jc w:val="both"/>
        <w:ind w:left="1620" w:hanging="316"/>
        <w:spacing w:after="0" w:line="246" w:lineRule="auto"/>
        <w:tabs>
          <w:tab w:leader="none" w:pos="16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Tranches 2 and 3 will begin accruing on the November 2025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2025 Distribution Date. Unless the Phantom Units subject to this award are forfeited or vest prior to the August 2028 Distribution Date pursuant to paragraphs 5, 6, 7 or 8 below, all accrued and unpaid DERs associated with Tranche 2 and Tranche 3 shall be paid on the August 2028 Distribution Date or as soon thereafter as is administratively practicable.</w:t>
      </w:r>
    </w:p>
    <w:p>
      <w:pPr>
        <w:spacing w:after="0" w:line="223" w:lineRule="exact"/>
        <w:rPr>
          <w:rFonts w:ascii="Times New Roman" w:cs="Times New Roman" w:eastAsia="Times New Roman" w:hAnsi="Times New Roman"/>
          <w:sz w:val="22"/>
          <w:szCs w:val="22"/>
          <w:color w:val="auto"/>
        </w:rPr>
      </w:pPr>
    </w:p>
    <w:p>
      <w:pPr>
        <w:jc w:val="both"/>
        <w:ind w:left="1080" w:hanging="424"/>
        <w:spacing w:after="0" w:line="252" w:lineRule="auto"/>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206" w:lineRule="exact"/>
        <w:rPr>
          <w:rFonts w:ascii="Times New Roman" w:cs="Times New Roman" w:eastAsia="Times New Roman" w:hAnsi="Times New Roman"/>
          <w:sz w:val="22"/>
          <w:szCs w:val="22"/>
          <w:color w:val="auto"/>
        </w:rPr>
      </w:pPr>
    </w:p>
    <w:p>
      <w:pPr>
        <w:jc w:val="both"/>
        <w:ind w:left="1080" w:hanging="424"/>
        <w:spacing w:after="0" w:line="263" w:lineRule="auto"/>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9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for any reason (other than in connection with a Change in Status, Retirement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w:t>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2028 Distribution Date (1,096). If the resulting amount includes a fraction, it will be rounded down to the nearest whole number.</w:t>
      </w:r>
    </w:p>
    <w:p>
      <w:pPr>
        <w:spacing w:after="0" w:line="207" w:lineRule="exact"/>
        <w:rPr>
          <w:sz w:val="20"/>
          <w:szCs w:val="20"/>
          <w:color w:val="auto"/>
        </w:rPr>
      </w:pPr>
    </w:p>
    <w:p>
      <w:pPr>
        <w:jc w:val="both"/>
        <w:ind w:left="980" w:hanging="324"/>
        <w:spacing w:after="0" w:line="261"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2" w:lineRule="exact"/>
        <w:rPr>
          <w:rFonts w:ascii="Times New Roman" w:cs="Times New Roman" w:eastAsia="Times New Roman" w:hAnsi="Times New Roman"/>
          <w:sz w:val="21"/>
          <w:szCs w:val="21"/>
          <w:color w:val="auto"/>
        </w:rPr>
      </w:pPr>
    </w:p>
    <w:p>
      <w:pPr>
        <w:jc w:val="both"/>
        <w:ind w:left="980"/>
        <w:spacing w:after="0" w:line="245" w:lineRule="auto"/>
        <w:tabs>
          <w:tab w:leader="none" w:pos="132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12"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(i) all of your then outstanding Phantom Units (which shall be equal to the target number of Phantom Units specified in the first paragraph hereof, except that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980" w:hanging="324"/>
        <w:spacing w:after="0" w:line="262" w:lineRule="auto"/>
        <w:tabs>
          <w:tab w:leader="none" w:pos="9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due to your Retirement,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w:t>
      </w:r>
    </w:p>
    <w:p>
      <w:pPr>
        <w:spacing w:after="0" w:line="199" w:lineRule="exact"/>
        <w:rPr>
          <w:rFonts w:ascii="Times New Roman" w:cs="Times New Roman" w:eastAsia="Times New Roman" w:hAnsi="Times New Roman"/>
          <w:sz w:val="21"/>
          <w:szCs w:val="21"/>
          <w:color w:val="auto"/>
        </w:rPr>
      </w:pPr>
    </w:p>
    <w:p>
      <w:pPr>
        <w:jc w:val="both"/>
        <w:ind w:left="980" w:hanging="324"/>
        <w:spacing w:after="0" w:line="256" w:lineRule="auto"/>
        <w:tabs>
          <w:tab w:leader="none" w:pos="9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 “Retirement” means termination from full-time employment on terms and timing as approved by the CEO (or by the Board in the case of the CEO).</w:t>
      </w:r>
    </w:p>
    <w:p>
      <w:pPr>
        <w:spacing w:after="0" w:line="2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pursuant to</w:t>
      </w:r>
    </w:p>
    <w:p>
      <w:pPr>
        <w:spacing w:after="0" w:line="2" w:lineRule="exact"/>
        <w:rPr>
          <w:sz w:val="20"/>
          <w:szCs w:val="20"/>
          <w:color w:val="auto"/>
        </w:rPr>
      </w:pPr>
    </w:p>
    <w:p>
      <w:pPr>
        <w:jc w:val="both"/>
        <w:ind w:firstLine="8"/>
        <w:spacing w:after="0" w:line="252" w:lineRule="auto"/>
        <w:tabs>
          <w:tab w:leader="none" w:pos="34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185" w:lineRule="exact"/>
        <w:rPr>
          <w:sz w:val="20"/>
          <w:szCs w:val="20"/>
          <w:color w:val="auto"/>
        </w:rPr>
      </w:pPr>
    </w:p>
    <w:p>
      <w:pPr>
        <w:jc w:val="both"/>
        <w:ind w:left="1580" w:hanging="924"/>
        <w:spacing w:after="0" w:line="236" w:lineRule="auto"/>
        <w:tabs>
          <w:tab w:leader="none" w:pos="15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jc w:val="both"/>
        <w:ind w:left="1580" w:hanging="924"/>
        <w:spacing w:after="0" w:line="243" w:lineRule="auto"/>
        <w:tabs>
          <w:tab w:leader="none" w:pos="157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3" w:lineRule="exact"/>
        <w:rPr>
          <w:rFonts w:ascii="Times New Roman" w:cs="Times New Roman" w:eastAsia="Times New Roman" w:hAnsi="Times New Roman"/>
          <w:sz w:val="22"/>
          <w:szCs w:val="22"/>
          <w:color w:val="auto"/>
        </w:rPr>
      </w:pPr>
    </w:p>
    <w:p>
      <w:pPr>
        <w:ind w:left="1580" w:hanging="924"/>
        <w:spacing w:after="0" w:line="248" w:lineRule="auto"/>
        <w:tabs>
          <w:tab w:leader="none" w:pos="156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Times New Roman" w:cs="Times New Roman" w:eastAsia="Times New Roman" w:hAnsi="Times New Roman"/>
          <w:sz w:val="22"/>
          <w:szCs w:val="22"/>
          <w:color w:val="auto"/>
        </w:rPr>
      </w:pPr>
    </w:p>
    <w:p>
      <w:pPr>
        <w:jc w:val="both"/>
        <w:ind w:left="1580" w:hanging="924"/>
        <w:spacing w:after="0" w:line="249" w:lineRule="auto"/>
        <w:tabs>
          <w:tab w:leader="none" w:pos="15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645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7" w:lineRule="exact"/>
        <w:rPr>
          <w:sz w:val="20"/>
          <w:szCs w:val="20"/>
          <w:color w:val="auto"/>
        </w:rPr>
      </w:pPr>
    </w:p>
    <w:p>
      <w:pPr>
        <w:jc w:val="both"/>
        <w:ind w:firstLine="8"/>
        <w:spacing w:after="0" w:line="180" w:lineRule="auto"/>
        <w:tabs>
          <w:tab w:leader="none" w:pos="124"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PAGP GP.</w:t>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565"/>
        <w:spacing w:after="0" w:line="253"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 You also acknowledge and agree that (i) Tranches 2 and 3 of this award constitute Incentive-Based Compensation and Performance-Based Compensation as defined in the Amended and Restated Clawback Policy adopted by PAGP GP on November 16, 2023, as it may be amended from time to time, and (ii) this award, as well as any other performance-based or time-based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«Section 16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ALL AMERICAN GP LLC,</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6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its general partner</w:t>
            </w:r>
          </w:p>
        </w:tc>
        <w:tc>
          <w:tcPr>
            <w:tcW w:w="3580" w:type="dxa"/>
            <w:vAlign w:val="bottom"/>
          </w:tcPr>
          <w:p>
            <w:pPr>
              <w:spacing w:after="0"/>
              <w:rPr>
                <w:sz w:val="24"/>
                <w:szCs w:val="24"/>
                <w:color w:val="auto"/>
              </w:rPr>
            </w:pPr>
          </w:p>
        </w:tc>
      </w:tr>
      <w:tr>
        <w:trPr>
          <w:trHeight w:val="706"/>
        </w:trPr>
        <w:tc>
          <w:tcPr>
            <w:tcW w:w="1040" w:type="dxa"/>
            <w:vAlign w:val="bottom"/>
          </w:tcPr>
          <w:p>
            <w:pPr>
              <w:spacing w:after="0"/>
              <w:rPr>
                <w:sz w:val="24"/>
                <w:szCs w:val="24"/>
                <w:color w:val="auto"/>
              </w:rPr>
            </w:pPr>
          </w:p>
        </w:tc>
        <w:tc>
          <w:tcPr>
            <w:tcW w:w="3280" w:type="dxa"/>
            <w:vAlign w:val="bottom"/>
          </w:tcPr>
          <w:p>
            <w:pPr>
              <w:ind w:left="2860"/>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gridSpan w:val="8"/>
          </w:tcPr>
          <w:p>
            <w:pPr>
              <w:jc w:val="right"/>
              <w:ind w:right="20"/>
              <w:spacing w:after="0"/>
              <w:rPr>
                <w:sz w:val="20"/>
                <w:szCs w:val="20"/>
                <w:color w:val="auto"/>
              </w:rPr>
            </w:pPr>
            <w:r>
              <w:rPr>
                <w:rFonts w:ascii="Times New Roman" w:cs="Times New Roman" w:eastAsia="Times New Roman" w:hAnsi="Times New Roman"/>
                <w:sz w:val="22"/>
                <w:szCs w:val="22"/>
                <w:color w:val="auto"/>
              </w:rPr>
              <w:t>______________________________</w:t>
            </w:r>
          </w:p>
        </w:tc>
        <w:tc>
          <w:tcPr>
            <w:tcW w:w="3580" w:type="dxa"/>
            <w:vAlign w:val="bottom"/>
          </w:tcPr>
          <w:p>
            <w:pPr>
              <w:spacing w:after="0"/>
              <w:rPr>
                <w:sz w:val="24"/>
                <w:szCs w:val="24"/>
                <w:color w:val="auto"/>
              </w:rPr>
            </w:pPr>
          </w:p>
        </w:tc>
      </w:tr>
      <w:tr>
        <w:trPr>
          <w:trHeight w:val="257"/>
        </w:trPr>
        <w:tc>
          <w:tcPr>
            <w:tcW w:w="1040" w:type="dxa"/>
            <w:vAlign w:val="bottom"/>
          </w:tcPr>
          <w:p>
            <w:pPr>
              <w:spacing w:after="0"/>
              <w:rPr>
                <w:sz w:val="22"/>
                <w:szCs w:val="22"/>
                <w:color w:val="auto"/>
              </w:rPr>
            </w:pPr>
          </w:p>
        </w:tc>
        <w:tc>
          <w:tcPr>
            <w:tcW w:w="6640" w:type="dxa"/>
            <w:vAlign w:val="bottom"/>
            <w:gridSpan w:val="9"/>
          </w:tcPr>
          <w:p>
            <w:pPr>
              <w:ind w:left="2860"/>
              <w:spacing w:after="0"/>
              <w:rPr>
                <w:sz w:val="20"/>
                <w:szCs w:val="20"/>
                <w:color w:val="auto"/>
              </w:rPr>
            </w:pPr>
            <w:r>
              <w:rPr>
                <w:rFonts w:ascii="Times New Roman" w:cs="Times New Roman" w:eastAsia="Times New Roman" w:hAnsi="Times New Roman"/>
                <w:sz w:val="22"/>
                <w:szCs w:val="22"/>
                <w:color w:val="auto"/>
              </w:rPr>
              <w:t>Name:  Jim Tillis</w:t>
            </w:r>
          </w:p>
        </w:tc>
        <w:tc>
          <w:tcPr>
            <w:tcW w:w="3580" w:type="dxa"/>
            <w:vAlign w:val="bottom"/>
          </w:tcPr>
          <w:p>
            <w:pPr>
              <w:spacing w:after="0"/>
              <w:rPr>
                <w:sz w:val="22"/>
                <w:szCs w:val="22"/>
                <w:color w:val="auto"/>
              </w:rPr>
            </w:pPr>
          </w:p>
        </w:tc>
      </w:tr>
      <w:tr>
        <w:trPr>
          <w:trHeight w:val="282"/>
        </w:trPr>
        <w:tc>
          <w:tcPr>
            <w:tcW w:w="1040" w:type="dxa"/>
            <w:vAlign w:val="bottom"/>
          </w:tcPr>
          <w:p>
            <w:pPr>
              <w:spacing w:after="0"/>
              <w:rPr>
                <w:sz w:val="24"/>
                <w:szCs w:val="24"/>
                <w:color w:val="auto"/>
              </w:rPr>
            </w:pPr>
          </w:p>
        </w:tc>
        <w:tc>
          <w:tcPr>
            <w:tcW w:w="6640" w:type="dxa"/>
            <w:vAlign w:val="bottom"/>
            <w:gridSpan w:val="9"/>
          </w:tcPr>
          <w:p>
            <w:pPr>
              <w:ind w:left="2860"/>
              <w:spacing w:after="0"/>
              <w:rPr>
                <w:sz w:val="20"/>
                <w:szCs w:val="20"/>
                <w:color w:val="auto"/>
              </w:rPr>
            </w:pPr>
            <w:r>
              <w:rPr>
                <w:rFonts w:ascii="Times New Roman" w:cs="Times New Roman" w:eastAsia="Times New Roman" w:hAnsi="Times New Roman"/>
                <w:sz w:val="22"/>
                <w:szCs w:val="22"/>
                <w:color w:val="auto"/>
              </w:rPr>
              <w:t>Title:  Vice President – Human Resources</w:t>
            </w:r>
          </w:p>
        </w:tc>
        <w:tc>
          <w:tcPr>
            <w:tcW w:w="3580" w:type="dxa"/>
            <w:vAlign w:val="bottom"/>
          </w:tcPr>
          <w:p>
            <w:pPr>
              <w:spacing w:after="0"/>
              <w:rPr>
                <w:sz w:val="24"/>
                <w:szCs w:val="24"/>
                <w:color w:val="auto"/>
              </w:rPr>
            </w:pPr>
          </w:p>
        </w:tc>
      </w:tr>
      <w:tr>
        <w:trPr>
          <w:trHeight w:val="744"/>
        </w:trPr>
        <w:tc>
          <w:tcPr>
            <w:tcW w:w="10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16 Officer»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8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Target Number of Phantom Units:</w:t>
            </w:r>
          </w:p>
        </w:tc>
        <w:tc>
          <w:tcPr>
            <w:tcW w:w="260" w:type="dxa"/>
            <w:vAlign w:val="bottom"/>
          </w:tcPr>
          <w:p>
            <w:pPr>
              <w:spacing w:after="0"/>
              <w:rPr>
                <w:sz w:val="24"/>
                <w:szCs w:val="24"/>
                <w:color w:val="auto"/>
              </w:rPr>
            </w:pPr>
          </w:p>
        </w:tc>
        <w:tc>
          <w:tcPr>
            <w:tcW w:w="3100" w:type="dxa"/>
            <w:vAlign w:val="bottom"/>
            <w:gridSpan w:val="7"/>
          </w:tcPr>
          <w:p>
            <w:pPr>
              <w:jc w:val="right"/>
              <w:ind w:right="1260"/>
              <w:spacing w:after="0"/>
              <w:rPr>
                <w:sz w:val="20"/>
                <w:szCs w:val="20"/>
                <w:color w:val="auto"/>
              </w:rPr>
            </w:pPr>
            <w:r>
              <w:rPr>
                <w:rFonts w:ascii="Times New Roman" w:cs="Times New Roman" w:eastAsia="Times New Roman" w:hAnsi="Times New Roman"/>
                <w:sz w:val="22"/>
                <w:szCs w:val="22"/>
                <w:color w:val="auto"/>
              </w:rPr>
              <w:t>«LTIP_Grant»</w:t>
            </w:r>
          </w:p>
        </w:tc>
        <w:tc>
          <w:tcPr>
            <w:tcW w:w="3580" w:type="dxa"/>
            <w:vAlign w:val="bottom"/>
          </w:tcPr>
          <w:p>
            <w:pPr>
              <w:spacing w:after="0"/>
              <w:rPr>
                <w:sz w:val="24"/>
                <w:szCs w:val="24"/>
                <w:color w:val="auto"/>
              </w:rPr>
            </w:pPr>
          </w:p>
        </w:tc>
      </w:tr>
      <w:tr>
        <w:trPr>
          <w:trHeight w:val="655"/>
        </w:trPr>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Dated:</w:t>
            </w:r>
          </w:p>
        </w:tc>
        <w:tc>
          <w:tcPr>
            <w:tcW w:w="32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797"/>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60" w:type="dxa"/>
            <w:vAlign w:val="bottom"/>
            <w:gridSpan w:val="8"/>
          </w:tcPr>
          <w:p>
            <w:pPr>
              <w:ind w:left="260"/>
              <w:spacing w:after="0"/>
              <w:rPr>
                <w:sz w:val="20"/>
                <w:szCs w:val="20"/>
                <w:color w:val="auto"/>
              </w:rPr>
            </w:pPr>
            <w:r>
              <w:rPr>
                <w:rFonts w:ascii="Times New Roman" w:cs="Times New Roman" w:eastAsia="Times New Roman" w:hAnsi="Times New Roman"/>
                <w:sz w:val="22"/>
                <w:szCs w:val="22"/>
                <w:color w:val="auto"/>
              </w:rPr>
              <w:t>Beneficiary Designation</w:t>
            </w:r>
          </w:p>
        </w:tc>
        <w:tc>
          <w:tcPr>
            <w:tcW w:w="3580" w:type="dxa"/>
            <w:vAlign w:val="bottom"/>
          </w:tcPr>
          <w:p>
            <w:pPr>
              <w:spacing w:after="0"/>
              <w:rPr>
                <w:sz w:val="24"/>
                <w:szCs w:val="24"/>
                <w:color w:val="auto"/>
              </w:rPr>
            </w:pPr>
          </w:p>
        </w:tc>
      </w:tr>
      <w:tr>
        <w:trPr>
          <w:trHeight w:val="48"/>
        </w:trPr>
        <w:tc>
          <w:tcPr>
            <w:tcW w:w="43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gridSpan w:val="2"/>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336"/>
        </w:trPr>
        <w:tc>
          <w:tcPr>
            <w:tcW w:w="432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60" w:type="dxa"/>
            <w:vAlign w:val="bottom"/>
            <w:tcBorders>
              <w:bottom w:val="single" w:sz="8" w:color="C0C0C0"/>
            </w:tcBorders>
            <w:shd w:val="clear" w:color="auto" w:fill="C0C0C0"/>
          </w:tcPr>
          <w:p>
            <w:pPr>
              <w:spacing w:after="0"/>
              <w:rPr>
                <w:sz w:val="24"/>
                <w:szCs w:val="24"/>
                <w:color w:val="auto"/>
              </w:rPr>
            </w:pPr>
          </w:p>
        </w:tc>
        <w:tc>
          <w:tcPr>
            <w:tcW w:w="78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5"/>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10"/>
        </w:trPr>
        <w:tc>
          <w:tcPr>
            <w:tcW w:w="1040" w:type="dxa"/>
            <w:vAlign w:val="bottom"/>
            <w:tcBorders>
              <w:top w:val="single" w:sz="8" w:color="auto"/>
              <w:left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98"/>
        </w:trPr>
        <w:tc>
          <w:tcPr>
            <w:tcW w:w="4320" w:type="dxa"/>
            <w:vAlign w:val="bottom"/>
            <w:tcBorders>
              <w:left w:val="single" w:sz="8" w:color="auto"/>
              <w:bottom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60" w:type="dxa"/>
            <w:vAlign w:val="bottom"/>
            <w:tcBorders>
              <w:bottom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spacing w:after="0"/>
              <w:rPr>
                <w:sz w:val="24"/>
                <w:szCs w:val="24"/>
                <w:color w:val="auto"/>
              </w:rPr>
            </w:pPr>
          </w:p>
        </w:tc>
        <w:tc>
          <w:tcPr>
            <w:tcW w:w="2280" w:type="dxa"/>
            <w:vAlign w:val="bottom"/>
            <w:tcBorders>
              <w:bottom w:val="single" w:sz="8" w:color="auto"/>
              <w:right w:val="single" w:sz="8" w:color="auto"/>
            </w:tcBorders>
            <w:gridSpan w:val="5"/>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40" w:type="dxa"/>
            <w:vAlign w:val="bottom"/>
            <w:tcBorders>
              <w:bottom w:val="single" w:sz="8" w:color="auto"/>
            </w:tcBorders>
            <w:shd w:val="clear" w:color="auto" w:fill="C0C0C0"/>
          </w:tcPr>
          <w:p>
            <w:pPr>
              <w:spacing w:after="0"/>
              <w:rPr>
                <w:sz w:val="24"/>
                <w:szCs w:val="24"/>
                <w:color w:val="auto"/>
              </w:rPr>
            </w:pPr>
          </w:p>
        </w:tc>
        <w:tc>
          <w:tcPr>
            <w:tcW w:w="3580" w:type="dxa"/>
            <w:vAlign w:val="bottom"/>
            <w:tcBorders>
              <w:bottom w:val="single" w:sz="8" w:color="auto"/>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Check this box only if this beneficiary designation does not apply to prior grants.</w:t>
      </w:r>
    </w:p>
    <w:p>
      <w:pPr>
        <w:sectPr>
          <w:pgSz w:w="11900" w:h="16838" w:orient="portrait"/>
          <w:cols w:equalWidth="0" w:num="1">
            <w:col w:w="11260"/>
          </w:cols>
          <w:pgMar w:left="320" w:top="126"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Tranche 2 Vesting Terms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(Total Shareholder Return)</w:t>
      </w:r>
    </w:p>
    <w:p>
      <w:pPr>
        <w:spacing w:after="0" w:line="230" w:lineRule="exact"/>
        <w:rPr>
          <w:sz w:val="20"/>
          <w:szCs w:val="20"/>
          <w:color w:val="auto"/>
        </w:rPr>
      </w:pPr>
    </w:p>
    <w:p>
      <w:pPr>
        <w:jc w:val="both"/>
        <w:ind w:left="660" w:hanging="328"/>
        <w:spacing w:after="0" w:line="267"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2028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52" w:lineRule="exact"/>
        <w:rPr>
          <w:sz w:val="20"/>
          <w:szCs w:val="20"/>
          <w:color w:val="auto"/>
        </w:rPr>
      </w:pPr>
    </w:p>
    <w:tbl>
      <w:tblPr>
        <w:tblLayout w:type="fixed"/>
        <w:tblInd w:w="1350" w:type="dxa"/>
        <w:tblCellMar>
          <w:top w:w="0" w:type="dxa"/>
          <w:left w:w="0" w:type="dxa"/>
          <w:bottom w:w="0" w:type="dxa"/>
          <w:right w:w="0" w:type="dxa"/>
        </w:tblCellMar>
      </w:tblPr>
      <w:tr>
        <w:trPr>
          <w:trHeight w:val="234"/>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TSR Payout</w:t>
            </w: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vMerge w:val="continue"/>
          </w:tcPr>
          <w:p>
            <w:pPr>
              <w:spacing w:after="0"/>
              <w:rPr>
                <w:sz w:val="20"/>
                <w:szCs w:val="20"/>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0"/>
        </w:trPr>
        <w:tc>
          <w:tcPr>
            <w:tcW w:w="3380" w:type="dxa"/>
            <w:vAlign w:val="bottom"/>
            <w:tcBorders>
              <w:left w:val="single" w:sz="8" w:color="auto"/>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Illustrative Examples (based on an assumed target number of Tranche 2 Phantom Units of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A-A-1</w:t>
      </w:r>
    </w:p>
    <w:p>
      <w:pPr>
        <w:sectPr>
          <w:pgSz w:w="11900" w:h="16838" w:orient="portrait"/>
          <w:cols w:equalWidth="0" w:num="1">
            <w:col w:w="11240"/>
          </w:cols>
          <w:pgMar w:left="320" w:top="1418" w:right="339" w:bottom="1440" w:gutter="0" w:footer="0" w:header="0"/>
        </w:sectPr>
      </w:pPr>
    </w:p>
    <w:bookmarkStart w:id="88" w:name="page89"/>
    <w:bookmarkEnd w:id="8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500" w:type="dxa"/>
            <w:vAlign w:val="bottom"/>
            <w:tcBorders>
              <w:top w:val="single" w:sz="8" w:color="auto"/>
            </w:tcBorders>
          </w:tcPr>
          <w:p>
            <w:pPr>
              <w:spacing w:after="0"/>
              <w:rPr>
                <w:sz w:val="20"/>
                <w:szCs w:val="20"/>
                <w:color w:val="auto"/>
              </w:rPr>
            </w:pPr>
          </w:p>
        </w:tc>
        <w:tc>
          <w:tcPr>
            <w:tcW w:w="564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TSR Payout Percentage / Number of Units Vesting</w:t>
            </w:r>
          </w:p>
        </w:tc>
      </w:tr>
      <w:tr>
        <w:trPr>
          <w:trHeight w:val="238"/>
        </w:trPr>
        <w:tc>
          <w:tcPr>
            <w:tcW w:w="512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64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(impact of negative absolute TSR)</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150%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125%</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1,250 units (TSR Payout Percentage reduced by 25 gross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117% / 1,170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(TSR Payout Percentage reduced from 117% to 100%)</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(performance at Target)</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50% / 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1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PAA Peer Group (2025-2028 Performance Period)</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Ticker</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KMI</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ET</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Genesis Energy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GEL</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Kinetic Holdings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KNTK</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 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60"/>
          </w:cols>
          <w:pgMar w:left="320" w:top="1440" w:right="319" w:bottom="1440" w:gutter="0" w:footer="0" w:header="0"/>
        </w:sectPr>
      </w:pPr>
    </w:p>
    <w:bookmarkStart w:id="89" w:name="page90"/>
    <w:bookmarkEnd w:id="89"/>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Tranche 3 Vesting Terms</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(Cumulative DCF with Leverage Modifier)</w:t>
      </w:r>
    </w:p>
    <w:p>
      <w:pPr>
        <w:spacing w:after="0" w:line="230" w:lineRule="exact"/>
        <w:rPr>
          <w:sz w:val="20"/>
          <w:szCs w:val="20"/>
          <w:color w:val="auto"/>
        </w:rPr>
      </w:pPr>
    </w:p>
    <w:p>
      <w:pPr>
        <w:jc w:val="both"/>
        <w:ind w:left="328" w:hanging="328"/>
        <w:spacing w:after="0" w:line="257" w:lineRule="auto"/>
        <w:tabs>
          <w:tab w:leader="none" w:pos="3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2028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w:t>
      </w:r>
    </w:p>
    <w:p>
      <w:pPr>
        <w:spacing w:after="0" w:line="8"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Modifier”) if PAA’s “Leverage Ratio” (long-term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2028 is higher than the Leverage Ratio that equals the upper end of PAA’s then applicable target Leverage Ratio range (the “Threshold Leverage Ratio”) (such range is 2.5x to 3.0x as of the date hereof); if PAA’s Leverage Ratio as of June 30, 2028 is equal to or lower than the Threshold Leverage Ratio, there will be no adjustment to the DCF Payout Percentage.</w:t>
      </w:r>
    </w:p>
    <w:p>
      <w:pPr>
        <w:spacing w:after="0" w:line="348" w:lineRule="exact"/>
        <w:rPr>
          <w:sz w:val="20"/>
          <w:szCs w:val="20"/>
          <w:color w:val="auto"/>
        </w:rPr>
      </w:pPr>
    </w:p>
    <w:tbl>
      <w:tblPr>
        <w:tblLayout w:type="fixed"/>
        <w:tblInd w:w="898" w:type="dxa"/>
        <w:tblCellMar>
          <w:top w:w="0" w:type="dxa"/>
          <w:left w:w="0" w:type="dxa"/>
          <w:bottom w:w="0" w:type="dxa"/>
          <w:right w:w="0" w:type="dxa"/>
        </w:tblCellMar>
      </w:tblPr>
      <w:tr>
        <w:trPr>
          <w:trHeight w:val="261"/>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DCF Payout Percentage</w:t>
            </w:r>
          </w:p>
        </w:tc>
      </w:tr>
      <w:tr>
        <w:trPr>
          <w:trHeight w:val="238"/>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3560" w:type="dxa"/>
            <w:vAlign w:val="bottom"/>
            <w:tcBorders>
              <w:right w:val="single" w:sz="8" w:color="auto"/>
            </w:tcBorders>
          </w:tcPr>
          <w:p>
            <w:pPr>
              <w:spacing w:after="0"/>
              <w:rPr>
                <w:sz w:val="20"/>
                <w:szCs w:val="20"/>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$9.24 (110%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$9.03</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$8.82</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$8.61</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$8.40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$8.19</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$7.98</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$7.77</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$7.56 (90%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Note: Both the cumulative DCF per CUE targets set forth in the table above and the initial Threshold Leverage Ratio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68" w:lineRule="exact"/>
        <w:rPr>
          <w:sz w:val="20"/>
          <w:szCs w:val="20"/>
          <w:color w:val="auto"/>
        </w:rPr>
      </w:pPr>
    </w:p>
    <w:p>
      <w:pPr>
        <w:ind w:left="648" w:hanging="324"/>
        <w:spacing w:after="0" w:line="282" w:lineRule="auto"/>
        <w:tabs>
          <w:tab w:leader="none" w:pos="6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DCF per CUE target for the Performance Period as set forth in the table above will be adjusted downward to account for the loss of earnings assumed in the Grant Date Plan for any divested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B-B-1</w:t>
      </w:r>
    </w:p>
    <w:p>
      <w:pPr>
        <w:sectPr>
          <w:pgSz w:w="11900" w:h="16838" w:orient="portrait"/>
          <w:cols w:equalWidth="0" w:num="1">
            <w:col w:w="10908"/>
          </w:cols>
          <w:pgMar w:left="652" w:top="1418" w:right="339" w:bottom="1440" w:gutter="0" w:footer="0" w:header="0"/>
        </w:sectPr>
      </w:pPr>
    </w:p>
    <w:bookmarkStart w:id="90" w:name="page91"/>
    <w:bookmarkEnd w:id="90"/>
    <w:p>
      <w:pPr>
        <w:ind w:left="980" w:right="40"/>
        <w:spacing w:after="0" w:line="282" w:lineRule="auto"/>
        <w:rPr>
          <w:sz w:val="20"/>
          <w:szCs w:val="20"/>
          <w:color w:val="auto"/>
        </w:rPr>
      </w:pPr>
      <w:r>
        <w:rPr>
          <w:rFonts w:ascii="Times New Roman" w:cs="Times New Roman" w:eastAsia="Times New Roman" w:hAnsi="Times New Roman"/>
          <w:sz w:val="18"/>
          <w:szCs w:val="18"/>
          <w:color w:val="auto"/>
        </w:rPr>
        <w:t>assets, net of avoided interest expense allocable to the divested assets (calculated based on an assumption that 100% of the net sales proceeds from such divestitures are used to reduce debt); and</w:t>
      </w:r>
    </w:p>
    <w:p>
      <w:pPr>
        <w:spacing w:after="0" w:line="54" w:lineRule="exact"/>
        <w:rPr>
          <w:sz w:val="20"/>
          <w:szCs w:val="20"/>
          <w:color w:val="auto"/>
        </w:rPr>
      </w:pPr>
    </w:p>
    <w:p>
      <w:pPr>
        <w:ind w:left="980" w:right="40" w:hanging="324"/>
        <w:spacing w:after="0" w:line="282" w:lineRule="auto"/>
        <w:tabs>
          <w:tab w:leader="none" w:pos="9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divested assets that were included as divestitures in the Grant Date Plan, the Threshold Leverage Ratio target will be adjusted to reflect the leverage impact of any such divested assets based on the assumptions originally set forth in the Grant Date Plan.</w:t>
      </w:r>
    </w:p>
    <w:p>
      <w:pPr>
        <w:spacing w:after="0" w:line="54"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(including, without limitation, transactions involving changes to the Company’s capital structure).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Illustrative Examples (based on an assumed target number of Tranche 3 Phantom Units of 1,000 and based on an assumed Threshold Leverage Ratio of 3.0x, which is the Leverage Ratio that is equal to the upper end of PAA’s current target Leverage Ratio range of 2.5x to 3.0x):</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Leverage Ratio as of June</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DCF Payout Percentage / Number of Units Vesting</w:t>
            </w:r>
          </w:p>
        </w:tc>
      </w:tr>
      <w:tr>
        <w:trPr>
          <w:trHeight w:val="279"/>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Over the Performance Period</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(Impact of Leverage Modifier)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$9.24</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$9.24</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175%</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1,750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75% / 750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$7.77</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25% / 250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$7.77</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$7.56</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$7.56</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60"/>
          </w:cols>
          <w:pgMar w:left="320" w:top="1417"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13335</wp:posOffset>
            </wp:positionV>
            <wp:extent cx="2305685" cy="557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2025 ANNUAL DIRECTOR GRANT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14,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«Zip»</w:t>
      </w:r>
    </w:p>
    <w:p>
      <w:pPr>
        <w:spacing w:after="0" w:line="22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Class A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 am pleased to inform you that you have been granted 7,400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208" w:lineRule="exact"/>
        <w:rPr>
          <w:sz w:val="20"/>
          <w:szCs w:val="20"/>
          <w:color w:val="auto"/>
        </w:rPr>
      </w:pPr>
    </w:p>
    <w:p>
      <w:pPr>
        <w:ind w:left="660" w:hanging="328"/>
        <w:spacing w:after="0" w:line="284"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Phantom Class A Shares shall vest (become payable in the form of one Class A Share of PAGP for each Phantom Class A Share that vests) on the August 2026 Distribution Date.</w:t>
      </w:r>
    </w:p>
    <w:p>
      <w:pPr>
        <w:spacing w:after="0" w:line="170"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DERs shall be payable in cash substantially contemporaneously with each Distribution Date.</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vesting of any Phantom Class A Shares, an equal number of DERs shall expire.</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forfeiture of Phantom Class A Shares, an equal number of DERs shall expire.</w:t>
      </w:r>
    </w:p>
    <w:p>
      <w:pPr>
        <w:spacing w:after="0" w:line="260"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tabs>
          <w:tab w:leader="none" w:pos="140" w:val="left"/>
          <w:tab w:leader="none" w:pos="140" w:val="left"/>
        </w:tabs>
        <w:rPr>
          <w:sz w:val="20"/>
          <w:szCs w:val="20"/>
          <w:color w:val="auto"/>
        </w:rPr>
      </w:pPr>
      <w:r>
        <w:rPr>
          <w:rFonts w:ascii="Times New Roman" w:cs="Times New Roman" w:eastAsia="Times New Roman" w:hAnsi="Times New Roman"/>
          <w:sz w:val="20"/>
          <w:szCs w:val="20"/>
          <w:color w:val="000080"/>
        </w:rPr>
        <w:t xml:space="preserve">333 Clay Street, Suite 1600 </w:t>
      </w:r>
      <w:r>
        <w:rPr>
          <w:rFonts w:ascii="Wingdings" w:cs="Wingdings" w:eastAsia="Wingdings" w:hAnsi="Wingdings"/>
          <w:sz w:val="16"/>
          <w:szCs w:val="16"/>
          <w:b w:val="1"/>
          <w:bCs w:val="1"/>
          <w:color w:val="0A2299"/>
        </w:rPr>
        <w:t>n</w:t>
      </w:r>
      <w:r>
        <w:rPr>
          <w:rFonts w:ascii="Times New Roman" w:cs="Times New Roman" w:eastAsia="Times New Roman" w:hAnsi="Times New Roman"/>
          <w:sz w:val="20"/>
          <w:szCs w:val="20"/>
          <w:color w:val="000080"/>
        </w:rPr>
        <w:tab/>
        <w:t xml:space="preserve">Houston, Texas 77002 </w:t>
      </w:r>
      <w:r>
        <w:rPr>
          <w:rFonts w:ascii="Wingdings" w:cs="Wingdings" w:eastAsia="Wingdings" w:hAnsi="Wingdings"/>
          <w:sz w:val="16"/>
          <w:szCs w:val="16"/>
          <w:b w:val="1"/>
          <w:bCs w:val="1"/>
          <w:color w:val="0A2299"/>
        </w:rPr>
        <w:t>n</w:t>
      </w:r>
      <w:r>
        <w:rPr>
          <w:sz w:val="20"/>
          <w:szCs w:val="20"/>
          <w:color w:val="auto"/>
        </w:rPr>
        <w:tab/>
      </w:r>
      <w:r>
        <w:rPr>
          <w:rFonts w:ascii="Times New Roman" w:cs="Times New Roman" w:eastAsia="Times New Roman" w:hAnsi="Times New Roman"/>
          <w:sz w:val="19"/>
          <w:szCs w:val="19"/>
          <w:color w:val="000080"/>
        </w:rPr>
        <w:t>713/646-4100 or 800-564-3036</w:t>
      </w:r>
    </w:p>
    <w:p>
      <w:pPr>
        <w:sectPr>
          <w:pgSz w:w="11900" w:h="16838" w:orient="portrait"/>
          <w:cols w:equalWidth="0" w:num="1">
            <w:col w:w="11240"/>
          </w:cols>
          <w:pgMar w:left="320" w:top="122" w:right="339" w:bottom="1440" w:gutter="0" w:footer="0" w:header="0"/>
        </w:sectPr>
      </w:pPr>
    </w:p>
    <w:bookmarkStart w:id="92" w:name="page93"/>
    <w:bookmarkEnd w:id="92"/>
    <w:p>
      <w:pPr>
        <w:spacing w:after="0"/>
        <w:tabs>
          <w:tab w:leader="none" w:pos="2480" w:val="left"/>
          <w:tab w:leader="none" w:pos="3060" w:val="left"/>
        </w:tabs>
        <w:rPr>
          <w:sz w:val="20"/>
          <w:szCs w:val="20"/>
          <w:color w:val="auto"/>
        </w:rPr>
      </w:pPr>
      <w:r>
        <w:rPr>
          <w:rFonts w:ascii="Times New Roman" w:cs="Times New Roman" w:eastAsia="Times New Roman" w:hAnsi="Times New Roman"/>
          <w:sz w:val="22"/>
          <w:szCs w:val="22"/>
          <w:color w:val="auto"/>
        </w:rPr>
        <w:t>«FirstName» «LastName»</w:t>
        <w:tab/>
        <w:t>- 2 -</w:t>
      </w:r>
      <w:r>
        <w:rPr>
          <w:sz w:val="20"/>
          <w:szCs w:val="20"/>
          <w:color w:val="auto"/>
        </w:rPr>
        <w:tab/>
      </w:r>
      <w:r>
        <w:rPr>
          <w:rFonts w:ascii="Times New Roman" w:cs="Times New Roman" w:eastAsia="Times New Roman" w:hAnsi="Times New Roman"/>
          <w:sz w:val="21"/>
          <w:szCs w:val="21"/>
          <w:color w:val="auto"/>
        </w:rPr>
        <w:t>August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hanging="328"/>
        <w:spacing w:after="0" w:line="253" w:lineRule="auto"/>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5"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85" w:lineRule="exact"/>
        <w:rPr>
          <w:sz w:val="20"/>
          <w:szCs w:val="20"/>
          <w:color w:val="auto"/>
        </w:rPr>
      </w:pPr>
    </w:p>
    <w:p>
      <w:pPr>
        <w:jc w:val="both"/>
        <w:ind w:firstLine="286"/>
        <w:spacing w:after="0" w:line="252" w:lineRule="auto"/>
        <w:rPr>
          <w:sz w:val="20"/>
          <w:szCs w:val="20"/>
          <w:color w:val="auto"/>
        </w:rPr>
      </w:pPr>
      <w:r>
        <w:rPr>
          <w:rFonts w:ascii="Times New Roman" w:cs="Times New Roman" w:eastAsia="Times New Roman" w:hAnsi="Times New Roman"/>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06" w:lineRule="exact"/>
        <w:rPr>
          <w:sz w:val="20"/>
          <w:szCs w:val="20"/>
          <w:color w:val="auto"/>
        </w:rPr>
      </w:pPr>
    </w:p>
    <w:p>
      <w:pPr>
        <w:jc w:val="both"/>
        <w:ind w:firstLine="236"/>
        <w:spacing w:after="0" w:line="268" w:lineRule="auto"/>
        <w:rPr>
          <w:sz w:val="20"/>
          <w:szCs w:val="20"/>
          <w:color w:val="auto"/>
        </w:rPr>
      </w:pPr>
      <w:r>
        <w:rPr>
          <w:rFonts w:ascii="Times New Roman" w:cs="Times New Roman" w:eastAsia="Times New Roman" w:hAnsi="Times New Roman"/>
          <w:sz w:val="21"/>
          <w:szCs w:val="21"/>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26" w:right="339" w:bottom="1440" w:gutter="0" w:footer="0" w:header="0"/>
        </w:sectPr>
      </w:pPr>
    </w:p>
    <w:bookmarkStart w:id="93" w:name="page94"/>
    <w:bookmarkEnd w:id="93"/>
    <w:p>
      <w:pPr>
        <w:spacing w:after="0"/>
        <w:tabs>
          <w:tab w:leader="none" w:pos="2480" w:val="left"/>
          <w:tab w:leader="none" w:pos="3060" w:val="left"/>
        </w:tabs>
        <w:rPr>
          <w:sz w:val="20"/>
          <w:szCs w:val="20"/>
          <w:color w:val="auto"/>
        </w:rPr>
      </w:pPr>
      <w:r>
        <w:rPr>
          <w:rFonts w:ascii="Times New Roman" w:cs="Times New Roman" w:eastAsia="Times New Roman" w:hAnsi="Times New Roman"/>
          <w:sz w:val="22"/>
          <w:szCs w:val="22"/>
          <w:color w:val="auto"/>
        </w:rPr>
        <w:t>«FirstName» «LastName»</w:t>
        <w:tab/>
        <w:t>- 3 -</w:t>
      </w:r>
      <w:r>
        <w:rPr>
          <w:sz w:val="20"/>
          <w:szCs w:val="20"/>
          <w:color w:val="auto"/>
        </w:rPr>
        <w:tab/>
      </w:r>
      <w:r>
        <w:rPr>
          <w:rFonts w:ascii="Times New Roman" w:cs="Times New Roman" w:eastAsia="Times New Roman" w:hAnsi="Times New Roman"/>
          <w:sz w:val="21"/>
          <w:szCs w:val="21"/>
          <w:color w:val="auto"/>
        </w:rPr>
        <w:t>August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PAA GP HOLDINGS LLC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Richard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Phantom Class A Shares: 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-13970</wp:posOffset>
            </wp:positionV>
            <wp:extent cx="4457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405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40575" cy="132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40575" cy="132016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20" w:type="dxa"/>
            <w:vAlign w:val="bottom"/>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3180" w:type="dxa"/>
            <w:vAlign w:val="bottom"/>
            <w:shd w:val="clear" w:color="auto" w:fill="C0C0C0"/>
          </w:tcPr>
          <w:p>
            <w:pPr>
              <w:ind w:left="1500"/>
              <w:spacing w:after="0"/>
              <w:rPr>
                <w:sz w:val="20"/>
                <w:szCs w:val="20"/>
                <w:color w:val="auto"/>
              </w:rPr>
            </w:pPr>
            <w:r>
              <w:rPr>
                <w:rFonts w:ascii="Times New Roman" w:cs="Times New Roman" w:eastAsia="Times New Roman" w:hAnsi="Times New Roman"/>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Times New Roman" w:cs="Times New Roman" w:eastAsia="Times New Roman" w:hAnsi="Times New Roman"/>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020" w:type="dxa"/>
            <w:vAlign w:val="bottom"/>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3080" w:type="dxa"/>
            <w:vAlign w:val="bottom"/>
            <w:shd w:val="clear" w:color="auto" w:fill="C0C0C0"/>
          </w:tcPr>
          <w:p>
            <w:pPr>
              <w:ind w:left="1400"/>
              <w:spacing w:after="0"/>
              <w:rPr>
                <w:sz w:val="20"/>
                <w:szCs w:val="20"/>
                <w:color w:val="auto"/>
              </w:rPr>
            </w:pPr>
            <w:r>
              <w:rPr>
                <w:rFonts w:ascii="Times New Roman" w:cs="Times New Roman" w:eastAsia="Times New Roman" w:hAnsi="Times New Roman"/>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Times New Roman" w:cs="Times New Roman" w:eastAsia="Times New Roman" w:hAnsi="Times New Roman"/>
                <w:sz w:val="22"/>
                <w:szCs w:val="22"/>
                <w:color w:val="auto"/>
              </w:rPr>
              <w:t>Percent (Must total 100%)</w:t>
            </w:r>
          </w:p>
        </w:tc>
      </w:tr>
    </w:tbl>
    <w:p>
      <w:pPr>
        <w:sectPr>
          <w:pgSz w:w="11900" w:h="16838" w:orient="portrait"/>
          <w:cols w:equalWidth="0" w:num="1">
            <w:col w:w="11240"/>
          </w:cols>
          <w:pgMar w:left="320" w:top="12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13335</wp:posOffset>
            </wp:positionV>
            <wp:extent cx="2588895" cy="779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258889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2025 Special Retention LTIP Grant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14,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3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 am pleased to inform you that, subject to the terms hereof, you have been granted [Number] Phantom Units as of the above date pursuant to the Company’s 2021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6" w:lineRule="exact"/>
        <w:rPr>
          <w:sz w:val="20"/>
          <w:szCs w:val="20"/>
          <w:color w:val="auto"/>
        </w:rPr>
      </w:pPr>
    </w:p>
    <w:p>
      <w:pPr>
        <w:ind w:left="1060" w:hanging="404"/>
        <w:spacing w:after="0" w:line="254" w:lineRule="auto"/>
        <w:tabs>
          <w:tab w:leader="none" w:pos="10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Phantom Units shall vest (become payable in the form of one Common Unit of PAA for each Phantom Unit that vests) on the August 2030 Distribution Date.</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DERs shall vest (become payable in cash) as follows:</w:t>
      </w:r>
    </w:p>
    <w:p>
      <w:pPr>
        <w:spacing w:after="0" w:line="5" w:lineRule="exact"/>
        <w:rPr>
          <w:rFonts w:ascii="Times New Roman" w:cs="Times New Roman" w:eastAsia="Times New Roman" w:hAnsi="Times New Roman"/>
          <w:sz w:val="22"/>
          <w:szCs w:val="22"/>
          <w:color w:val="auto"/>
        </w:rPr>
      </w:pPr>
    </w:p>
    <w:p>
      <w:pPr>
        <w:jc w:val="both"/>
        <w:ind w:left="1620" w:hanging="316"/>
        <w:spacing w:after="0" w:line="246" w:lineRule="auto"/>
        <w:tabs>
          <w:tab w:leader="none" w:pos="160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of the DERs will begin accruing on the November 2025 Distribution Date and will continue to accrue until the August 2026 Distribution Date, on which date such accrued but unpaid DERs will vest and be paid in a lump sum. Beginning on the November 2026 Distribution Date, such vested DERs will be paid quarterly until the associated Phantom Units vest or are forfeited pursuant to the terms hereof.</w:t>
      </w:r>
    </w:p>
    <w:p>
      <w:pPr>
        <w:jc w:val="both"/>
        <w:ind w:left="1620" w:hanging="316"/>
        <w:spacing w:after="0" w:line="247" w:lineRule="auto"/>
        <w:tabs>
          <w:tab w:leader="none" w:pos="16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20% of the DERs will vest on the August 2026 Distribution Date, and, beginning on the November 2026 Distribution Date, such vested DERs will be paid quarterly until the associated Phantom Units vest or are forfeited pursuant to the terms hereof.</w:t>
      </w:r>
    </w:p>
    <w:p>
      <w:pPr>
        <w:spacing w:after="0" w:line="1" w:lineRule="exact"/>
        <w:rPr>
          <w:rFonts w:ascii="Times New Roman" w:cs="Times New Roman" w:eastAsia="Times New Roman" w:hAnsi="Times New Roman"/>
          <w:sz w:val="22"/>
          <w:szCs w:val="22"/>
          <w:color w:val="auto"/>
        </w:rPr>
      </w:pPr>
    </w:p>
    <w:p>
      <w:pPr>
        <w:jc w:val="both"/>
        <w:ind w:left="1620" w:hanging="316"/>
        <w:spacing w:after="0" w:line="245" w:lineRule="auto"/>
        <w:tabs>
          <w:tab w:leader="none" w:pos="160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20% of the DERs will vest on the August 2027 Distribution Date, and, beginning on the November 2027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00080"/>
        </w:rPr>
        <w:t>333 Clay Street, Suite 1600 (77002)</w:t>
      </w:r>
      <w:r>
        <w:rPr>
          <w:sz w:val="20"/>
          <w:szCs w:val="20"/>
          <w:color w:val="auto"/>
        </w:rPr>
        <w:tab/>
      </w:r>
      <w:r>
        <w:rPr>
          <w:rFonts w:ascii="Times New Roman" w:cs="Times New Roman" w:eastAsia="Times New Roman" w:hAnsi="Times New Roman"/>
          <w:sz w:val="17"/>
          <w:szCs w:val="17"/>
          <w:b w:val="1"/>
          <w:bCs w:val="1"/>
          <w:color w:val="000080"/>
        </w:rPr>
        <w:t>■ P.O. Box 4648 ■ Houston, Texas 77210-4648 ■ 713-646-4100</w:t>
      </w:r>
    </w:p>
    <w:p>
      <w:pPr>
        <w:sectPr>
          <w:pgSz w:w="11900" w:h="16838" w:orient="portrait"/>
          <w:cols w:equalWidth="0" w:num="1">
            <w:col w:w="11240"/>
          </w:cols>
          <w:pgMar w:left="320" w:top="12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620" w:hanging="316"/>
        <w:spacing w:after="0" w:line="250" w:lineRule="auto"/>
        <w:tabs>
          <w:tab w:leader="none" w:pos="16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20% of the DERs will vest on the August 2028 Distribution Date, and, beginning on the November 2028 Distribution Date, such vested DERs will be paid quarterly until the associated Phantom Units vest or are forfeited pursuant to the terms hereof.</w:t>
      </w:r>
    </w:p>
    <w:p>
      <w:pPr>
        <w:spacing w:after="0" w:line="2" w:lineRule="exact"/>
        <w:rPr>
          <w:rFonts w:ascii="Times New Roman" w:cs="Times New Roman" w:eastAsia="Times New Roman" w:hAnsi="Times New Roman"/>
          <w:sz w:val="22"/>
          <w:szCs w:val="22"/>
          <w:color w:val="auto"/>
        </w:rPr>
      </w:pPr>
    </w:p>
    <w:p>
      <w:pPr>
        <w:jc w:val="both"/>
        <w:ind w:left="1620" w:hanging="316"/>
        <w:spacing w:after="0" w:line="252" w:lineRule="auto"/>
        <w:tabs>
          <w:tab w:leader="none" w:pos="16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20% of the DERs will vest on the August 2029 Distribution Date, and, beginning on the November 2029 Distribution Date, such vested DERs will be paid quarterly until the associated Phantom Units vest or are forfeited pursuant to the terms hereof.</w:t>
      </w:r>
    </w:p>
    <w:p>
      <w:pPr>
        <w:spacing w:after="0" w:line="205" w:lineRule="exact"/>
        <w:rPr>
          <w:rFonts w:ascii="Times New Roman" w:cs="Times New Roman" w:eastAsia="Times New Roman" w:hAnsi="Times New Roman"/>
          <w:sz w:val="22"/>
          <w:szCs w:val="22"/>
          <w:color w:val="auto"/>
        </w:rPr>
      </w:pPr>
    </w:p>
    <w:p>
      <w:pPr>
        <w:ind w:left="1080" w:right="20" w:hanging="424"/>
        <w:spacing w:after="0" w:line="271" w:lineRule="auto"/>
        <w:tabs>
          <w:tab w:leader="none" w:pos="10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and DERs subject to this award shall be proportionately reduced or increased for any split or reverse split, respectively, of PAA Common Units, or any event or transaction having a similar effect.</w:t>
      </w:r>
    </w:p>
    <w:p>
      <w:pPr>
        <w:spacing w:after="0" w:line="184" w:lineRule="exact"/>
        <w:rPr>
          <w:rFonts w:ascii="Times New Roman" w:cs="Times New Roman" w:eastAsia="Times New Roman" w:hAnsi="Times New Roman"/>
          <w:sz w:val="22"/>
          <w:szCs w:val="22"/>
          <w:color w:val="auto"/>
        </w:rPr>
      </w:pPr>
    </w:p>
    <w:p>
      <w:pPr>
        <w:jc w:val="both"/>
        <w:ind w:left="1080" w:hanging="424"/>
        <w:spacing w:after="0" w:line="263" w:lineRule="auto"/>
        <w:tabs>
          <w:tab w:leader="none" w:pos="10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60" w:lineRule="auto"/>
        <w:tabs>
          <w:tab w:leader="none" w:pos="98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for any reason (other than in connection with a Change in Status, Retirement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number of your then outstanding Phantom Units by a fraction equal to the number of days between the grant date and the date of termination divided by the number of days between the grant date and the August 2030 Distribution Date (1,826). If the resulting amount includes a fraction, it will be rounded down to the nearest whole number.</w:t>
      </w:r>
    </w:p>
    <w:p>
      <w:pPr>
        <w:spacing w:after="0" w:line="203" w:lineRule="exact"/>
        <w:rPr>
          <w:rFonts w:ascii="Times New Roman" w:cs="Times New Roman" w:eastAsia="Times New Roman" w:hAnsi="Times New Roman"/>
          <w:sz w:val="21"/>
          <w:szCs w:val="21"/>
          <w:color w:val="auto"/>
        </w:rPr>
      </w:pPr>
    </w:p>
    <w:p>
      <w:pPr>
        <w:jc w:val="both"/>
        <w:ind w:left="980" w:hanging="324"/>
        <w:spacing w:after="0" w:line="256" w:lineRule="auto"/>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w:t>
      </w:r>
    </w:p>
    <w:p>
      <w:pPr>
        <w:sectPr>
          <w:pgSz w:w="11900" w:h="16838" w:orient="portrait"/>
          <w:cols w:equalWidth="0" w:num="1">
            <w:col w:w="11240"/>
          </w:cols>
          <w:pgMar w:left="320" w:top="12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9" w:lineRule="exact"/>
        <w:rPr>
          <w:sz w:val="20"/>
          <w:szCs w:val="20"/>
          <w:color w:val="auto"/>
        </w:rPr>
      </w:pPr>
    </w:p>
    <w:p>
      <w:pPr>
        <w:jc w:val="both"/>
        <w:ind w:left="980" w:hanging="324"/>
        <w:spacing w:after="0" w:line="256" w:lineRule="auto"/>
        <w:tabs>
          <w:tab w:leader="none" w:pos="9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03" w:lineRule="exact"/>
        <w:rPr>
          <w:rFonts w:ascii="Times New Roman" w:cs="Times New Roman" w:eastAsia="Times New Roman" w:hAnsi="Times New Roman"/>
          <w:sz w:val="22"/>
          <w:szCs w:val="22"/>
          <w:color w:val="auto"/>
        </w:rPr>
      </w:pPr>
    </w:p>
    <w:p>
      <w:pPr>
        <w:jc w:val="both"/>
        <w:ind w:left="980" w:hanging="324"/>
        <w:spacing w:after="0" w:line="249" w:lineRule="auto"/>
        <w:tabs>
          <w:tab w:leader="none" w:pos="9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due to your Retirement,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w:t>
      </w:r>
    </w:p>
    <w:p>
      <w:pPr>
        <w:spacing w:after="0" w:line="222"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w:t>
      </w:r>
    </w:p>
    <w:p>
      <w:pPr>
        <w:sectPr>
          <w:pgSz w:w="11900" w:h="16838" w:orient="portrait"/>
          <w:cols w:equalWidth="0" w:num="1">
            <w:col w:w="11240"/>
          </w:cols>
          <w:pgMar w:left="320" w:top="12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“Retirement” means termination from full-time employment on terms and timing as approved by the CEO (or by the Board in the case of the CEO).</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pursuant to</w:t>
      </w:r>
    </w:p>
    <w:p>
      <w:pPr>
        <w:spacing w:after="0" w:line="2" w:lineRule="exact"/>
        <w:rPr>
          <w:sz w:val="20"/>
          <w:szCs w:val="20"/>
          <w:color w:val="auto"/>
        </w:rPr>
      </w:pPr>
    </w:p>
    <w:p>
      <w:pPr>
        <w:jc w:val="both"/>
        <w:ind w:firstLine="8"/>
        <w:spacing w:after="0" w:line="252" w:lineRule="auto"/>
        <w:tabs>
          <w:tab w:leader="none" w:pos="34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0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185" w:lineRule="exact"/>
        <w:rPr>
          <w:sz w:val="20"/>
          <w:szCs w:val="20"/>
          <w:color w:val="auto"/>
        </w:rPr>
      </w:pPr>
    </w:p>
    <w:p>
      <w:pPr>
        <w:jc w:val="both"/>
        <w:ind w:left="1580" w:hanging="924"/>
        <w:spacing w:after="0" w:line="236" w:lineRule="auto"/>
        <w:tabs>
          <w:tab w:leader="none" w:pos="157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jc w:val="both"/>
        <w:ind w:left="1580" w:hanging="924"/>
        <w:spacing w:after="0" w:line="243" w:lineRule="auto"/>
        <w:tabs>
          <w:tab w:leader="none" w:pos="157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Times New Roman" w:cs="Times New Roman" w:eastAsia="Times New Roman" w:hAnsi="Times New Roman"/>
          <w:sz w:val="22"/>
          <w:szCs w:val="22"/>
          <w:color w:val="auto"/>
        </w:rPr>
      </w:pPr>
    </w:p>
    <w:p>
      <w:pPr>
        <w:ind w:left="1580" w:hanging="924"/>
        <w:spacing w:after="0" w:line="249" w:lineRule="auto"/>
        <w:tabs>
          <w:tab w:leader="none" w:pos="156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Times New Roman" w:cs="Times New Roman" w:eastAsia="Times New Roman" w:hAnsi="Times New Roman"/>
          <w:sz w:val="22"/>
          <w:szCs w:val="22"/>
          <w:color w:val="auto"/>
        </w:rPr>
      </w:pPr>
    </w:p>
    <w:p>
      <w:pPr>
        <w:jc w:val="both"/>
        <w:ind w:left="1580" w:hanging="924"/>
        <w:spacing w:after="0" w:line="245" w:lineRule="auto"/>
        <w:tabs>
          <w:tab w:leader="none" w:pos="157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645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both"/>
        <w:ind w:firstLine="8"/>
        <w:spacing w:after="0" w:line="180" w:lineRule="auto"/>
        <w:tabs>
          <w:tab w:leader="none" w:pos="124" w:val="left"/>
        </w:tabs>
        <w:numPr>
          <w:ilvl w:val="0"/>
          <w:numId w:val="7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PAGP GP.</w:t>
      </w:r>
    </w:p>
    <w:p>
      <w:pPr>
        <w:sectPr>
          <w:pgSz w:w="11900" w:h="16838" w:orient="portrait"/>
          <w:cols w:equalWidth="0" w:num="1">
            <w:col w:w="11240"/>
          </w:cols>
          <w:pgMar w:left="320" w:top="12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00" w:lineRule="exact"/>
        <w:rPr>
          <w:sz w:val="20"/>
          <w:szCs w:val="20"/>
          <w:color w:val="auto"/>
        </w:rPr>
      </w:pPr>
    </w:p>
    <w:p>
      <w:pPr>
        <w:jc w:val="both"/>
        <w:ind w:firstLine="565"/>
        <w:spacing w:after="0" w:line="253"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 You also acknowledge and agree that (i) this award constitutes time-based equity compensation under the Amended and Restated Clawback Policy adopted by PAGP GP on November 16, 2023, as it may be amended from time to time, and (ii) this award, as well as any other incentive-based, performance-based or time-based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2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14,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ALL AMERICAN GP LLC,</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6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its general partner</w:t>
            </w:r>
          </w:p>
        </w:tc>
        <w:tc>
          <w:tcPr>
            <w:tcW w:w="3580" w:type="dxa"/>
            <w:vAlign w:val="bottom"/>
          </w:tcPr>
          <w:p>
            <w:pPr>
              <w:spacing w:after="0"/>
              <w:rPr>
                <w:sz w:val="24"/>
                <w:szCs w:val="24"/>
                <w:color w:val="auto"/>
              </w:rPr>
            </w:pPr>
          </w:p>
        </w:tc>
      </w:tr>
      <w:tr>
        <w:trPr>
          <w:trHeight w:val="706"/>
        </w:trPr>
        <w:tc>
          <w:tcPr>
            <w:tcW w:w="1040" w:type="dxa"/>
            <w:vAlign w:val="bottom"/>
          </w:tcPr>
          <w:p>
            <w:pPr>
              <w:spacing w:after="0"/>
              <w:rPr>
                <w:sz w:val="24"/>
                <w:szCs w:val="24"/>
                <w:color w:val="auto"/>
              </w:rPr>
            </w:pPr>
          </w:p>
        </w:tc>
        <w:tc>
          <w:tcPr>
            <w:tcW w:w="3280" w:type="dxa"/>
            <w:vAlign w:val="bottom"/>
          </w:tcPr>
          <w:p>
            <w:pPr>
              <w:ind w:left="2860"/>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gridSpan w:val="8"/>
          </w:tcPr>
          <w:p>
            <w:pPr>
              <w:jc w:val="right"/>
              <w:ind w:right="20"/>
              <w:spacing w:after="0"/>
              <w:rPr>
                <w:sz w:val="20"/>
                <w:szCs w:val="20"/>
                <w:color w:val="auto"/>
              </w:rPr>
            </w:pPr>
            <w:r>
              <w:rPr>
                <w:rFonts w:ascii="Times New Roman" w:cs="Times New Roman" w:eastAsia="Times New Roman" w:hAnsi="Times New Roman"/>
                <w:sz w:val="22"/>
                <w:szCs w:val="22"/>
                <w:color w:val="auto"/>
              </w:rPr>
              <w:t>______________________________</w:t>
            </w:r>
          </w:p>
        </w:tc>
        <w:tc>
          <w:tcPr>
            <w:tcW w:w="3580" w:type="dxa"/>
            <w:vAlign w:val="bottom"/>
          </w:tcPr>
          <w:p>
            <w:pPr>
              <w:spacing w:after="0"/>
              <w:rPr>
                <w:sz w:val="24"/>
                <w:szCs w:val="24"/>
                <w:color w:val="auto"/>
              </w:rPr>
            </w:pPr>
          </w:p>
        </w:tc>
      </w:tr>
      <w:tr>
        <w:trPr>
          <w:trHeight w:val="256"/>
        </w:trPr>
        <w:tc>
          <w:tcPr>
            <w:tcW w:w="1040" w:type="dxa"/>
            <w:vAlign w:val="bottom"/>
          </w:tcPr>
          <w:p>
            <w:pPr>
              <w:spacing w:after="0"/>
              <w:rPr>
                <w:sz w:val="22"/>
                <w:szCs w:val="22"/>
                <w:color w:val="auto"/>
              </w:rPr>
            </w:pPr>
          </w:p>
        </w:tc>
        <w:tc>
          <w:tcPr>
            <w:tcW w:w="6640" w:type="dxa"/>
            <w:vAlign w:val="bottom"/>
            <w:gridSpan w:val="9"/>
          </w:tcPr>
          <w:p>
            <w:pPr>
              <w:ind w:left="2860"/>
              <w:spacing w:after="0"/>
              <w:rPr>
                <w:sz w:val="20"/>
                <w:szCs w:val="20"/>
                <w:color w:val="auto"/>
              </w:rPr>
            </w:pPr>
            <w:r>
              <w:rPr>
                <w:rFonts w:ascii="Times New Roman" w:cs="Times New Roman" w:eastAsia="Times New Roman" w:hAnsi="Times New Roman"/>
                <w:sz w:val="22"/>
                <w:szCs w:val="22"/>
                <w:color w:val="auto"/>
              </w:rPr>
              <w:t>Name:  Willie Chiang</w:t>
            </w:r>
          </w:p>
        </w:tc>
        <w:tc>
          <w:tcPr>
            <w:tcW w:w="3580" w:type="dxa"/>
            <w:vAlign w:val="bottom"/>
          </w:tcPr>
          <w:p>
            <w:pPr>
              <w:spacing w:after="0"/>
              <w:rPr>
                <w:sz w:val="22"/>
                <w:szCs w:val="22"/>
                <w:color w:val="auto"/>
              </w:rPr>
            </w:pPr>
          </w:p>
        </w:tc>
      </w:tr>
      <w:tr>
        <w:trPr>
          <w:trHeight w:val="282"/>
        </w:trPr>
        <w:tc>
          <w:tcPr>
            <w:tcW w:w="1040" w:type="dxa"/>
            <w:vAlign w:val="bottom"/>
          </w:tcPr>
          <w:p>
            <w:pPr>
              <w:spacing w:after="0"/>
              <w:rPr>
                <w:sz w:val="24"/>
                <w:szCs w:val="24"/>
                <w:color w:val="auto"/>
              </w:rPr>
            </w:pPr>
          </w:p>
        </w:tc>
        <w:tc>
          <w:tcPr>
            <w:tcW w:w="6640" w:type="dxa"/>
            <w:vAlign w:val="bottom"/>
            <w:gridSpan w:val="9"/>
          </w:tcPr>
          <w:p>
            <w:pPr>
              <w:ind w:left="2860"/>
              <w:spacing w:after="0"/>
              <w:rPr>
                <w:sz w:val="20"/>
                <w:szCs w:val="20"/>
                <w:color w:val="auto"/>
              </w:rPr>
            </w:pPr>
            <w:r>
              <w:rPr>
                <w:rFonts w:ascii="Times New Roman" w:cs="Times New Roman" w:eastAsia="Times New Roman" w:hAnsi="Times New Roman"/>
                <w:sz w:val="22"/>
                <w:szCs w:val="22"/>
                <w:color w:val="auto"/>
              </w:rPr>
              <w:t>Title:  Chairman, CEO and President</w:t>
            </w:r>
          </w:p>
        </w:tc>
        <w:tc>
          <w:tcPr>
            <w:tcW w:w="3580" w:type="dxa"/>
            <w:vAlign w:val="bottom"/>
          </w:tcPr>
          <w:p>
            <w:pPr>
              <w:spacing w:after="0"/>
              <w:rPr>
                <w:sz w:val="24"/>
                <w:szCs w:val="24"/>
                <w:color w:val="auto"/>
              </w:rPr>
            </w:pPr>
          </w:p>
        </w:tc>
      </w:tr>
      <w:tr>
        <w:trPr>
          <w:trHeight w:val="744"/>
        </w:trPr>
        <w:tc>
          <w:tcPr>
            <w:tcW w:w="10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8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Number of Phantom Units: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[Number]</w:t>
            </w:r>
          </w:p>
        </w:tc>
        <w:tc>
          <w:tcPr>
            <w:tcW w:w="3580" w:type="dxa"/>
            <w:vAlign w:val="bottom"/>
          </w:tcPr>
          <w:p>
            <w:pPr>
              <w:spacing w:after="0"/>
              <w:rPr>
                <w:sz w:val="24"/>
                <w:szCs w:val="24"/>
                <w:color w:val="auto"/>
              </w:rPr>
            </w:pPr>
          </w:p>
        </w:tc>
      </w:tr>
      <w:tr>
        <w:trPr>
          <w:trHeight w:val="655"/>
        </w:trPr>
        <w:tc>
          <w:tcPr>
            <w:tcW w:w="1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Dated:</w:t>
            </w:r>
          </w:p>
        </w:tc>
        <w:tc>
          <w:tcPr>
            <w:tcW w:w="32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797"/>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60" w:type="dxa"/>
            <w:vAlign w:val="bottom"/>
            <w:gridSpan w:val="8"/>
          </w:tcPr>
          <w:p>
            <w:pPr>
              <w:ind w:left="260"/>
              <w:spacing w:after="0"/>
              <w:rPr>
                <w:sz w:val="20"/>
                <w:szCs w:val="20"/>
                <w:color w:val="auto"/>
              </w:rPr>
            </w:pPr>
            <w:r>
              <w:rPr>
                <w:rFonts w:ascii="Times New Roman" w:cs="Times New Roman" w:eastAsia="Times New Roman" w:hAnsi="Times New Roman"/>
                <w:sz w:val="22"/>
                <w:szCs w:val="22"/>
                <w:color w:val="auto"/>
              </w:rPr>
              <w:t>Beneficiary Designation</w:t>
            </w:r>
          </w:p>
        </w:tc>
        <w:tc>
          <w:tcPr>
            <w:tcW w:w="3580" w:type="dxa"/>
            <w:vAlign w:val="bottom"/>
          </w:tcPr>
          <w:p>
            <w:pPr>
              <w:spacing w:after="0"/>
              <w:rPr>
                <w:sz w:val="24"/>
                <w:szCs w:val="24"/>
                <w:color w:val="auto"/>
              </w:rPr>
            </w:pPr>
          </w:p>
        </w:tc>
      </w:tr>
      <w:tr>
        <w:trPr>
          <w:trHeight w:val="48"/>
        </w:trPr>
        <w:tc>
          <w:tcPr>
            <w:tcW w:w="43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gridSpan w:val="2"/>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336"/>
        </w:trPr>
        <w:tc>
          <w:tcPr>
            <w:tcW w:w="432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60" w:type="dxa"/>
            <w:vAlign w:val="bottom"/>
            <w:tcBorders>
              <w:bottom w:val="single" w:sz="8" w:color="C0C0C0"/>
            </w:tcBorders>
            <w:shd w:val="clear" w:color="auto" w:fill="C0C0C0"/>
          </w:tcPr>
          <w:p>
            <w:pPr>
              <w:spacing w:after="0"/>
              <w:rPr>
                <w:sz w:val="24"/>
                <w:szCs w:val="24"/>
                <w:color w:val="auto"/>
              </w:rPr>
            </w:pPr>
          </w:p>
        </w:tc>
        <w:tc>
          <w:tcPr>
            <w:tcW w:w="78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5"/>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10"/>
        </w:trPr>
        <w:tc>
          <w:tcPr>
            <w:tcW w:w="1040" w:type="dxa"/>
            <w:vAlign w:val="bottom"/>
            <w:tcBorders>
              <w:top w:val="single" w:sz="8" w:color="auto"/>
              <w:left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98"/>
        </w:trPr>
        <w:tc>
          <w:tcPr>
            <w:tcW w:w="4320" w:type="dxa"/>
            <w:vAlign w:val="bottom"/>
            <w:tcBorders>
              <w:left w:val="single" w:sz="8" w:color="auto"/>
              <w:bottom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60" w:type="dxa"/>
            <w:vAlign w:val="bottom"/>
            <w:tcBorders>
              <w:bottom w:val="single" w:sz="8" w:color="auto"/>
            </w:tcBorders>
            <w:shd w:val="clear" w:color="auto" w:fill="C0C0C0"/>
          </w:tcPr>
          <w:p>
            <w:pPr>
              <w:spacing w:after="0"/>
              <w:rPr>
                <w:sz w:val="24"/>
                <w:szCs w:val="24"/>
                <w:color w:val="auto"/>
              </w:rPr>
            </w:pPr>
          </w:p>
        </w:tc>
        <w:tc>
          <w:tcPr>
            <w:tcW w:w="780" w:type="dxa"/>
            <w:vAlign w:val="bottom"/>
            <w:tcBorders>
              <w:bottom w:val="single" w:sz="8" w:color="auto"/>
              <w:right w:val="single" w:sz="8" w:color="auto"/>
            </w:tcBorders>
            <w:shd w:val="clear" w:color="auto" w:fill="C0C0C0"/>
          </w:tcPr>
          <w:p>
            <w:pPr>
              <w:spacing w:after="0"/>
              <w:rPr>
                <w:sz w:val="24"/>
                <w:szCs w:val="24"/>
                <w:color w:val="auto"/>
              </w:rPr>
            </w:pPr>
          </w:p>
        </w:tc>
        <w:tc>
          <w:tcPr>
            <w:tcW w:w="2280" w:type="dxa"/>
            <w:vAlign w:val="bottom"/>
            <w:tcBorders>
              <w:bottom w:val="single" w:sz="8" w:color="auto"/>
              <w:right w:val="single" w:sz="8" w:color="auto"/>
            </w:tcBorders>
            <w:gridSpan w:val="5"/>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40" w:type="dxa"/>
            <w:vAlign w:val="bottom"/>
            <w:tcBorders>
              <w:bottom w:val="single" w:sz="8" w:color="auto"/>
            </w:tcBorders>
            <w:shd w:val="clear" w:color="auto" w:fill="C0C0C0"/>
          </w:tcPr>
          <w:p>
            <w:pPr>
              <w:spacing w:after="0"/>
              <w:rPr>
                <w:sz w:val="24"/>
                <w:szCs w:val="24"/>
                <w:color w:val="auto"/>
              </w:rPr>
            </w:pPr>
          </w:p>
        </w:tc>
        <w:tc>
          <w:tcPr>
            <w:tcW w:w="3580" w:type="dxa"/>
            <w:vAlign w:val="bottom"/>
            <w:tcBorders>
              <w:bottom w:val="single" w:sz="8" w:color="auto"/>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r>
      <w:tr>
        <w:trPr>
          <w:trHeight w:val="237"/>
        </w:trPr>
        <w:tc>
          <w:tcPr>
            <w:tcW w:w="1040" w:type="dxa"/>
            <w:vAlign w:val="bottom"/>
            <w:tcBorders>
              <w:left w:val="single" w:sz="8" w:color="auto"/>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Check this box only if this beneficiary designation does not apply to prior grants.</w:t>
      </w:r>
    </w:p>
    <w:p>
      <w:pPr>
        <w:sectPr>
          <w:pgSz w:w="11900" w:h="16838" w:orient="portrait"/>
          <w:cols w:equalWidth="0" w:num="1">
            <w:col w:w="11260"/>
          </w:cols>
          <w:pgMar w:left="320" w:top="126"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13335</wp:posOffset>
            </wp:positionV>
            <wp:extent cx="2237105" cy="668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22371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14, 2025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 (Willie) Chiang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23" w:lineRule="exact"/>
        <w:rPr>
          <w:sz w:val="20"/>
          <w:szCs w:val="20"/>
          <w:color w:val="auto"/>
        </w:rPr>
      </w:pPr>
    </w:p>
    <w:p>
      <w:pPr>
        <w:ind w:left="220"/>
        <w:spacing w:after="0"/>
        <w:tabs>
          <w:tab w:leader="none" w:pos="720" w:val="left"/>
        </w:tabs>
        <w:rPr>
          <w:sz w:val="20"/>
          <w:szCs w:val="20"/>
          <w:color w:val="auto"/>
        </w:rPr>
      </w:pPr>
      <w:r>
        <w:rPr>
          <w:rFonts w:ascii="Times New Roman" w:cs="Times New Roman" w:eastAsia="Times New Roman" w:hAnsi="Times New Roman"/>
          <w:sz w:val="22"/>
          <w:szCs w:val="22"/>
          <w:b w:val="1"/>
          <w:bCs w:val="1"/>
          <w:i w:val="1"/>
          <w:iCs w:val="1"/>
          <w:color w:val="auto"/>
        </w:rPr>
        <w:t>Re:</w:t>
      </w:r>
      <w:r>
        <w:rPr>
          <w:sz w:val="20"/>
          <w:szCs w:val="20"/>
          <w:color w:val="auto"/>
        </w:rPr>
        <w:tab/>
      </w:r>
      <w:r>
        <w:rPr>
          <w:rFonts w:ascii="Times New Roman" w:cs="Times New Roman" w:eastAsia="Times New Roman" w:hAnsi="Times New Roman"/>
          <w:sz w:val="21"/>
          <w:szCs w:val="21"/>
          <w:b w:val="1"/>
          <w:bCs w:val="1"/>
          <w:i w:val="1"/>
          <w:iCs w:val="1"/>
          <w:color w:val="auto"/>
        </w:rPr>
        <w:t>Amendment of Phantom Unit Grant Letter dated August 16,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Willie:</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Compensation Committee and Board of Directors of PAA GP Holdings LLC has approved a modification to the vesting terms of your long-term incentive plan grant letter dated August 16, 2018 (the “August 2018 Grant Letter”) in order to extend the expiration date of the grant from October 1, 2025 to October 1, 2030. Accordingly, effective as of the date of this letter, the second-to-last sentence of paragraph 1 of the August 2018 Grant Letter is hereby amended to read in full as follows: “Any remaining Phantom Units that have not vested on or before October 1, 2030, and any associated DERs (regardless of vesting), shall expire on such date.”</w:t>
      </w:r>
    </w:p>
    <w:p>
      <w:pPr>
        <w:spacing w:after="0" w:line="20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Except as amended hereunder, the August 2018 Grant Letter shall remain in full force and effect according to its terms.</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PAA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PLAINS AAP, L.P.</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PLAINS ALL AMERICAN GP LLC</w:t>
      </w:r>
    </w:p>
    <w:p>
      <w:pPr>
        <w:spacing w:after="0" w:line="200" w:lineRule="exact"/>
        <w:rPr>
          <w:sz w:val="20"/>
          <w:szCs w:val="20"/>
          <w:color w:val="auto"/>
        </w:rPr>
      </w:pPr>
    </w:p>
    <w:p>
      <w:pPr>
        <w:spacing w:after="0" w:line="27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Richard K.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tabs>
          <w:tab w:leader="none" w:pos="140" w:val="left"/>
          <w:tab w:leader="none" w:pos="140" w:val="left"/>
        </w:tabs>
        <w:rPr>
          <w:sz w:val="20"/>
          <w:szCs w:val="20"/>
          <w:color w:val="auto"/>
        </w:rPr>
      </w:pPr>
      <w:r>
        <w:rPr>
          <w:rFonts w:ascii="Times New Roman" w:cs="Times New Roman" w:eastAsia="Times New Roman" w:hAnsi="Times New Roman"/>
          <w:sz w:val="20"/>
          <w:szCs w:val="20"/>
          <w:color w:val="000080"/>
        </w:rPr>
        <w:t xml:space="preserve">333 Clay Street, Suite 1600 </w:t>
      </w:r>
      <w:r>
        <w:rPr>
          <w:rFonts w:ascii="Wingdings" w:cs="Wingdings" w:eastAsia="Wingdings" w:hAnsi="Wingdings"/>
          <w:sz w:val="16"/>
          <w:szCs w:val="16"/>
          <w:b w:val="1"/>
          <w:bCs w:val="1"/>
          <w:color w:val="0A2299"/>
        </w:rPr>
        <w:t>n</w:t>
      </w:r>
      <w:r>
        <w:rPr>
          <w:rFonts w:ascii="Times New Roman" w:cs="Times New Roman" w:eastAsia="Times New Roman" w:hAnsi="Times New Roman"/>
          <w:sz w:val="20"/>
          <w:szCs w:val="20"/>
          <w:color w:val="000080"/>
        </w:rPr>
        <w:tab/>
        <w:t xml:space="preserve">Houston, Texas 77002 </w:t>
      </w:r>
      <w:r>
        <w:rPr>
          <w:rFonts w:ascii="Wingdings" w:cs="Wingdings" w:eastAsia="Wingdings" w:hAnsi="Wingdings"/>
          <w:sz w:val="16"/>
          <w:szCs w:val="16"/>
          <w:b w:val="1"/>
          <w:bCs w:val="1"/>
          <w:color w:val="0A2299"/>
        </w:rPr>
        <w:t>n</w:t>
      </w:r>
      <w:r>
        <w:rPr>
          <w:sz w:val="20"/>
          <w:szCs w:val="20"/>
          <w:color w:val="auto"/>
        </w:rPr>
        <w:tab/>
      </w:r>
      <w:r>
        <w:rPr>
          <w:rFonts w:ascii="Times New Roman" w:cs="Times New Roman" w:eastAsia="Times New Roman" w:hAnsi="Times New Roman"/>
          <w:sz w:val="19"/>
          <w:szCs w:val="19"/>
          <w:color w:val="000080"/>
        </w:rPr>
        <w:t>713/646-4100 or 800-564-3036</w:t>
      </w:r>
    </w:p>
    <w:p>
      <w:pPr>
        <w:sectPr>
          <w:pgSz w:w="11900" w:h="16838" w:orient="portrait"/>
          <w:cols w:equalWidth="0" w:num="1">
            <w:col w:w="11240"/>
          </w:cols>
          <w:pgMar w:left="320" w:top="122"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7, 2025</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1)"/>
      <w:numFmt w:val="lowerRoman"/>
      <w:start w:val="5"/>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4"/>
    </w:lvl>
  </w:abstractNum>
  <w:abstractNum w:abstractNumId="17">
    <w:nsid w:val="579478FE"/>
    <w:multiLevelType w:val="hybridMultilevel"/>
    <w:lvl w:ilvl="0">
      <w:lvlJc w:val="left"/>
      <w:lvlText w:val="(%1)"/>
      <w:numFmt w:val="decimal"/>
      <w:start w:val="13"/>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lowerRoman"/>
      <w:start w:val="5"/>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lowerRoman"/>
      <w:start w:val="5"/>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lowerRoman"/>
      <w:start w:val="2"/>
    </w:lvl>
  </w:abstractNum>
  <w:abstractNum w:abstractNumId="33">
    <w:nsid w:val="180115BE"/>
    <w:multiLevelType w:val="hybridMultilevel"/>
    <w:lvl w:ilvl="0">
      <w:lvlJc w:val="left"/>
      <w:lvlText w:val="(%1)"/>
      <w:numFmt w:val="lowerRoman"/>
      <w:start w:val="2"/>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lvl w:ilvl="1">
      <w:lvlJc w:val="left"/>
      <w:lvlText w:val="(%2)"/>
      <w:numFmt w:val="lowerLetter"/>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
    <w:nsid w:val="741226B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9">
    <w:nsid w:val="D34B6A8"/>
    <w:multiLevelType w:val="hybridMultilevel"/>
    <w:lvl w:ilvl="0">
      <w:lvlJc w:val="left"/>
      <w:lvlText w:val="%1"/>
      <w:numFmt w:val="decimal"/>
      <w:start w:val="1"/>
    </w:lvl>
    <w:lvl w:ilvl="1">
      <w:lvlJc w:val="left"/>
      <w:lvlText w:val="(%2)"/>
      <w:numFmt w:val="lowerLetter"/>
      <w:start w:val="2"/>
    </w:lvl>
  </w:abstractNum>
  <w:abstractNum w:abstractNumId="40">
    <w:nsid w:val="10233C99"/>
    <w:multiLevelType w:val="hybridMultilevel"/>
    <w:lvl w:ilvl="0">
      <w:lvlJc w:val="left"/>
      <w:lvlText w:val="%1."/>
      <w:numFmt w:val="decimal"/>
      <w:start w:val="6"/>
    </w:lvl>
    <w:lvl w:ilvl="1">
      <w:lvlJc w:val="left"/>
      <w:lvlText w:val="%2"/>
      <w:numFmt w:val="lowerLetter"/>
      <w:start w:val="1"/>
    </w:lvl>
  </w:abstractNum>
  <w:abstractNum w:abstractNumId="41">
    <w:nsid w:val="3F6AB60F"/>
    <w:multiLevelType w:val="hybridMultilevel"/>
    <w:lvl w:ilvl="0">
      <w:lvlJc w:val="left"/>
      <w:lvlText w:val="%1."/>
      <w:numFmt w:val="decimal"/>
      <w:start w:val="9"/>
    </w:lvl>
  </w:abstractNum>
  <w:abstractNum w:abstractNumId="42">
    <w:nsid w:val="61574095"/>
    <w:multiLevelType w:val="hybridMultilevel"/>
    <w:lvl w:ilvl="0">
      <w:lvlJc w:val="left"/>
      <w:lvlText w:val="%1."/>
      <w:numFmt w:val="decimal"/>
      <w:start w:val="11"/>
    </w:lvl>
  </w:abstractNum>
  <w:abstractNum w:abstractNumId="43">
    <w:nsid w:val="7E0C57B1"/>
    <w:multiLevelType w:val="hybridMultilevel"/>
    <w:lvl w:ilvl="0">
      <w:lvlJc w:val="left"/>
      <w:lvlText w:val="%1."/>
      <w:numFmt w:val="decimal"/>
      <w:start w:val="1"/>
    </w:lvl>
    <w:lvl w:ilvl="1">
      <w:lvlJc w:val="left"/>
      <w:lvlText w:val="(%2)"/>
      <w:numFmt w:val="lowerLetter"/>
      <w:start w:val="1"/>
    </w:lvl>
  </w:abstractNum>
  <w:abstractNum w:abstractNumId="44">
    <w:nsid w:val="77AE35E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5">
    <w:nsid w:val="579BE4F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
    <w:nsid w:val="310C50B3"/>
    <w:multiLevelType w:val="hybridMultilevel"/>
    <w:lvl w:ilvl="0">
      <w:lvlJc w:val="left"/>
      <w:lvlText w:val="%1."/>
      <w:numFmt w:val="decimal"/>
      <w:start w:val="4"/>
    </w:lvl>
  </w:abstractNum>
  <w:abstractNum w:abstractNumId="47">
    <w:nsid w:val="5FF87E05"/>
    <w:multiLevelType w:val="hybridMultilevel"/>
    <w:lvl w:ilvl="0">
      <w:lvlJc w:val="left"/>
      <w:lvlText w:val="%1."/>
      <w:numFmt w:val="decimal"/>
      <w:start w:val="9"/>
    </w:lvl>
  </w:abstractNum>
  <w:abstractNum w:abstractNumId="48">
    <w:nsid w:val="2F305DEF"/>
    <w:multiLevelType w:val="hybridMultilevel"/>
    <w:lvl w:ilvl="0">
      <w:lvlJc w:val="left"/>
      <w:lvlText w:val="%1."/>
      <w:numFmt w:val="decimal"/>
      <w:start w:val="11"/>
    </w:lvl>
  </w:abstractNum>
  <w:abstractNum w:abstractNumId="49">
    <w:nsid w:val="25A70BF7"/>
    <w:multiLevelType w:val="hybridMultilevel"/>
    <w:lvl w:ilvl="0">
      <w:lvlJc w:val="left"/>
      <w:lvlText w:val="%1."/>
      <w:numFmt w:val="decimal"/>
      <w:start w:val="1"/>
    </w:lvl>
    <w:lvl w:ilvl="1">
      <w:lvlJc w:val="left"/>
      <w:lvlText w:val="%2."/>
      <w:numFmt w:val="lowerLetter"/>
      <w:start w:val="1"/>
    </w:lvl>
  </w:abstractNum>
  <w:abstractNum w:abstractNumId="50">
    <w:nsid w:val="1DBABF00"/>
    <w:multiLevelType w:val="hybridMultilevel"/>
    <w:lvl w:ilvl="0">
      <w:lvlJc w:val="left"/>
      <w:lvlText w:val="%1"/>
      <w:numFmt w:val="decimal"/>
      <w:start w:val="1"/>
    </w:lvl>
    <w:lvl w:ilvl="1">
      <w:lvlJc w:val="left"/>
      <w:lvlText w:val="%2."/>
      <w:numFmt w:val="lowerLetter"/>
      <w:start w:val="2"/>
    </w:lvl>
  </w:abstractNum>
  <w:abstractNum w:abstractNumId="51">
    <w:nsid w:val="4AD084E9"/>
    <w:multiLevelType w:val="hybridMultilevel"/>
    <w:lvl w:ilvl="0">
      <w:lvlJc w:val="left"/>
      <w:lvlText w:val="%1."/>
      <w:numFmt w:val="decimal"/>
      <w:start w:val="3"/>
    </w:lvl>
    <w:lvl w:ilvl="1">
      <w:lvlJc w:val="left"/>
      <w:lvlText w:val="%2"/>
      <w:numFmt w:val="lowerLetter"/>
      <w:start w:val="1"/>
    </w:lvl>
  </w:abstractNum>
  <w:abstractNum w:abstractNumId="52">
    <w:nsid w:val="1F48EAA1"/>
    <w:multiLevelType w:val="hybridMultilevel"/>
    <w:lvl w:ilvl="0">
      <w:lvlJc w:val="left"/>
      <w:lvlText w:val="%1."/>
      <w:numFmt w:val="decimal"/>
      <w:start w:val="6"/>
    </w:lvl>
    <w:lvl w:ilvl="1">
      <w:lvlJc w:val="left"/>
      <w:lvlText w:val="(%2)"/>
      <w:numFmt w:val="lowerLetter"/>
      <w:start w:val="25"/>
    </w:lvl>
  </w:abstractNum>
  <w:abstractNum w:abstractNumId="53">
    <w:nsid w:val="1381823A"/>
    <w:multiLevelType w:val="hybridMultilevel"/>
    <w:lvl w:ilvl="0">
      <w:lvlJc w:val="left"/>
      <w:lvlText w:val="%1."/>
      <w:numFmt w:val="decimal"/>
      <w:start w:val="8"/>
    </w:lvl>
  </w:abstractNum>
  <w:abstractNum w:abstractNumId="54">
    <w:nsid w:val="5DB70AE5"/>
    <w:multiLevelType w:val="hybridMultilevel"/>
    <w:lvl w:ilvl="0">
      <w:lvlJc w:val="left"/>
      <w:lvlText w:val="(%1)"/>
      <w:numFmt w:val="upperLetter"/>
      <w:start w:val="2"/>
    </w:lvl>
  </w:abstractNum>
  <w:abstractNum w:abstractNumId="55">
    <w:nsid w:val="100F8FCA"/>
    <w:multiLevelType w:val="hybridMultilevel"/>
    <w:lvl w:ilvl="0">
      <w:lvlJc w:val="left"/>
      <w:lvlText w:val="(%1)"/>
      <w:numFmt w:val="lowerRoman"/>
      <w:start w:val="1"/>
    </w:lvl>
  </w:abstractNum>
  <w:abstractNum w:abstractNumId="56">
    <w:nsid w:val="6590700B"/>
    <w:multiLevelType w:val="hybridMultilevel"/>
    <w:lvl w:ilvl="0">
      <w:lvlJc w:val="left"/>
      <w:lvlText w:val="1"/>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3"/>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2"/>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6"/>
    </w:lvl>
  </w:abstractNum>
  <w:abstractNum w:abstractNumId="64">
    <w:nsid w:val="1EBA5D23"/>
    <w:multiLevelType w:val="hybridMultilevel"/>
    <w:lvl w:ilvl="0">
      <w:lvlJc w:val="left"/>
      <w:lvlText w:val="%1."/>
      <w:numFmt w:val="decimal"/>
      <w:start w:val="1"/>
    </w:lvl>
    <w:lvl w:ilvl="1">
      <w:lvlJc w:val="left"/>
      <w:lvlText w:val="%2."/>
      <w:numFmt w:val="lowerLetter"/>
      <w:start w:val="1"/>
    </w:lvl>
  </w:abstractNum>
  <w:abstractNum w:abstractNumId="65">
    <w:nsid w:val="661E3F1E"/>
    <w:multiLevelType w:val="hybridMultilevel"/>
    <w:lvl w:ilvl="0">
      <w:lvlJc w:val="left"/>
      <w:lvlText w:val="%1"/>
      <w:numFmt w:val="decimal"/>
      <w:start w:val="1"/>
    </w:lvl>
    <w:lvl w:ilvl="1">
      <w:lvlJc w:val="left"/>
      <w:lvlText w:val="%2."/>
      <w:numFmt w:val="lowerLetter"/>
      <w:start w:val="4"/>
    </w:lvl>
  </w:abstractNum>
  <w:abstractNum w:abstractNumId="66">
    <w:nsid w:val="5DC79EA8"/>
    <w:multiLevelType w:val="hybridMultilevel"/>
    <w:lvl w:ilvl="0">
      <w:lvlJc w:val="left"/>
      <w:lvlText w:val="%1."/>
      <w:numFmt w:val="decimal"/>
      <w:start w:val="3"/>
    </w:lvl>
    <w:lvl w:ilvl="1">
      <w:lvlJc w:val="left"/>
      <w:lvlText w:val="%2"/>
      <w:numFmt w:val="lowerLetter"/>
      <w:start w:val="1"/>
    </w:lvl>
  </w:abstractNum>
  <w:abstractNum w:abstractNumId="67">
    <w:nsid w:val="540A471C"/>
    <w:multiLevelType w:val="hybridMultilevel"/>
    <w:lvl w:ilvl="0">
      <w:lvlJc w:val="left"/>
      <w:lvlText w:val="%1."/>
      <w:numFmt w:val="decimal"/>
      <w:start w:val="7"/>
    </w:lvl>
  </w:abstractNum>
  <w:abstractNum w:abstractNumId="68">
    <w:nsid w:val="7BD3EE7B"/>
    <w:multiLevelType w:val="hybridMultilevel"/>
    <w:lvl w:ilvl="0">
      <w:lvlJc w:val="left"/>
      <w:lvlText w:val="(%1)"/>
      <w:numFmt w:val="upperLetter"/>
      <w:start w:val="2"/>
    </w:lvl>
  </w:abstractNum>
  <w:abstractNum w:abstractNumId="69">
    <w:nsid w:val="51D9C564"/>
    <w:multiLevelType w:val="hybridMultilevel"/>
    <w:lvl w:ilvl="0">
      <w:lvlJc w:val="left"/>
      <w:lvlText w:val="(%1)"/>
      <w:numFmt w:val="lowerRoman"/>
      <w:start w:val="1"/>
    </w:lvl>
  </w:abstractNum>
  <w:abstractNum w:abstractNumId="70">
    <w:nsid w:val="613EFDC5"/>
    <w:multiLevelType w:val="hybridMultilevel"/>
    <w:lvl w:ilvl="0">
      <w:lvlJc w:val="left"/>
      <w:lvlText w:val="1"/>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lowerRoman"/>
      <w:start w:val="1"/>
    </w:lvl>
  </w:abstractNum>
  <w:abstractNum w:abstractNumId="80">
    <w:nsid w:val="60B6DF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6" Type="http://schemas.openxmlformats.org/officeDocument/2006/relationships/image" Target="media/image83.png"/><Relationship Id="rId108" Type="http://schemas.openxmlformats.org/officeDocument/2006/relationships/image" Target="media/image84.png"/><Relationship Id="rId121"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jpeg"/><Relationship Id="rId131" Type="http://schemas.openxmlformats.org/officeDocument/2006/relationships/image" Target="media/image90.png"/><Relationship Id="rId132" Type="http://schemas.openxmlformats.org/officeDocument/2006/relationships/image" Target="media/image91.jpe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jpeg"/><Relationship Id="rId139" Type="http://schemas.openxmlformats.org/officeDocument/2006/relationships/image" Target="media/image98.png"/><Relationship Id="rId140" Type="http://schemas.openxmlformats.org/officeDocument/2006/relationships/image" Target="media/image99.jpe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90" Type="http://schemas.openxmlformats.org/officeDocument/2006/relationships/hyperlink" Target="https://www.sec.gov/Archives/edgar/data/1581990/000158199025000021/pagpq22025exhibit21.htm" TargetMode="External"/><Relationship Id="rId91" Type="http://schemas.openxmlformats.org/officeDocument/2006/relationships/hyperlink" Target="https://www.sec.gov/Archives/edgar/data/1070423/000107042325000020/paaq22025exhibit21.htm" TargetMode="External"/><Relationship Id="rId92" Type="http://schemas.openxmlformats.org/officeDocument/2006/relationships/hyperlink" Target="https://www.sec.gov/Archives/edgar/data/1581990/000110465925107698/tm2530340d1_ex2-1.htm" TargetMode="External"/><Relationship Id="rId93" Type="http://schemas.openxmlformats.org/officeDocument/2006/relationships/hyperlink" Target="https://www.sec.gov/Archives/edgar/data/1581990/000110465925107698/tm2530340d1_ex2-2.htm" TargetMode="External"/><Relationship Id="rId94" Type="http://schemas.openxmlformats.org/officeDocument/2006/relationships/hyperlink" Target="https://www.sec.gov/Archives/edgar/data/1581990/000104746913007875/a2216069zex-3_1.htm" TargetMode="External"/><Relationship Id="rId95" Type="http://schemas.openxmlformats.org/officeDocument/2006/relationships/hyperlink" Target="https://www.sec.gov/Archives/edgar/data/1581990/000110465916158356/a16-21845_1ex3d2.htm" TargetMode="External"/><Relationship Id="rId96" Type="http://schemas.openxmlformats.org/officeDocument/2006/relationships/hyperlink" Target="https://www.sec.gov/Archives/edgar/data/1581990/000158199020000012/exhibit31.htm" TargetMode="External"/><Relationship Id="rId97" Type="http://schemas.openxmlformats.org/officeDocument/2006/relationships/hyperlink" Target="https://www.sec.gov/Archives/edgar/data/1581990/000104746913007875/a2216069zex-3_3.htm" TargetMode="External"/><Relationship Id="rId98" Type="http://schemas.openxmlformats.org/officeDocument/2006/relationships/hyperlink" Target="https://www.sec.gov/Archives/edgar/data/1581990/000158199022000006/pagp202110-kexhibit311a.htm" TargetMode="External"/><Relationship Id="rId99" Type="http://schemas.openxmlformats.org/officeDocument/2006/relationships/hyperlink" Target="https://www.sec.gov/Archives/edgar/data/1070423/000110465917061889/a17-22685_5ex3d1.htm" TargetMode="External"/><Relationship Id="rId100" Type="http://schemas.openxmlformats.org/officeDocument/2006/relationships/hyperlink" Target="https://www.sec.gov/Archives/edgar/data/1581990/000110465916158356/a16-21845_1ex3d3.htm" TargetMode="External"/><Relationship Id="rId101" Type="http://schemas.openxmlformats.org/officeDocument/2006/relationships/hyperlink" Target="https://www.sec.gov/Archives/edgar/data/1581990/000110465916158356/a16-21845_1ex3d4.htm" TargetMode="External"/><Relationship Id="rId102" Type="http://schemas.openxmlformats.org/officeDocument/2006/relationships/hyperlink" Target="https://www.sec.gov/Archives/edgar/data/1581990/000110465918060012/a18-36197_1ex3d1.htm" TargetMode="External"/><Relationship Id="rId103" Type="http://schemas.openxmlformats.org/officeDocument/2006/relationships/hyperlink" Target="https://www.sec.gov/Archives/edgar/data/1581990/000110465919032813/a19-10857_1ex3d1.htm" TargetMode="External"/><Relationship Id="rId104" Type="http://schemas.openxmlformats.org/officeDocument/2006/relationships/hyperlink" Target="https://www.sec.gov/Archives/edgar/data/1581990/000110465923093996/tm2324102d2_ex3-1.htm" TargetMode="External"/><Relationship Id="rId105" Type="http://schemas.openxmlformats.org/officeDocument/2006/relationships/hyperlink" Target="https://www.sec.gov/Archives/edgar/data/1070423/000095012908000071/h52770exv3w3.htm" TargetMode="External"/><Relationship Id="rId107" Type="http://schemas.openxmlformats.org/officeDocument/2006/relationships/hyperlink" Target="https://www.sec.gov/Archives/edgar/data/1070423/000089924302002834/dex41.txt" TargetMode="External"/><Relationship Id="rId109" Type="http://schemas.openxmlformats.org/officeDocument/2006/relationships/hyperlink" Target="https://www.sec.gov/Archives/edgar/data/1070423/000110465906034368/a06-11663_1ex4d1.htm" TargetMode="External"/><Relationship Id="rId110" Type="http://schemas.openxmlformats.org/officeDocument/2006/relationships/hyperlink" Target="https://www.sec.gov/Archives/edgar/data/1070423/000095012906009235/h40667exv4w2.htm" TargetMode="External"/><Relationship Id="rId111" Type="http://schemas.openxmlformats.org/officeDocument/2006/relationships/hyperlink" Target="https://www.sec.gov/Archives/edgar/data/1070423/000119312512132295/d321017dex43.htm" TargetMode="External"/><Relationship Id="rId112" Type="http://schemas.openxmlformats.org/officeDocument/2006/relationships/hyperlink" Target="https://www.sec.gov/Archives/edgar/data/1070423/000119312512499932/d453762dex43.htm" TargetMode="External"/><Relationship Id="rId113" Type="http://schemas.openxmlformats.org/officeDocument/2006/relationships/hyperlink" Target="https://www.sec.gov/Archives/edgar/data/1581990/000119312514164185/d717953dex41.htm" TargetMode="External"/><Relationship Id="rId114" Type="http://schemas.openxmlformats.org/officeDocument/2006/relationships/hyperlink" Target="https://www.sec.gov/Archives/edgar/data/1581990/000119312514440012/d835488dex43.htm" TargetMode="External"/><Relationship Id="rId115" Type="http://schemas.openxmlformats.org/officeDocument/2006/relationships/hyperlink" Target="https://www.sec.gov/Archives/edgar/data/1070423/000119312515302829/d45393dex41.htm" TargetMode="External"/><Relationship Id="rId116" Type="http://schemas.openxmlformats.org/officeDocument/2006/relationships/hyperlink" Target="https://www.sec.gov/Archives/edgar/data/1070423/000110465916159593/a16-22232_1ex4d1.htm" TargetMode="External"/><Relationship Id="rId117" Type="http://schemas.openxmlformats.org/officeDocument/2006/relationships/hyperlink" Target="https://www.sec.gov/Archives/edgar/data/1070423/000141057819001281/tv529555_ex4-1.htm" TargetMode="External"/><Relationship Id="rId118" Type="http://schemas.openxmlformats.org/officeDocument/2006/relationships/hyperlink" Target="https://www.sec.gov/Archives/edgar/data/1070423/000110465920072270/tm2022235d1_ex4-1.htm" TargetMode="External"/><Relationship Id="rId119" Type="http://schemas.openxmlformats.org/officeDocument/2006/relationships/hyperlink" Target="https://www.sec.gov/Archives/edgar/data/1070423/000110465924075672/tm2418387d1_ex4-1.htm" TargetMode="External"/><Relationship Id="rId120" Type="http://schemas.openxmlformats.org/officeDocument/2006/relationships/hyperlink" Target="https://www.sec.gov/Archives/edgar/data/1070423/000110465925003785/tm253436d1_ex4-1.htm" TargetMode="External"/><Relationship Id="rId122" Type="http://schemas.openxmlformats.org/officeDocument/2006/relationships/hyperlink" Target="https://www.sec.gov/Archives/edgar/data/1070423/000110465925088257/tm2524999d4_ex4-1.htm" TargetMode="External"/><Relationship Id="rId123" Type="http://schemas.openxmlformats.org/officeDocument/2006/relationships/hyperlink" Target="https://www.sec.gov/Archives/edgar/data/1070423/000110465925088257/tm2524999d4_ex4-3.htm" TargetMode="External"/><Relationship Id="rId124" Type="http://schemas.openxmlformats.org/officeDocument/2006/relationships/hyperlink" Target="https://www.sec.gov/Archives/edgar/data/1581990/000110465913078057/a13-22338_2ex4d1.htm" TargetMode="External"/><Relationship Id="rId125" Type="http://schemas.openxmlformats.org/officeDocument/2006/relationships/hyperlink" Target="https://www.sec.gov/Archives/edgar/data/1581990/000158199025000006/pagp202410-kexhibit415.htm" TargetMode="External"/><Relationship Id="rId126" Type="http://schemas.openxmlformats.org/officeDocument/2006/relationships/hyperlink" Target="https://www.sec.gov/Archives/edgar/data/1581990/000110465925107698/tm253034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2025-11-07T16:03:09Z</dcterms:created>
  <dcterms:modified xsi:type="dcterms:W3CDTF">2025-11-07T16:03:09Z</dcterms:modified>
</cp:coreProperties>
</file>