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Commission file number 1-14569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PLAINS ALL AMERICAN PIPELINE, L.P.</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76-0582150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333 Clay Street, Suite 1600, 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before="0" w:after="0"/>
        <w:jc w:val="left"/>
        <w:rPr/>
      </w:pPr>
      <w:r>
        <w:rPr/>
      </w:r>
    </w:p>
    <w:p>
      <w:pPr>
        <w:pStyle w:val="TextBody"/>
        <w:bidi w:val="0"/>
        <w:spacing w:lineRule="auto" w:line="288" w:before="0" w:after="60"/>
        <w:jc w:val="center"/>
        <w:rPr/>
      </w:pPr>
      <w:r>
        <w:rPr>
          <w:rFonts w:ascii="Times New Roman;sans-serif" w:hAnsi="Times New Roman;sans-serif"/>
          <w:b w:val="false"/>
          <w:color w:val="000000"/>
          <w:sz w:val="16"/>
        </w:rPr>
        <w:t xml:space="preserve">Registrant’s telephone number, including area code: </w:t>
      </w:r>
      <w:r>
        <w:rPr>
          <w:rFonts w:ascii="Times New Roman;sans-serif" w:hAnsi="Times New Roman;sans-serif"/>
          <w:b/>
          <w:color w:val="000000"/>
          <w:sz w:val="16"/>
        </w:rPr>
        <w:t>(713) 646-4100</w:t>
      </w:r>
    </w:p>
    <w:p>
      <w:pPr>
        <w:pStyle w:val="TextBody"/>
        <w:bidi w:val="0"/>
        <w:spacing w:lineRule="auto" w:line="288" w:before="0" w:after="10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5965" w:type="dxa"/>
        <w:jc w:val="center"/>
        <w:tblInd w:w="0" w:type="dxa"/>
        <w:tblLayout w:type="fixed"/>
        <w:tblCellMar>
          <w:top w:w="28" w:type="dxa"/>
          <w:left w:w="28" w:type="dxa"/>
          <w:bottom w:w="28" w:type="dxa"/>
          <w:right w:w="28" w:type="dxa"/>
        </w:tblCellMar>
      </w:tblPr>
      <w:tblGrid>
        <w:gridCol w:w="451"/>
        <w:gridCol w:w="397"/>
        <w:gridCol w:w="398"/>
        <w:gridCol w:w="109"/>
        <w:gridCol w:w="109"/>
        <w:gridCol w:w="109"/>
        <w:gridCol w:w="409"/>
        <w:gridCol w:w="409"/>
        <w:gridCol w:w="411"/>
        <w:gridCol w:w="109"/>
        <w:gridCol w:w="109"/>
        <w:gridCol w:w="109"/>
        <w:gridCol w:w="830"/>
        <w:gridCol w:w="830"/>
        <w:gridCol w:w="117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bidi w:val="0"/>
        <w:spacing w:lineRule="auto" w:line="288" w:before="0" w:after="0"/>
        <w:jc w:val="center"/>
        <w:rPr/>
      </w:pPr>
      <w:r>
        <w:rPr>
          <w:rFonts w:ascii="Times New Roman;sans-serif" w:hAnsi="Times New Roman;sans-serif"/>
          <w:b w:val="false"/>
          <w:color w:val="000000"/>
          <w:sz w:val="16"/>
        </w:rPr>
        <w:t>Securities registered pursuant to Section 12(g) of the Act: </w:t>
      </w:r>
      <w:r>
        <w:rPr>
          <w:rFonts w:ascii="Times New Roman;sans-serif" w:hAnsi="Times New Roman;sans-serif"/>
          <w:b/>
          <w:color w:val="000000"/>
          <w:sz w:val="16"/>
        </w:rPr>
        <w:t>None</w:t>
      </w:r>
    </w:p>
    <w:p>
      <w:pPr>
        <w:pStyle w:val="TextBody"/>
        <w:bidi w:val="0"/>
        <w:spacing w:before="0" w:after="0"/>
        <w:jc w:val="left"/>
        <w:rPr/>
      </w:pPr>
      <w:r>
        <w:rPr/>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7" w:type="dxa"/>
        <w:jc w:val="left"/>
        <w:tblInd w:w="0" w:type="dxa"/>
        <w:tblLayout w:type="fixed"/>
        <w:tblCellMar>
          <w:top w:w="28" w:type="dxa"/>
          <w:left w:w="28" w:type="dxa"/>
          <w:bottom w:w="28" w:type="dxa"/>
          <w:right w:w="28" w:type="dxa"/>
        </w:tblCellMar>
      </w:tblPr>
      <w:tblGrid>
        <w:gridCol w:w="674"/>
        <w:gridCol w:w="592"/>
        <w:gridCol w:w="594"/>
        <w:gridCol w:w="109"/>
        <w:gridCol w:w="109"/>
        <w:gridCol w:w="109"/>
        <w:gridCol w:w="676"/>
        <w:gridCol w:w="676"/>
        <w:gridCol w:w="958"/>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lineRule="auto" w:line="288" w:before="0" w:after="12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approximately 452.4 million Common Units held by non-affiliates of the registrant (treating all executive officers and directors of the registrant and holders of 10% or more of the Common Units outstanding, for this purpose, as if they are affiliates of the registrant) on June 30, 2023 was approximately $6.4 billion, based on a closing price of $14.10 per Common Unit as reported on the Nasdaq Global Select Market on such date. </w:t>
      </w:r>
    </w:p>
    <w:p>
      <w:pPr>
        <w:pStyle w:val="TextBody"/>
        <w:bidi w:val="0"/>
        <w:spacing w:lineRule="auto" w:line="288" w:before="0" w:after="12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16, 2024, there were 701,071,031 Common Units outstanding.</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to be filed pursuant to Regulation 14A pertaining to the 2024 Annual Meeting of Unitholders are incorporated by reference into Part III hereof. The registrant intends to file such Proxy Statement no later than 120 days after the end of the fiscal year covered by this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10-K—2023 ANNUAL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44"/>
        <w:gridCol w:w="387"/>
        <w:gridCol w:w="388"/>
        <w:gridCol w:w="2827"/>
        <w:gridCol w:w="2803"/>
        <w:gridCol w:w="2842"/>
        <w:gridCol w:w="149"/>
        <w:gridCol w:w="149"/>
        <w:gridCol w:w="216"/>
      </w:tblGrid>
      <w:tr>
        <w:trPr/>
        <w:tc>
          <w:tcPr>
            <w:tcW w:w="44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91d9967f54b31a826c503fcfee0b8_13">
              <w:r>
                <w:rPr>
                  <w:rStyle w:val="InternetLink"/>
                  <w:rFonts w:ascii="Times New Roman;sans-serif" w:hAnsi="Times New Roman;sans-serif"/>
                  <w:b/>
                  <w:color w:val="0000FF"/>
                  <w:sz w:val="20"/>
                  <w:u w:val="single"/>
                </w:rPr>
                <w:t>PART I</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7291d9967f54b31a826c503fcfee0b8_13">
              <w:r>
                <w:rPr>
                  <w:rStyle w:val="InternetLink"/>
                  <w:rFonts w:ascii="Times New Roman;sans-serif" w:hAnsi="Times New Roman;sans-serif"/>
                  <w:b w:val="false"/>
                  <w:strike w:val="false"/>
                  <w:dstrike w:val="false"/>
                  <w:color w:val="000000"/>
                  <w:sz w:val="20"/>
                  <w:u w:val="none"/>
                  <w:effect w:val="none"/>
                </w:rPr>
                <w:t>5</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6">
              <w:r>
                <w:rPr>
                  <w:rStyle w:val="InternetLink"/>
                  <w:rFonts w:ascii="Times New Roman;sans-serif" w:hAnsi="Times New Roman;sans-serif"/>
                  <w:b w:val="false"/>
                  <w:color w:val="0000FF"/>
                  <w:sz w:val="20"/>
                  <w:u w:val="single"/>
                </w:rPr>
                <w:t>Items 1 and 2.</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6">
              <w:r>
                <w:rPr>
                  <w:rStyle w:val="InternetLink"/>
                  <w:rFonts w:ascii="Times New Roman;sans-serif" w:hAnsi="Times New Roman;sans-serif"/>
                  <w:b w:val="false"/>
                  <w:color w:val="0000FF"/>
                  <w:sz w:val="20"/>
                  <w:u w:val="single"/>
                </w:rPr>
                <w:t>Business and 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6">
              <w:r>
                <w:rPr>
                  <w:rStyle w:val="InternetLink"/>
                  <w:rFonts w:ascii="Times New Roman;sans-serif" w:hAnsi="Times New Roman;sans-serif"/>
                  <w:b w:val="false"/>
                  <w:strike w:val="false"/>
                  <w:dstrike w:val="false"/>
                  <w:color w:val="000000"/>
                  <w:sz w:val="20"/>
                  <w:u w:val="none"/>
                  <w:effect w:val="none"/>
                </w:rPr>
                <w:t>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58">
              <w:r>
                <w:rPr>
                  <w:rStyle w:val="InternetLink"/>
                  <w:rFonts w:ascii="Times New Roman;sans-serif" w:hAnsi="Times New Roman;sans-serif"/>
                  <w:b w:val="false"/>
                  <w:color w:val="0000FF"/>
                  <w:sz w:val="20"/>
                  <w:u w:val="single"/>
                </w:rPr>
                <w:t>Item 1A.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58">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58">
              <w:r>
                <w:rPr>
                  <w:rStyle w:val="InternetLink"/>
                  <w:rFonts w:ascii="Times New Roman;sans-serif" w:hAnsi="Times New Roman;sans-serif"/>
                  <w:b w:val="false"/>
                  <w:strike w:val="false"/>
                  <w:dstrike w:val="false"/>
                  <w:color w:val="000000"/>
                  <w:sz w:val="20"/>
                  <w:u w:val="none"/>
                  <w:effect w:val="none"/>
                </w:rPr>
                <w:t>37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1">
              <w:r>
                <w:rPr>
                  <w:rStyle w:val="InternetLink"/>
                  <w:rFonts w:ascii="Times New Roman;sans-serif" w:hAnsi="Times New Roman;sans-serif"/>
                  <w:b w:val="false"/>
                  <w:color w:val="0000FF"/>
                  <w:sz w:val="20"/>
                  <w:u w:val="single"/>
                </w:rPr>
                <w:t>Item 1B.</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1">
              <w:r>
                <w:rPr>
                  <w:rStyle w:val="InternetLink"/>
                  <w:rFonts w:ascii="Times New Roman;sans-serif" w:hAnsi="Times New Roman;sans-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61">
              <w:r>
                <w:rPr>
                  <w:rStyle w:val="InternetLink"/>
                  <w:rFonts w:ascii="Times New Roman;sans-serif" w:hAnsi="Times New Roman;sans-serif"/>
                  <w:b w:val="false"/>
                  <w:strike w:val="false"/>
                  <w:dstrike w:val="false"/>
                  <w:color w:val="000000"/>
                  <w:sz w:val="20"/>
                  <w:u w:val="none"/>
                  <w:effect w:val="none"/>
                </w:rPr>
                <w:t>65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311">
              <w:r>
                <w:rPr>
                  <w:rStyle w:val="InternetLink"/>
                  <w:rFonts w:ascii="Times New Roman;sans-serif" w:hAnsi="Times New Roman;sans-serif"/>
                  <w:b w:val="false"/>
                  <w:color w:val="0000FF"/>
                  <w:sz w:val="20"/>
                  <w:u w:val="single"/>
                </w:rPr>
                <w:t>Item 1C.</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311">
              <w:r>
                <w:rPr>
                  <w:rStyle w:val="InternetLink"/>
                  <w:rFonts w:ascii="Times New Roman;sans-serif" w:hAnsi="Times New Roman;sans-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311">
              <w:r>
                <w:rPr>
                  <w:rStyle w:val="InternetLink"/>
                  <w:rFonts w:ascii="Times New Roman;sans-serif" w:hAnsi="Times New Roman;sans-serif"/>
                  <w:b w:val="false"/>
                  <w:strike w:val="false"/>
                  <w:dstrike w:val="false"/>
                  <w:color w:val="000000"/>
                  <w:sz w:val="20"/>
                  <w:u w:val="none"/>
                  <w:effect w:val="none"/>
                </w:rPr>
                <w:t>65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4">
              <w:r>
                <w:rPr>
                  <w:rStyle w:val="InternetLink"/>
                  <w:rFonts w:ascii="Times New Roman;sans-serif" w:hAnsi="Times New Roman;sans-serif"/>
                  <w:b w:val="false"/>
                  <w:color w:val="0000FF"/>
                  <w:sz w:val="20"/>
                  <w:u w:val="single"/>
                </w:rPr>
                <w:t>Item 3.</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4">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64">
              <w:r>
                <w:rPr>
                  <w:rStyle w:val="InternetLink"/>
                  <w:rFonts w:ascii="Times New Roman;sans-serif" w:hAnsi="Times New Roman;sans-serif"/>
                  <w:b w:val="false"/>
                  <w:strike w:val="false"/>
                  <w:dstrike w:val="false"/>
                  <w:color w:val="000000"/>
                  <w:sz w:val="20"/>
                  <w:u w:val="none"/>
                  <w:effect w:val="none"/>
                </w:rPr>
                <w:t>66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7">
              <w:r>
                <w:rPr>
                  <w:rStyle w:val="InternetLink"/>
                  <w:rFonts w:ascii="Times New Roman;sans-serif" w:hAnsi="Times New Roman;sans-serif"/>
                  <w:b w:val="false"/>
                  <w:color w:val="0000FF"/>
                  <w:sz w:val="20"/>
                  <w:u w:val="single"/>
                </w:rPr>
                <w:t>Item 4.</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67">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67">
              <w:r>
                <w:rPr>
                  <w:rStyle w:val="InternetLink"/>
                  <w:rFonts w:ascii="Times New Roman;sans-serif" w:hAnsi="Times New Roman;sans-serif"/>
                  <w:b w:val="false"/>
                  <w:strike w:val="false"/>
                  <w:dstrike w:val="false"/>
                  <w:color w:val="000000"/>
                  <w:sz w:val="20"/>
                  <w:u w:val="none"/>
                  <w:effect w:val="none"/>
                </w:rPr>
                <w:t>66</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91d9967f54b31a826c503fcfee0b8_70">
              <w:r>
                <w:rPr>
                  <w:rStyle w:val="InternetLink"/>
                  <w:rFonts w:ascii="Times New Roman;sans-serif" w:hAnsi="Times New Roman;sans-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70">
              <w:r>
                <w:rPr>
                  <w:rStyle w:val="InternetLink"/>
                  <w:rFonts w:ascii="Times New Roman;sans-serif" w:hAnsi="Times New Roman;sans-serif"/>
                  <w:b w:val="false"/>
                  <w:strike w:val="false"/>
                  <w:dstrike w:val="false"/>
                  <w:color w:val="000000"/>
                  <w:sz w:val="20"/>
                  <w:u w:val="none"/>
                  <w:effect w:val="none"/>
                </w:rPr>
                <w:t>67</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3">
              <w:r>
                <w:rPr>
                  <w:rStyle w:val="InternetLink"/>
                  <w:rFonts w:ascii="Times New Roman;sans-serif" w:hAnsi="Times New Roman;sans-serif"/>
                  <w:b w:val="false"/>
                  <w:color w:val="0000FF"/>
                  <w:sz w:val="20"/>
                  <w:u w:val="single"/>
                </w:rPr>
                <w:t>Item 5.</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3">
              <w:r>
                <w:rPr>
                  <w:rStyle w:val="InternetLink"/>
                  <w:rFonts w:ascii="Times New Roman;sans-serif" w:hAnsi="Times New Roman;sans-serif"/>
                  <w:b w:val="false"/>
                  <w:color w:val="0000FF"/>
                  <w:sz w:val="20"/>
                  <w:u w:val="single"/>
                </w:rPr>
                <w:t>Market for Registrant’s Common Units, Related Unitholder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73">
              <w:r>
                <w:rPr>
                  <w:rStyle w:val="InternetLink"/>
                  <w:rFonts w:ascii="Times New Roman;sans-serif" w:hAnsi="Times New Roman;sans-serif"/>
                  <w:b w:val="false"/>
                  <w:strike w:val="false"/>
                  <w:dstrike w:val="false"/>
                  <w:color w:val="000000"/>
                  <w:sz w:val="20"/>
                  <w:u w:val="none"/>
                  <w:effect w:val="none"/>
                </w:rPr>
                <w:t>67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6">
              <w:r>
                <w:rPr>
                  <w:rStyle w:val="InternetLink"/>
                  <w:rFonts w:ascii="Times New Roman;sans-serif" w:hAnsi="Times New Roman;sans-serif"/>
                  <w:b w:val="false"/>
                  <w:color w:val="0000FF"/>
                  <w:sz w:val="20"/>
                  <w:u w:val="single"/>
                </w:rPr>
                <w:t>Item 6.</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6">
              <w:r>
                <w:rPr>
                  <w:rStyle w:val="InternetLink"/>
                  <w:rFonts w:ascii="Times New Roman;sans-serif" w:hAnsi="Times New Roman;sans-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76">
              <w:r>
                <w:rPr>
                  <w:rStyle w:val="InternetLink"/>
                  <w:rFonts w:ascii="Times New Roman;sans-serif" w:hAnsi="Times New Roman;sans-serif"/>
                  <w:b w:val="false"/>
                  <w:strike w:val="false"/>
                  <w:dstrike w:val="false"/>
                  <w:color w:val="000000"/>
                  <w:sz w:val="20"/>
                  <w:u w:val="none"/>
                  <w:effect w:val="none"/>
                </w:rPr>
                <w:t>68</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9">
              <w:r>
                <w:rPr>
                  <w:rStyle w:val="InternetLink"/>
                  <w:rFonts w:ascii="Times New Roman;sans-serif" w:hAnsi="Times New Roman;sans-serif"/>
                  <w:b w:val="false"/>
                  <w:color w:val="0000FF"/>
                  <w:sz w:val="20"/>
                  <w:u w:val="single"/>
                </w:rPr>
                <w:t>Item 7.</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79">
              <w:r>
                <w:rPr>
                  <w:rStyle w:val="InternetLink"/>
                  <w:rFonts w:ascii="Times New Roman;sans-serif" w:hAnsi="Times New Roman;sans-serif"/>
                  <w:b w:val="false"/>
                  <w:strike w:val="false"/>
                  <w:dstrike w:val="false"/>
                  <w:color w:val="000000"/>
                  <w:sz w:val="20"/>
                  <w:u w:val="none"/>
                  <w:effect w:val="none"/>
                </w:rPr>
                <w:t>68</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3">
              <w:r>
                <w:rPr>
                  <w:rStyle w:val="InternetLink"/>
                  <w:rFonts w:ascii="Times New Roman;sans-serif" w:hAnsi="Times New Roman;sans-serif"/>
                  <w:b w:val="false"/>
                  <w:color w:val="0000FF"/>
                  <w:sz w:val="20"/>
                  <w:u w:val="single"/>
                </w:rPr>
                <w:t>Item 7A.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3">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03">
              <w:r>
                <w:rPr>
                  <w:rStyle w:val="InternetLink"/>
                  <w:rFonts w:ascii="Times New Roman;sans-serif" w:hAnsi="Times New Roman;sans-serif"/>
                  <w:b w:val="false"/>
                  <w:strike w:val="false"/>
                  <w:dstrike w:val="false"/>
                  <w:color w:val="000000"/>
                  <w:sz w:val="20"/>
                  <w:u w:val="none"/>
                  <w:effect w:val="none"/>
                </w:rPr>
                <w:t>92</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6">
              <w:r>
                <w:rPr>
                  <w:rStyle w:val="InternetLink"/>
                  <w:rFonts w:ascii="Times New Roman;sans-serif" w:hAnsi="Times New Roman;sans-serif"/>
                  <w:b w:val="false"/>
                  <w:color w:val="0000FF"/>
                  <w:sz w:val="20"/>
                  <w:u w:val="single"/>
                </w:rPr>
                <w:t>Item 8.</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6">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06">
              <w:r>
                <w:rPr>
                  <w:rStyle w:val="InternetLink"/>
                  <w:rFonts w:ascii="Times New Roman;sans-serif" w:hAnsi="Times New Roman;sans-serif"/>
                  <w:b w:val="false"/>
                  <w:strike w:val="false"/>
                  <w:dstrike w:val="false"/>
                  <w:color w:val="000000"/>
                  <w:sz w:val="20"/>
                  <w:u w:val="none"/>
                  <w:effect w:val="none"/>
                </w:rPr>
                <w:t>93</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9">
              <w:r>
                <w:rPr>
                  <w:rStyle w:val="InternetLink"/>
                  <w:rFonts w:ascii="Times New Roman;sans-serif" w:hAnsi="Times New Roman;sans-serif"/>
                  <w:b w:val="false"/>
                  <w:color w:val="0000FF"/>
                  <w:sz w:val="20"/>
                  <w:u w:val="single"/>
                </w:rPr>
                <w:t>Item 9.</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0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09">
              <w:r>
                <w:rPr>
                  <w:rStyle w:val="InternetLink"/>
                  <w:rFonts w:ascii="Times New Roman;sans-serif" w:hAnsi="Times New Roman;sans-serif"/>
                  <w:b w:val="false"/>
                  <w:strike w:val="false"/>
                  <w:dstrike w:val="false"/>
                  <w:color w:val="000000"/>
                  <w:sz w:val="20"/>
                  <w:u w:val="none"/>
                  <w:effect w:val="none"/>
                </w:rPr>
                <w:t>93</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2">
              <w:r>
                <w:rPr>
                  <w:rStyle w:val="InternetLink"/>
                  <w:rFonts w:ascii="Times New Roman;sans-serif" w:hAnsi="Times New Roman;sans-serif"/>
                  <w:b w:val="false"/>
                  <w:color w:val="0000FF"/>
                  <w:sz w:val="20"/>
                  <w:u w:val="single"/>
                </w:rPr>
                <w:t>Item 9A.</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2">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12">
              <w:r>
                <w:rPr>
                  <w:rStyle w:val="InternetLink"/>
                  <w:rFonts w:ascii="Times New Roman;sans-serif" w:hAnsi="Times New Roman;sans-serif"/>
                  <w:b w:val="false"/>
                  <w:strike w:val="false"/>
                  <w:dstrike w:val="false"/>
                  <w:color w:val="000000"/>
                  <w:sz w:val="20"/>
                  <w:u w:val="none"/>
                  <w:effect w:val="none"/>
                </w:rPr>
                <w:t>93</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5">
              <w:r>
                <w:rPr>
                  <w:rStyle w:val="InternetLink"/>
                  <w:rFonts w:ascii="Times New Roman;sans-serif" w:hAnsi="Times New Roman;sans-serif"/>
                  <w:b w:val="false"/>
                  <w:color w:val="0000FF"/>
                  <w:sz w:val="20"/>
                  <w:u w:val="single"/>
                </w:rPr>
                <w:t>Item 9B.</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5">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15">
              <w:r>
                <w:rPr>
                  <w:rStyle w:val="InternetLink"/>
                  <w:rFonts w:ascii="Times New Roman;sans-serif" w:hAnsi="Times New Roman;sans-serif"/>
                  <w:b w:val="false"/>
                  <w:strike w:val="false"/>
                  <w:dstrike w:val="false"/>
                  <w:color w:val="000000"/>
                  <w:sz w:val="20"/>
                  <w:u w:val="none"/>
                  <w:effect w:val="none"/>
                </w:rPr>
                <w:t>94</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8">
              <w:r>
                <w:rPr>
                  <w:rStyle w:val="InternetLink"/>
                  <w:rFonts w:ascii="Times New Roman;sans-serif" w:hAnsi="Times New Roman;sans-serif"/>
                  <w:b w:val="false"/>
                  <w:color w:val="0000FF"/>
                  <w:sz w:val="20"/>
                  <w:u w:val="single"/>
                </w:rPr>
                <w:t>Item 9C.</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18">
              <w:r>
                <w:rPr>
                  <w:rStyle w:val="InternetLink"/>
                  <w:rFonts w:ascii="Times New Roman;sans-serif" w:hAnsi="Times New Roman;sans-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18">
              <w:r>
                <w:rPr>
                  <w:rStyle w:val="InternetLink"/>
                  <w:rFonts w:ascii="Times New Roman;sans-serif" w:hAnsi="Times New Roman;sans-serif"/>
                  <w:b w:val="false"/>
                  <w:strike w:val="false"/>
                  <w:dstrike w:val="false"/>
                  <w:color w:val="000000"/>
                  <w:sz w:val="20"/>
                  <w:u w:val="none"/>
                  <w:effect w:val="none"/>
                </w:rPr>
                <w:t>94</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91d9967f54b31a826c503fcfee0b8_121">
              <w:r>
                <w:rPr>
                  <w:rStyle w:val="InternetLink"/>
                  <w:rFonts w:ascii="Times New Roman;sans-serif" w:hAnsi="Times New Roman;sans-serif"/>
                  <w:b/>
                  <w:color w:val="0000FF"/>
                  <w:sz w:val="20"/>
                  <w:u w:val="single"/>
                </w:rPr>
                <w:t>PART III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21">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24">
              <w:r>
                <w:rPr>
                  <w:rStyle w:val="InternetLink"/>
                  <w:rFonts w:ascii="Times New Roman;sans-serif" w:hAnsi="Times New Roman;sans-serif"/>
                  <w:b w:val="false"/>
                  <w:color w:val="0000FF"/>
                  <w:sz w:val="20"/>
                  <w:u w:val="single"/>
                </w:rPr>
                <w:t>Item 10.</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24">
              <w:r>
                <w:rPr>
                  <w:rStyle w:val="InternetLink"/>
                  <w:rFonts w:ascii="Times New Roman;sans-serif" w:hAnsi="Times New Roman;sans-serif"/>
                  <w:b w:val="false"/>
                  <w:color w:val="0000FF"/>
                  <w:sz w:val="20"/>
                  <w:u w:val="single"/>
                </w:rPr>
                <w:t>Directors and Executive Officers of Our General Partner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24">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27">
              <w:r>
                <w:rPr>
                  <w:rStyle w:val="InternetLink"/>
                  <w:rFonts w:ascii="Times New Roman;sans-serif" w:hAnsi="Times New Roman;sans-serif"/>
                  <w:b w:val="false"/>
                  <w:color w:val="0000FF"/>
                  <w:sz w:val="20"/>
                  <w:u w:val="single"/>
                </w:rPr>
                <w:t>Item 11.</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27">
              <w:r>
                <w:rPr>
                  <w:rStyle w:val="InternetLink"/>
                  <w:rFonts w:ascii="Times New Roman;sans-serif" w:hAnsi="Times New Roman;sans-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27">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0">
              <w:r>
                <w:rPr>
                  <w:rStyle w:val="InternetLink"/>
                  <w:rFonts w:ascii="Times New Roman;sans-serif" w:hAnsi="Times New Roman;sans-serif"/>
                  <w:b w:val="false"/>
                  <w:color w:val="0000FF"/>
                  <w:sz w:val="20"/>
                  <w:u w:val="single"/>
                </w:rPr>
                <w:t>Item 12.</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0">
              <w:r>
                <w:rPr>
                  <w:rStyle w:val="InternetLink"/>
                  <w:rFonts w:ascii="Times New Roman;sans-serif" w:hAnsi="Times New Roman;sans-serif"/>
                  <w:b w:val="false"/>
                  <w:color w:val="0000FF"/>
                  <w:sz w:val="20"/>
                  <w:u w:val="single"/>
                </w:rPr>
                <w:t>Security Ownership of Certain Beneficial Owners and Management and Related Unitholder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30">
              <w:r>
                <w:rPr>
                  <w:rStyle w:val="InternetLink"/>
                  <w:rFonts w:ascii="Times New Roman;sans-serif" w:hAnsi="Times New Roman;sans-serif"/>
                  <w:b w:val="false"/>
                  <w:strike w:val="false"/>
                  <w:dstrike w:val="false"/>
                  <w:color w:val="000000"/>
                  <w:sz w:val="20"/>
                  <w:u w:val="none"/>
                  <w:effect w:val="none"/>
                </w:rPr>
                <w:t>95</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3">
              <w:r>
                <w:rPr>
                  <w:rStyle w:val="InternetLink"/>
                  <w:rFonts w:ascii="Times New Roman;sans-serif" w:hAnsi="Times New Roman;sans-serif"/>
                  <w:b w:val="false"/>
                  <w:color w:val="0000FF"/>
                  <w:sz w:val="20"/>
                  <w:u w:val="single"/>
                </w:rPr>
                <w:t>Item 13.</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33">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6">
              <w:r>
                <w:rPr>
                  <w:rStyle w:val="InternetLink"/>
                  <w:rFonts w:ascii="Times New Roman;sans-serif" w:hAnsi="Times New Roman;sans-serif"/>
                  <w:b w:val="false"/>
                  <w:color w:val="0000FF"/>
                  <w:sz w:val="20"/>
                  <w:u w:val="single"/>
                </w:rPr>
                <w:t>Item 14.</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36">
              <w:r>
                <w:rPr>
                  <w:rStyle w:val="InternetLink"/>
                  <w:rFonts w:ascii="Times New Roman;sans-serif" w:hAnsi="Times New Roman;sans-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36">
              <w:r>
                <w:rPr>
                  <w:rStyle w:val="InternetLink"/>
                  <w:rFonts w:ascii="Times New Roman;sans-serif" w:hAnsi="Times New Roman;sans-serif"/>
                  <w:b w:val="false"/>
                  <w:strike w:val="false"/>
                  <w:dstrike w:val="false"/>
                  <w:color w:val="000000"/>
                  <w:sz w:val="20"/>
                  <w:u w:val="none"/>
                  <w:effect w:val="none"/>
                </w:rPr>
                <w:t>96</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291d9967f54b31a826c503fcfee0b8_139">
              <w:r>
                <w:rPr>
                  <w:rStyle w:val="InternetLink"/>
                  <w:rFonts w:ascii="Times New Roman;sans-serif" w:hAnsi="Times New Roman;sans-serif"/>
                  <w:b/>
                  <w:color w:val="0000FF"/>
                  <w:sz w:val="20"/>
                  <w:u w:val="single"/>
                </w:rPr>
                <w:t>PART IV</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39">
              <w:r>
                <w:rPr>
                  <w:rStyle w:val="InternetLink"/>
                  <w:rFonts w:ascii="Times New Roman;sans-serif" w:hAnsi="Times New Roman;sans-serif"/>
                  <w:b w:val="false"/>
                  <w:strike w:val="false"/>
                  <w:dstrike w:val="false"/>
                  <w:color w:val="000000"/>
                  <w:sz w:val="20"/>
                  <w:u w:val="none"/>
                  <w:effect w:val="none"/>
                </w:rPr>
                <w:t>97</w:t>
              </w:r>
            </w:hyperlink>
          </w:p>
        </w:tc>
      </w:tr>
      <w:tr>
        <w:trPr/>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42">
              <w:r>
                <w:rPr>
                  <w:rStyle w:val="InternetLink"/>
                  <w:rFonts w:ascii="Times New Roman;sans-serif" w:hAnsi="Times New Roman;sans-serif"/>
                  <w:b w:val="false"/>
                  <w:color w:val="0000FF"/>
                  <w:sz w:val="20"/>
                  <w:u w:val="single"/>
                </w:rPr>
                <w:t>Item 15.</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42">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42">
              <w:r>
                <w:rPr>
                  <w:rStyle w:val="InternetLink"/>
                  <w:rFonts w:ascii="Times New Roman;sans-serif" w:hAnsi="Times New Roman;sans-serif"/>
                  <w:b w:val="false"/>
                  <w:strike w:val="false"/>
                  <w:dstrike w:val="false"/>
                  <w:color w:val="000000"/>
                  <w:sz w:val="20"/>
                  <w:u w:val="none"/>
                  <w:effect w:val="none"/>
                </w:rPr>
                <w:t>97</w:t>
              </w:r>
            </w:hyperlink>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48">
              <w:r>
                <w:rPr>
                  <w:rStyle w:val="InternetLink"/>
                  <w:rFonts w:ascii="Times New Roman;sans-serif" w:hAnsi="Times New Roman;sans-serif"/>
                  <w:b w:val="false"/>
                  <w:color w:val="0000FF"/>
                  <w:sz w:val="20"/>
                  <w:u w:val="single"/>
                </w:rPr>
                <w:t>Item 16.</w:t>
              </w:r>
            </w:hyperlink>
          </w:p>
        </w:tc>
        <w:tc>
          <w:tcPr>
            <w:tcW w:w="8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48">
              <w:r>
                <w:rPr>
                  <w:rStyle w:val="InternetLink"/>
                  <w:rFonts w:ascii="Times New Roman;sans-serif" w:hAnsi="Times New Roman;sans-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48">
              <w:r>
                <w:rPr>
                  <w:rStyle w:val="InternetLink"/>
                  <w:rFonts w:ascii="Times New Roman;sans-serif" w:hAnsi="Times New Roman;sans-serif"/>
                  <w:b w:val="false"/>
                  <w:strike w:val="false"/>
                  <w:dstrike w:val="false"/>
                  <w:color w:val="000000"/>
                  <w:sz w:val="20"/>
                  <w:u w:val="none"/>
                  <w:effect w:val="non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 crude oil prices (whether due to global public health events, such as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in areas supplied by our mainlines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our credit rating and ability to receive open credit from our suppliers and trade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related to the development and operation of our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pace of development of natural gas infrastructure and its impact on expected crude oil production growth in the Permian Basin;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Items 1 and 2.  </w:t>
      </w:r>
      <w:r>
        <w:rPr>
          <w:rFonts w:ascii="Times New Roman;sans-serif" w:hAnsi="Times New Roman;sans-serif"/>
          <w:b/>
          <w:i/>
          <w:color w:val="000000"/>
          <w:sz w:val="20"/>
        </w:rPr>
        <w:t>Business and Properties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and NGL.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are owned, and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Organizational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diagram below shows our organizational structure as of December 31, 2023 in a summarized format:</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6515100" cy="78962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515100" cy="78962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Each Class C share represents a non-economic limited partner interest in PAGP. The Class C shares function as a “pass-through” voting mechanism through which we vote at the direction of and as proxy for our common unitholders (other than AAP) and Series A preferred unitholders on the election of directors.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Series B preferred units, which are non-voting securities, and common units held by AAP, which already participate in such elections through the PAGP Class A and Class B shares, are not entitled to vote in the election of directors.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Partnership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Focusing on operational excellence, continuous improvement and running a safe, reliable, and environmentally and socially responsible operation;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 xml:space="preserve">Using our well positioned network of midstream infrastructure in conjunction with our commercial capabilities to provide our customers with market access, flexibility and value chain solutions, capture market opportunities, address physical market imbalances, mitigate risks and generate and grow sustainable cash flow and margin; </w:t>
      </w:r>
    </w:p>
    <w:p>
      <w:pPr>
        <w:pStyle w:val="TextBody"/>
        <w:bidi w:val="0"/>
        <w:spacing w:lineRule="auto" w:line="288" w:before="0" w:after="120"/>
        <w:ind w:left="0" w:right="0" w:hanging="450"/>
        <w:jc w:val="left"/>
        <w:rPr/>
      </w:pPr>
      <w:r>
        <w:rPr>
          <w:color w:val="000000"/>
        </w:rPr>
        <w:t>•</w:t>
      </w:r>
      <w:r>
        <w:rPr>
          <w:rFonts w:ascii="Times New Roman;sans-serif" w:hAnsi="Times New Roman;sans-serif"/>
          <w:b w:val="false"/>
          <w:color w:val="000000"/>
          <w:sz w:val="20"/>
        </w:rPr>
        <w:t>Optimizing and enhancing our asset portfolio and operations (through disciplined and accretive capital investments and through the pursuit of emerging energy opportunities) to maximize returns on invested capital; and</w:t>
      </w:r>
    </w:p>
    <w:p>
      <w:pPr>
        <w:pStyle w:val="TextBody"/>
        <w:bidi w:val="0"/>
        <w:spacing w:lineRule="auto" w:line="288" w:before="0" w:after="0"/>
        <w:ind w:left="0" w:right="0" w:hanging="450"/>
        <w:jc w:val="left"/>
        <w:rPr/>
      </w:pPr>
      <w:r>
        <w:rPr>
          <w:color w:val="000000"/>
        </w:rPr>
        <w:t>•</w:t>
      </w:r>
      <w:r>
        <w:rPr>
          <w:rFonts w:ascii="Times New Roman;sans-serif" w:hAnsi="Times New Roman;sans-serif"/>
          <w:b w:val="false"/>
          <w:color w:val="000000"/>
          <w:sz w:val="20"/>
        </w:rPr>
        <w:t xml:space="preserve">Pursuing a balanced, long-term financial strategy that is focused on maintaining an investment grade credit profile and enhancing financial flexibility by making disciplined capital allocation decisions.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successful execution of this strategy will enable us to generate and grow sustainable earnings and cash flow, and will position us to maintain an investment grade credit profile and increase returns to equity holders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Competitive Strengths </w: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competitive strengths position us to successfully execute our principal business strategy:</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own a strategically located, geographically diverse and interconnected large-scale asset base that provides operational flexibility and commercial optionality.</w:t>
      </w:r>
      <w:r>
        <w:rPr>
          <w:color w:val="000000"/>
        </w:rPr>
        <w:t xml:space="preserve"> </w:t>
      </w:r>
      <w:r>
        <w:rPr>
          <w:rFonts w:ascii="Times New Roman;sans-serif" w:hAnsi="Times New Roman;sans-serif"/>
          <w:b w:val="false"/>
          <w:color w:val="000000"/>
          <w:sz w:val="20"/>
        </w:rPr>
        <w:t>The majority of our transportation assets are in crude oil service, are located in well-established crude oil producing 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rail, truck and storage assets provide our customers and us with significant flexibility and optionality to satisfy demand, balance markets, and participate in emerging energy opportunities.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 xml:space="preserve">Our full-service integrated model and long-term focus attracts a broad, diverse and high-quality customer base that supports sustainable fee-based cash flow generation. </w:t>
      </w:r>
      <w:r>
        <w:rPr>
          <w:rFonts w:ascii="Times New Roman;sans-serif" w:hAnsi="Times New Roman;sans-serif"/>
          <w:b w:val="false"/>
          <w:color w:val="000000"/>
          <w:sz w:val="20"/>
        </w:rPr>
        <w:t xml:space="preserve">Our strategically located and interconnected asset base enables us to provide our customers with a wide variety of 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possess specialized crude oil and NGL market knowledge. </w:t>
      </w:r>
      <w:r>
        <w:rPr>
          <w:rFonts w:ascii="Times New Roman;sans-serif" w:hAnsi="Times New Roman;sans-serif"/>
          <w:b w:val="false"/>
          <w:color w:val="000000"/>
          <w:sz w:val="20"/>
        </w:rPr>
        <w:t>We believe our business relationships with participants in various phases of the 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Our merchant activities provide us with the opportunity to realize incremental margins. </w:t>
      </w:r>
      <w:r>
        <w:rPr>
          <w:rFonts w:ascii="Times New Roman;sans-serif" w:hAnsi="Times New Roman;sans-serif"/>
          <w:b w:val="false"/>
          <w:color w:val="000000"/>
          <w:sz w:val="20"/>
        </w:rPr>
        <w:t xml:space="preserve">We believe the variety of our merchant activities provides us with a low-risk opportunity to generate incremental margin, the amount of which may vary depending on market conditions (such as differentials and certain competitive factors).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We have the financial, strategic and technical skills needed to execute strategic transactions that support our business and financial objectives, including joint ventures, joint ownership arrangements, acquisitions and divestitures.</w:t>
      </w:r>
      <w:r>
        <w:rPr>
          <w:color w:val="000000"/>
        </w:rPr>
        <w:t xml:space="preserve"> </w:t>
      </w:r>
      <w:r>
        <w:rPr>
          <w:rFonts w:ascii="Times New Roman;sans-serif" w:hAnsi="Times New Roman;sans-serif"/>
          <w:b w:val="false"/>
          <w:color w:val="000000"/>
          <w:sz w:val="20"/>
        </w:rPr>
        <w:t>We are a party to more than 25 joint ventures and/or joint ownership arrangements, including the Permian JV that was formed in October 2021.</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have an experienced management team whose interests are aligned with those of our equity holders.</w:t>
      </w:r>
      <w:r>
        <w:rPr>
          <w:color w:val="000000"/>
        </w:rPr>
        <w:t xml:space="preserve"> </w:t>
      </w:r>
      <w:r>
        <w:rPr>
          <w:rFonts w:ascii="Times New Roman;sans-serif" w:hAnsi="Times New Roman;sans-serif"/>
          <w:b w:val="false"/>
          <w:color w:val="000000"/>
          <w:sz w:val="20"/>
        </w:rPr>
        <w:t>Our executive management team has an average of 30+ years of experience spanning across all sectors of the energy industry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$14.4 billion, implemented investment capital projects totaling approximately $17.7 billion, returned $18.2 billion to our equity holders, primarily in the form of distributions, and enhanced our credit rating to investment grade from non-investment grade. Additionally, since 2016 we have completed more than $4.9 billion of divestitures of non-core assets and/or strategic sales of partial interests in selected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Targeted Credit Profile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financial strategy, we intend to maintain a credit profile that we believe is consistent with investment grade credit ratings. We target a credit profile with the following attributes: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average long-term debt-to-total capitalization ratio of approximately 50% or less;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average total debt-to-total capitalization ratio of approximately 60% or less;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average Adjusted EBITDA-to-interest coverage multiple of approximately 3.3x or better.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Operations—Results of Operations—Non-GAAP Financial Measures” for our definition of Adjusted EBITDA and Adjusted EBITDA attributable to PAA.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publicly-traded senior notes comprised approximately 99% of our long-term debt. Additionally, we also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Values and Sustainability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or environmental, social and governance factors. See “—Available Information” below.</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Segments and Associated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conducted through two segments — Crude Oil and NGL. We have an extensive network of pipeline transportation, terminalling, storage and gathering assets in key crude oil and NGL producing basins and transportation corridors and at major market hubs in the United States and Canada.</w:t>
      </w:r>
    </w:p>
    <w:p>
      <w:pPr>
        <w:pStyle w:val="TextBody"/>
        <w:bidi w:val="0"/>
        <w:spacing w:before="0" w:after="0"/>
        <w:jc w:val="left"/>
        <w:rPr/>
      </w:pPr>
      <w:r>
        <w:rPr/>
      </w:r>
    </w:p>
    <w:p>
      <w:pPr>
        <w:pStyle w:val="TextBody"/>
        <w:bidi w:val="0"/>
        <w:spacing w:before="0" w:after="0"/>
        <w:ind w:left="0" w:right="0" w:firstLine="720"/>
        <w:jc w:val="center"/>
        <w:rPr/>
      </w:pPr>
      <w:r>
        <w:rPr/>
        <w:drawing>
          <wp:inline distT="0" distB="0" distL="0" distR="0">
            <wp:extent cx="6515100" cy="56197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515100" cy="5619750"/>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description of the activities and assets for each of our segments.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Crude Oil Segment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Crude Oil segment:</w:t>
      </w:r>
    </w:p>
    <w:p>
      <w:pPr>
        <w:pStyle w:val="TextBody"/>
        <w:bidi w:val="0"/>
        <w:spacing w:before="0" w:after="0"/>
        <w:jc w:val="left"/>
        <w:rPr/>
      </w:pPr>
      <w:r>
        <w:rPr/>
      </w:r>
    </w:p>
    <w:p>
      <w:pPr>
        <w:pStyle w:val="TextBody"/>
        <w:bidi w:val="0"/>
        <w:spacing w:before="0" w:after="0"/>
        <w:jc w:val="center"/>
        <w:rPr/>
      </w:pPr>
      <w:r>
        <w:rPr/>
        <w:drawing>
          <wp:inline distT="0" distB="0" distL="0" distR="0">
            <wp:extent cx="6515100" cy="15430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515100" cy="1543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We also generate significant revenue through a variety of commercial and merchant activities that often result in increased utilization of our transportation and storage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 Assets 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assets utilized in our Crude Oil segment included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18,335 miles of active crude oil transportation pipelines and gathering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72 million barrels of commercial crude oil storage capacity at our terminalling and storage locations;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40 million barrels of active, above-ground tank capacity used to facilitate pipeline throughput or support our rail assets and help maintain product quality segregation;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four marine facilities in the United States;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condensate processing facility located in the Eagle Ford area of South Texas with an aggregate processing capacity of 120,000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seven crude oil rail terminals with aggregate loading and unloading capacity of 264,000 and 350,000 barrels per day,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1,420 crude oil railcars;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740 trucks and 1,355 trailers.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15 million barrels of crude oil linefill in pipelines and tanks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3 million barrels of crude oil utilized as linefill in pipelines owned by third parties or otherwise required as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about our pipelines and terminals by geographic location, including active pipeline miles and commercial storage capacity as of December 31, 2023 and average daily volumes transported on our crude oil pipelines for the year ended December 31, 2023:</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0"/>
        <w:gridCol w:w="579"/>
        <w:gridCol w:w="557"/>
        <w:gridCol w:w="109"/>
        <w:gridCol w:w="109"/>
        <w:gridCol w:w="109"/>
        <w:gridCol w:w="509"/>
        <w:gridCol w:w="509"/>
        <w:gridCol w:w="511"/>
        <w:gridCol w:w="109"/>
        <w:gridCol w:w="109"/>
        <w:gridCol w:w="109"/>
        <w:gridCol w:w="644"/>
        <w:gridCol w:w="637"/>
        <w:gridCol w:w="639"/>
        <w:gridCol w:w="109"/>
        <w:gridCol w:w="109"/>
        <w:gridCol w:w="109"/>
        <w:gridCol w:w="471"/>
        <w:gridCol w:w="471"/>
        <w:gridCol w:w="473"/>
        <w:gridCol w:w="109"/>
        <w:gridCol w:w="109"/>
        <w:gridCol w:w="109"/>
        <w:gridCol w:w="626"/>
        <w:gridCol w:w="626"/>
        <w:gridCol w:w="895"/>
      </w:tblGrid>
      <w:tr>
        <w:trPr/>
        <w:tc>
          <w:tcPr>
            <w:tcW w:w="75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Region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2023 Average</w:t>
            </w:r>
          </w:p>
          <w:p>
            <w:pPr>
              <w:pStyle w:val="TableContents"/>
              <w:bidi w:val="0"/>
              <w:spacing w:lineRule="auto" w:line="240" w:before="0" w:after="0"/>
              <w:jc w:val="center"/>
              <w:rPr/>
            </w:pPr>
            <w:r>
              <w:rPr>
                <w:rFonts w:ascii="Times New Roman;sans-serif" w:hAnsi="Times New Roman;sans-serif"/>
                <w:b/>
                <w:color w:val="000000"/>
                <w:sz w:val="17"/>
              </w:rPr>
              <w:t>Barrels per Day </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Commercial Storage Capacity </w:t>
            </w:r>
            <w:r>
              <w:rPr>
                <w:rFonts w:ascii="Times New Roman;sans-serif" w:hAnsi="Times New Roman;sans-serif"/>
                <w:b/>
                <w:color w:val="000000"/>
                <w:sz w:val="11"/>
              </w:rPr>
              <w:t>(3)</w:t>
            </w:r>
          </w:p>
        </w:tc>
      </w:tr>
      <w:tr>
        <w:trPr/>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Gathering pipelines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Intra-basin pipelines</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Long-haul pipelines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Texas/Eagle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Gulf Coast</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Rocky Mountain</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18,335</w:t>
            </w:r>
            <w:r>
              <w:rPr>
                <w:color w:val="000000"/>
              </w:rPr>
              <w:t> </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8,460</w:t>
            </w:r>
            <w:r>
              <w:rPr>
                <w:color w:val="000000"/>
              </w:rPr>
              <w:t>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w:t>
            </w:r>
            <w:r>
              <w:rPr>
                <w:color w:val="000000"/>
              </w:rPr>
              <w:t> </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total mileage of pipelines in which we own less than 100%.</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Commercial storage capacity in millions of barrels. Does not include operational storage capacity used to facilitate pipeline throughput and maintain product quality segregation.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pipelines operated by a third party.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pipelines are comprised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that move crude oil from wellhead or central battery connections to regional market hubs;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intra-basin pipelines</w:t>
      </w:r>
      <w:r>
        <w:rPr>
          <w:color w:val="000000"/>
        </w:rPr>
        <w:t xml:space="preserve"> </w:t>
      </w:r>
      <w:r>
        <w:rPr>
          <w:rFonts w:ascii="Times New Roman;sans-serif" w:hAnsi="Times New Roman;sans-serif"/>
          <w:b w:val="false"/>
          <w:color w:val="000000"/>
          <w:sz w:val="20"/>
        </w:rPr>
        <w:t>that are used as a hub system allowing for a significant amount of flexibility by creating connections between regional hub locations;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that move crude oil from (i) regional market hubs to major market hubs such as Cushing, Oklahoma or to export facilities, including our Corpus Christi terminal, or (ii) a refinery or other major market hubs, such as the Houston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most significant assets are described further below by region.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Gathering Pipelines. </w:t>
      </w:r>
      <w:r>
        <w:rPr>
          <w:rFonts w:ascii="Times New Roman;sans-serif" w:hAnsi="Times New Roman;sans-serif"/>
          <w:b w:val="false"/>
          <w:color w:val="000000"/>
          <w:sz w:val="20"/>
        </w:rPr>
        <w:t>We operate over 5,200 miles of gathering pipelines in both the Midland Basin and the Delaware 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 xml:space="preserve">Our intra-basin pipeline system in the Permian Basin has a capacity of approximately 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interests in multiple long-haul pipeline systems that, on a combined basis, represent 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Cushing/Mid-Continent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Basin Pipeline (Permian to Cushing).</w:t>
      </w:r>
      <w:r>
        <w:rPr>
          <w:color w:val="000000"/>
        </w:rPr>
        <w:t xml:space="preserve"> </w:t>
      </w:r>
      <w:r>
        <w:rPr>
          <w:rFonts w:ascii="Times New Roman;sans-serif" w:hAnsi="Times New Roman;sans-serif"/>
          <w:b w:val="false"/>
          <w:color w:val="000000"/>
          <w:sz w:val="20"/>
        </w:rPr>
        <w:t>We own an 87% UJI in and are the operator of Basin Pipeline. 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Sunrise II Pipeline.</w:t>
      </w:r>
      <w:r>
        <w:rPr>
          <w:color w:val="000000"/>
        </w:rPr>
        <w:t xml:space="preserve"> </w:t>
      </w:r>
      <w:r>
        <w:rPr>
          <w:rFonts w:ascii="Times New Roman;sans-serif" w:hAnsi="Times New Roman;sans-serif"/>
          <w:b w:val="false"/>
          <w:color w:val="000000"/>
          <w:sz w:val="20"/>
        </w:rPr>
        <w:t>We operate the Sunrise II Pipeline and, through a UJI arrangement, own 80% of the capacity of the pipeline, which equates to approximately 400,000 barrels of capacity. Our Sunrise II Pipeline transports crude oil from Midland and Colorado City to connecting carriers at Wichita Falls.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Gulf Coast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BridgeTex Pipeline (Permian to Houston).</w:t>
      </w:r>
      <w:r>
        <w:rPr>
          <w:color w:val="000000"/>
        </w:rPr>
        <w:t xml:space="preserve"> </w:t>
      </w:r>
      <w:r>
        <w:rPr>
          <w:rFonts w:ascii="Times New Roman;sans-serif" w:hAnsi="Times New Roman;sans-serif"/>
          <w:b w:val="false"/>
          <w:color w:val="000000"/>
          <w:sz w:val="20"/>
        </w:rPr>
        <w:t>We own a 20% interest in the entity that owns the BridgeTex Pipeline. 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Pipeline (Permian to Corpus Christi).</w:t>
      </w:r>
      <w:r>
        <w:rPr>
          <w:color w:val="000000"/>
        </w:rPr>
        <w:t xml:space="preserve"> </w:t>
      </w:r>
      <w:r>
        <w:rPr>
          <w:rFonts w:ascii="Times New Roman;sans-serif" w:hAnsi="Times New Roman;sans-serif"/>
          <w:b w:val="false"/>
          <w:color w:val="000000"/>
          <w:sz w:val="20"/>
        </w:rPr>
        <w:t>We own and operate the Cactus Pipeline, which has a capacity of 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II Pipeline (Permian to Corpus Christi).</w:t>
      </w:r>
      <w:r>
        <w:rPr>
          <w:color w:val="000000"/>
        </w:rPr>
        <w:t xml:space="preserve"> </w:t>
      </w:r>
      <w:r>
        <w:rPr>
          <w:rFonts w:ascii="Times New Roman;sans-serif" w:hAnsi="Times New Roman;sans-serif"/>
          <w:b w:val="false"/>
          <w:color w:val="000000"/>
          <w:sz w:val="20"/>
        </w:rPr>
        <w:t>The Cactus II Pipeline is a Permian mainline system that extends directly to the Corpus Christi market and has a capacity of approximately 670,000 barrels per day. We operate the Cactus II Pipeline and own a 70% interest in Cactus II, the entity that owns the Cactus II Pipeline, through a joint venture with Enbridge Inc.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Wink to Webster Pipeline.</w:t>
      </w:r>
      <w:r>
        <w:rPr>
          <w:color w:val="000000"/>
        </w:rPr>
        <w:t xml:space="preserve"> </w:t>
      </w:r>
      <w:r>
        <w:rPr>
          <w:rFonts w:ascii="Times New Roman;sans-serif" w:hAnsi="Times New Roman;sans-serif"/>
          <w:b w:val="false"/>
          <w:color w:val="000000"/>
          <w:sz w:val="20"/>
        </w:rPr>
        <w:t xml:space="preserve">We own a 16% interest in the entity that owns the 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South Texas/Eagle Ford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various gathering systems in the Eagle Ford producing region that connect into our Eagle Ford joint venture pipeline system or to third-party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 50% interest in the entity that owns the Eagle Ford Pipeline through a joint venture with a subsidiary of Enterprise 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 Additionally, the Eagle Ford Pipeline has connectivity to Houston, Texas via a connection with Enterprise’s pipeline at Lyssy, Texas. The Eagle Ford Pipeline is supported by long-term shipper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own a 50% interest in the entity that owns the Eagle Ford Corpus Christi terminal through a joint venture with a subsidiary of Enterprise. The Eagle Ford Corpus Christi terminal has a dock with the capacity to export crude oil and approximately one million barrels of commercial storage capacity.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Condensate Processing. </w:t>
      </w:r>
      <w:r>
        <w:rPr>
          <w:rFonts w:ascii="Times New Roman;sans-serif" w:hAnsi="Times New Roman;sans-serif"/>
          <w:b w:val="false"/>
          <w:color w:val="000000"/>
          <w:sz w:val="20"/>
        </w:rPr>
        <w:t>We own a condensate processing facility located in La Salle County, Texas that stabilizes condensate that is primarily sourced from our Eagle Ford area gathering systems. The processed NGL is delivered to a third-party pipeline that delivers into Mont Belvieu, Texas.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Mid-Continent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gathering pipelines that source crude oil from Western and Central Oklahoma and Southwest Kansas for transportation and delivery into our terminal facilities at Cushing, Oklahoma.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and operate various pipeline systems that extend from our Cushing terminal in Oklahoma to various refineries and/or crude oil hubs. Below is a description of some of our most significant pipeline systems in the Mid-Continent region.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Diamond Pipeline</w:t>
      </w:r>
      <w:r>
        <w:rPr>
          <w:color w:val="000000"/>
        </w:rPr>
        <w:t xml:space="preserve"> </w:t>
      </w:r>
      <w:r>
        <w:rPr>
          <w:rFonts w:ascii="Times New Roman;sans-serif" w:hAnsi="Times New Roman;sans-serif"/>
          <w:b w:val="false"/>
          <w:i/>
          <w:color w:val="000000"/>
          <w:sz w:val="20"/>
        </w:rPr>
        <w:t>(Cushing to Memphis).</w:t>
      </w:r>
      <w:r>
        <w:rPr>
          <w:color w:val="000000"/>
        </w:rPr>
        <w:t xml:space="preserve"> </w:t>
      </w:r>
      <w:r>
        <w:rPr>
          <w:rFonts w:ascii="Times New Roman;sans-serif" w:hAnsi="Times New Roman;sans-serif"/>
          <w:b w:val="false"/>
          <w:color w:val="000000"/>
          <w:sz w:val="20"/>
        </w:rPr>
        <w:t xml:space="preserve">We own a 50% interest in the entity that owns the Diamond Pipeline through a joint venture with Valero Energy Corporation (“Valero”). We operate the Diamond Pipeline, which extends from our Cushing Terminal to Valero’s refinery in Memphis, Tennessee. The Diamond Pipeline has a total capacity of approximately 200,000 barrels per day.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Red River Pipeline (Cushing to Longview)</w:t>
      </w:r>
      <w:r>
        <w:rPr>
          <w:rFonts w:ascii="Times New Roman;sans-serif" w:hAnsi="Times New Roman;sans-serif"/>
          <w:b w:val="false"/>
          <w:color w:val="000000"/>
          <w:sz w:val="20"/>
        </w:rPr>
        <w:t>. We own 67% of the entity that owns the Red River Pipeline through a joint venture with Delek 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are a large provider of crude oil terminalling services in Cushing, Oklahoma, which is one of the largest physical trading hubs in the United States and is the delivery point for the NYMEX light sweet crude oil futures contracts (the benchmark for U.S. crude oil). Our Cushing terminal has been designated by the NYMEX as an approved delivery 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 in Patoka, Illinois, which has 7 million barrels of commercial storage capacity, has connectivity to major inbound and outbound pipelines at this hub, including the Capline Pipeline (discussed further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Gulf Coast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We own an approximate 54% interest in the entity that owns the Capline Pipeline, which extends from Patoka, Illinois to various terminals in St. James, Louisiana. The Capline Pipeline is supported by long-term shipper commitments, and a subsidiary of Marathon Petroleum Corporation serves as the operator.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terminal at St. James, Louisiana, which has 15 million barrels of commercial storage capacity, is a 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Rocky Mountain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pipelines that provide gathering services in the Bakken and the Powder River Basin.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Our pipeline systems in the Rocky Mountain region provide access to our terminal in Cushing, 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Saddlehorn Pipeline</w:t>
      </w:r>
      <w:r>
        <w:rPr>
          <w:rFonts w:ascii="Times New Roman;sans-serif" w:hAnsi="Times New Roman;sans-serif"/>
          <w:b w:val="false"/>
          <w:color w:val="000000"/>
          <w:sz w:val="20"/>
        </w:rPr>
        <w:t xml:space="preserve">. We own a 30% interest in the entity that owns the Saddlehorn Pipeline which, through a UJI arrangement, owns approximately 290,000 barrels per day of capacity in the Saddlehorn Pipeline. The pipeline extends from the Niobrara and Denver-Julesburg (“DJ”) Basin to Cushing and is operated by ONEOK. The Saddlehorn Pipeline is supported by minimum volume commitments.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White Cliffs Pipeline.</w:t>
      </w:r>
      <w:r>
        <w:rPr>
          <w:color w:val="000000"/>
        </w:rPr>
        <w:t xml:space="preserve"> </w:t>
      </w:r>
      <w:r>
        <w:rPr>
          <w:rFonts w:ascii="Times New Roman;sans-serif" w:hAnsi="Times New Roman;sans-serif"/>
          <w:b w:val="false"/>
          <w:color w:val="000000"/>
          <w:sz w:val="20"/>
        </w:rPr>
        <w:t>We own an approximate 36% interest in the entity that owns the White Cliffs Pipeline 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gathering systems that source crude oil from truck terminals and pipeline-connected facilities to deliver to the Enbridge Mainline system at our Kerrobert and Regina terminals in Saskatchewan, 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 xml:space="preserve">We own and operate intra-basin pipelines with capacity of approximately 290,000 barrels per day that deliver crude oil from northern and southern Alberta to the Edmonton, Alberta market hub. These pipelines provide shippers with flexibility to access the Enbridge and TransMountain long-haul pipelines along with the Imperial Oil Refinery.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Western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We own and operate a pipeline in the San Joaquin Valley in California that gathers locally produced crude oil, which is then delivered via our Line 63 pipeline system and/or Line 2000 pipeline for transportation to Los Angeles area refiners.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rFonts w:ascii="Times New Roman;sans-serif" w:hAnsi="Times New Roman;sans-serif"/>
          <w:b w:val="false"/>
          <w:color w:val="000000"/>
          <w:sz w:val="20"/>
        </w:rPr>
        <w:t>. We own and operate Line 63 and Line 2000 pipelines in California. Line 2000 is a mainline 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Market and Business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NGL segment:</w:t>
      </w:r>
    </w:p>
    <w:p>
      <w:pPr>
        <w:pStyle w:val="TextBody"/>
        <w:bidi w:val="0"/>
        <w:spacing w:before="0" w:after="0"/>
        <w:jc w:val="left"/>
        <w:rPr/>
      </w:pPr>
      <w:r>
        <w:rPr/>
        <w:drawing>
          <wp:inline distT="0" distB="0" distL="0" distR="0">
            <wp:extent cx="6515100" cy="189547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6515100" cy="1895475"/>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 Assets 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highly integrated network of assets, strategically positioned across Canada and the United States, with a particular focus on serving production from the liquids-rich Western Canadian Sedimentary Basin. As of December 31, 2023, the assets utilized in our NGL segment included the following:</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four natural gas processing plants;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seven fractionation plants located throughout Canada and the United States with an aggregate useable capacity of approximately 171,000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NGL storage facilities with approximately 24 million barrels of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1,565 miles of active NGL transportation pipelines;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16 NGL rail terminals and approximately 4,100 NGL rail 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220 trailers.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 million barrels of NGL linefill in pipelines and storage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 million barrels of NGL utilized as linefill in pipelines owned by third parties or otherwise required as long-term inventory.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approximate volumes and capacities for our NGL assets and activities as of December 31, 2023 and our natural gas processing and NGL infrastructure and activities are described further below.</w:t>
      </w:r>
    </w:p>
    <w:p>
      <w:pPr>
        <w:pStyle w:val="TextBody"/>
        <w:bidi w:val="0"/>
        <w:spacing w:before="0" w:after="0"/>
        <w:ind w:left="0" w:right="0" w:firstLine="720"/>
        <w:jc w:val="left"/>
        <w:rPr/>
      </w:pPr>
      <w:r>
        <w:rPr/>
      </w:r>
    </w:p>
    <w:tbl>
      <w:tblPr>
        <w:tblW w:w="6946" w:type="dxa"/>
        <w:jc w:val="center"/>
        <w:tblInd w:w="0" w:type="dxa"/>
        <w:tblLayout w:type="fixed"/>
        <w:tblCellMar>
          <w:top w:w="28" w:type="dxa"/>
          <w:left w:w="28" w:type="dxa"/>
          <w:bottom w:w="28" w:type="dxa"/>
          <w:right w:w="28" w:type="dxa"/>
        </w:tblCellMar>
      </w:tblPr>
      <w:tblGrid>
        <w:gridCol w:w="914"/>
        <w:gridCol w:w="803"/>
        <w:gridCol w:w="804"/>
        <w:gridCol w:w="109"/>
        <w:gridCol w:w="109"/>
        <w:gridCol w:w="109"/>
        <w:gridCol w:w="331"/>
        <w:gridCol w:w="331"/>
        <w:gridCol w:w="824"/>
        <w:gridCol w:w="109"/>
        <w:gridCol w:w="109"/>
        <w:gridCol w:w="109"/>
        <w:gridCol w:w="290"/>
        <w:gridCol w:w="290"/>
        <w:gridCol w:w="291"/>
        <w:gridCol w:w="109"/>
        <w:gridCol w:w="109"/>
        <w:gridCol w:w="109"/>
        <w:gridCol w:w="274"/>
        <w:gridCol w:w="274"/>
        <w:gridCol w:w="276"/>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Natural Gas Processing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Processing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 </w:t>
            </w:r>
          </w:p>
          <w:p>
            <w:pPr>
              <w:pStyle w:val="TableContents"/>
              <w:bidi w:val="0"/>
              <w:spacing w:lineRule="auto" w:line="240" w:before="0" w:after="0"/>
              <w:jc w:val="center"/>
              <w:rPr/>
            </w:pPr>
            <w:r>
              <w:rPr>
                <w:rFonts w:ascii="Times New Roman;sans-serif" w:hAnsi="Times New Roman;sans-serif"/>
                <w:b/>
                <w:color w:val="000000"/>
                <w:sz w:val="16"/>
              </w:rPr>
              <w:t>(Bcf/d)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Inlet</w:t>
            </w:r>
          </w:p>
          <w:p>
            <w:pPr>
              <w:pStyle w:val="TableContents"/>
              <w:bidi w:val="0"/>
              <w:spacing w:lineRule="auto" w:line="240" w:before="0" w:after="0"/>
              <w:jc w:val="center"/>
              <w:rPr/>
            </w:pPr>
            <w:r>
              <w:rPr>
                <w:rFonts w:ascii="Times New Roman;sans-serif" w:hAnsi="Times New Roman;sans-serif"/>
                <w:b/>
                <w:color w:val="000000"/>
                <w:sz w:val="16"/>
              </w:rPr>
              <w:t xml:space="preserve">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(Bcf/d)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tbl>
      <w:tblPr>
        <w:tblW w:w="7459" w:type="dxa"/>
        <w:jc w:val="center"/>
        <w:tblInd w:w="0" w:type="dxa"/>
        <w:tblLayout w:type="fixed"/>
        <w:tblCellMar>
          <w:top w:w="28" w:type="dxa"/>
          <w:left w:w="28" w:type="dxa"/>
          <w:bottom w:w="28" w:type="dxa"/>
          <w:right w:w="28" w:type="dxa"/>
        </w:tblCellMar>
      </w:tblPr>
      <w:tblGrid>
        <w:gridCol w:w="821"/>
        <w:gridCol w:w="722"/>
        <w:gridCol w:w="723"/>
        <w:gridCol w:w="109"/>
        <w:gridCol w:w="109"/>
        <w:gridCol w:w="109"/>
        <w:gridCol w:w="331"/>
        <w:gridCol w:w="331"/>
        <w:gridCol w:w="824"/>
        <w:gridCol w:w="109"/>
        <w:gridCol w:w="109"/>
        <w:gridCol w:w="109"/>
        <w:gridCol w:w="413"/>
        <w:gridCol w:w="413"/>
        <w:gridCol w:w="371"/>
        <w:gridCol w:w="109"/>
        <w:gridCol w:w="109"/>
        <w:gridCol w:w="109"/>
        <w:gridCol w:w="447"/>
        <w:gridCol w:w="447"/>
        <w:gridCol w:w="635"/>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Fractionation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Fractionation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w:t>
            </w:r>
          </w:p>
          <w:p>
            <w:pPr>
              <w:pStyle w:val="TableContents"/>
              <w:bidi w:val="0"/>
              <w:spacing w:lineRule="auto" w:line="240" w:before="0" w:after="0"/>
              <w:jc w:val="center"/>
              <w:rPr/>
            </w:pPr>
            <w:r>
              <w:rPr>
                <w:rFonts w:ascii="Times New Roman;sans-serif" w:hAnsi="Times New Roman;sans-serif"/>
                <w:b/>
                <w:color w:val="000000"/>
                <w:sz w:val="16"/>
              </w:rPr>
              <w:t>(Bbls/d)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(Bbls/d)</w:t>
            </w:r>
          </w:p>
        </w:tc>
      </w:tr>
      <w:tr>
        <w:trPr/>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171,000 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115,100 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4915" w:type="dxa"/>
        <w:jc w:val="center"/>
        <w:tblInd w:w="0" w:type="dxa"/>
        <w:tblLayout w:type="fixed"/>
        <w:tblCellMar>
          <w:top w:w="28" w:type="dxa"/>
          <w:left w:w="28" w:type="dxa"/>
          <w:bottom w:w="28" w:type="dxa"/>
          <w:right w:w="28" w:type="dxa"/>
        </w:tblCellMar>
      </w:tblPr>
      <w:tblGrid>
        <w:gridCol w:w="647"/>
        <w:gridCol w:w="569"/>
        <w:gridCol w:w="570"/>
        <w:gridCol w:w="109"/>
        <w:gridCol w:w="109"/>
        <w:gridCol w:w="109"/>
        <w:gridCol w:w="331"/>
        <w:gridCol w:w="331"/>
        <w:gridCol w:w="824"/>
        <w:gridCol w:w="109"/>
        <w:gridCol w:w="109"/>
        <w:gridCol w:w="109"/>
        <w:gridCol w:w="289"/>
        <w:gridCol w:w="289"/>
        <w:gridCol w:w="411"/>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Storage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Storage</w:t>
            </w:r>
          </w:p>
          <w:p>
            <w:pPr>
              <w:pStyle w:val="TableContents"/>
              <w:bidi w:val="0"/>
              <w:spacing w:lineRule="auto" w:line="240" w:before="0" w:after="0"/>
              <w:jc w:val="center"/>
              <w:rPr/>
            </w:pPr>
            <w:r>
              <w:rPr>
                <w:rFonts w:ascii="Times New Roman;sans-serif" w:hAnsi="Times New Roman;sans-serif"/>
                <w:b/>
                <w:color w:val="000000"/>
                <w:sz w:val="16"/>
              </w:rPr>
              <w:t>Capacity</w:t>
            </w:r>
            <w:r>
              <w:rPr>
                <w:color w:val="000000"/>
              </w:rPr>
              <w:t xml:space="preserve"> </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(MMBbls)</w:t>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66" w:type="dxa"/>
        <w:jc w:val="center"/>
        <w:tblInd w:w="0" w:type="dxa"/>
        <w:tblLayout w:type="fixed"/>
        <w:tblCellMar>
          <w:top w:w="28" w:type="dxa"/>
          <w:left w:w="28" w:type="dxa"/>
          <w:bottom w:w="28" w:type="dxa"/>
          <w:right w:w="28" w:type="dxa"/>
        </w:tblCellMar>
      </w:tblPr>
      <w:tblGrid>
        <w:gridCol w:w="473"/>
        <w:gridCol w:w="415"/>
        <w:gridCol w:w="417"/>
        <w:gridCol w:w="109"/>
        <w:gridCol w:w="109"/>
        <w:gridCol w:w="109"/>
        <w:gridCol w:w="495"/>
        <w:gridCol w:w="495"/>
        <w:gridCol w:w="496"/>
        <w:gridCol w:w="109"/>
        <w:gridCol w:w="109"/>
        <w:gridCol w:w="109"/>
        <w:gridCol w:w="734"/>
        <w:gridCol w:w="734"/>
        <w:gridCol w:w="736"/>
        <w:gridCol w:w="109"/>
        <w:gridCol w:w="109"/>
        <w:gridCol w:w="109"/>
        <w:gridCol w:w="466"/>
        <w:gridCol w:w="466"/>
        <w:gridCol w:w="65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Average Volumes </w:t>
            </w:r>
            <w:r>
              <w:rPr>
                <w:rFonts w:ascii="Times New Roman;sans-serif" w:hAnsi="Times New Roman;sans-serif"/>
                <w:b/>
                <w:color w:val="000000"/>
                <w:sz w:val="11"/>
              </w:rPr>
              <w:t>(2)</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(MBbls/d)</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Pipelines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249" w:type="dxa"/>
        <w:jc w:val="center"/>
        <w:tblInd w:w="0" w:type="dxa"/>
        <w:tblLayout w:type="fixed"/>
        <w:tblCellMar>
          <w:top w:w="28" w:type="dxa"/>
          <w:left w:w="28" w:type="dxa"/>
          <w:bottom w:w="28" w:type="dxa"/>
          <w:right w:w="28" w:type="dxa"/>
        </w:tblCellMar>
      </w:tblPr>
      <w:tblGrid>
        <w:gridCol w:w="619"/>
        <w:gridCol w:w="545"/>
        <w:gridCol w:w="546"/>
        <w:gridCol w:w="109"/>
        <w:gridCol w:w="109"/>
        <w:gridCol w:w="109"/>
        <w:gridCol w:w="495"/>
        <w:gridCol w:w="495"/>
        <w:gridCol w:w="496"/>
        <w:gridCol w:w="109"/>
        <w:gridCol w:w="109"/>
        <w:gridCol w:w="109"/>
        <w:gridCol w:w="305"/>
        <w:gridCol w:w="305"/>
        <w:gridCol w:w="306"/>
        <w:gridCol w:w="109"/>
        <w:gridCol w:w="109"/>
        <w:gridCol w:w="109"/>
        <w:gridCol w:w="338"/>
        <w:gridCol w:w="338"/>
        <w:gridCol w:w="480"/>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Rack Spots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Storage Spots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Rail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total average annual capacity of the facilities, net to our ownership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daily volumes are calculated as the total volumes for the year, net to our share, divided by the number of days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total mileage of pipelines in which we own a less than 100% interest.</w:t>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Natural Gas Processing and NGL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Empress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Empress plants are capable of processing up to 5.7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Co-Ed Pipeline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Fort Saskatchewan Complex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Sarnia Area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Impact of Commodity Price Volatility and Dynamic Market Conditions on Our Business Model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NGL and natural gas commodity prices have historically been very volatile. For example, in 2023, the prompt month NYMEX light, sweet futures contract (commonly referred to as “WTI”) price ranged from a low of approximately $67 per barrel to a high of approximately $94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relative contribution levels will vary from quarter-to-quarter due to seasonality, particularly with respect to our NGL merchant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Ongoing Activities Related to Strategic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 and Joint Ownership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significant joint ventures as of December 31, 2023: </w:t>
      </w:r>
    </w:p>
    <w:p>
      <w:pPr>
        <w:pStyle w:val="TextBody"/>
        <w:bidi w:val="0"/>
        <w:spacing w:before="0" w:after="0"/>
        <w:ind w:left="0" w:right="0" w:firstLine="720"/>
        <w:jc w:val="left"/>
        <w:rPr/>
      </w:pPr>
      <w:r>
        <w:rPr/>
      </w:r>
    </w:p>
    <w:tbl>
      <w:tblPr>
        <w:tblW w:w="9169" w:type="dxa"/>
        <w:jc w:val="center"/>
        <w:tblInd w:w="0" w:type="dxa"/>
        <w:tblLayout w:type="fixed"/>
        <w:tblCellMar>
          <w:top w:w="28" w:type="dxa"/>
          <w:left w:w="28" w:type="dxa"/>
          <w:bottom w:w="28" w:type="dxa"/>
          <w:right w:w="28" w:type="dxa"/>
        </w:tblCellMar>
      </w:tblPr>
      <w:tblGrid>
        <w:gridCol w:w="1288"/>
        <w:gridCol w:w="1126"/>
        <w:gridCol w:w="1140"/>
        <w:gridCol w:w="109"/>
        <w:gridCol w:w="109"/>
        <w:gridCol w:w="109"/>
        <w:gridCol w:w="1159"/>
        <w:gridCol w:w="1159"/>
        <w:gridCol w:w="1162"/>
        <w:gridCol w:w="109"/>
        <w:gridCol w:w="109"/>
        <w:gridCol w:w="109"/>
        <w:gridCol w:w="369"/>
        <w:gridCol w:w="369"/>
        <w:gridCol w:w="371"/>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Entity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Joint Venture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Pipeline LLC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Pipeline</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Pipeline</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Terminals Corpus Christi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Terminal and Dock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Plains Oryx Permian Basin LLC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Pipelines and Related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Red River Pipeline Company LLC </w:t>
            </w:r>
            <w:r>
              <w:rPr>
                <w:rFonts w:ascii="Times New Roman;sans-serif" w:hAnsi="Times New Roman;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Saddlehorn Pipeline Company,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Wink to Webster Pipeline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Assets are operated by Plains.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consolidate the entity based on control, with our partner’s interest accounted for as a noncontrolling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Entity owns a UJI in the crude oil pipeline.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UJIs as of December 31, 2023, excluding UJIs that are indirectly owned by us through joint ventures (e.g., Wink to Webster, Saddlehorn and Red River joint ventures):</w:t>
      </w:r>
    </w:p>
    <w:tbl>
      <w:tblPr>
        <w:tblW w:w="7790" w:type="dxa"/>
        <w:jc w:val="left"/>
        <w:tblInd w:w="0" w:type="dxa"/>
        <w:tblLayout w:type="fixed"/>
        <w:tblCellMar>
          <w:top w:w="28" w:type="dxa"/>
          <w:left w:w="28" w:type="dxa"/>
          <w:bottom w:w="28" w:type="dxa"/>
          <w:right w:w="28" w:type="dxa"/>
        </w:tblCellMar>
      </w:tblPr>
      <w:tblGrid>
        <w:gridCol w:w="1232"/>
        <w:gridCol w:w="1088"/>
        <w:gridCol w:w="1099"/>
        <w:gridCol w:w="109"/>
        <w:gridCol w:w="109"/>
        <w:gridCol w:w="109"/>
        <w:gridCol w:w="109"/>
        <w:gridCol w:w="109"/>
        <w:gridCol w:w="109"/>
        <w:gridCol w:w="744"/>
        <w:gridCol w:w="744"/>
        <w:gridCol w:w="747"/>
        <w:gridCol w:w="109"/>
        <w:gridCol w:w="109"/>
        <w:gridCol w:w="109"/>
        <w:gridCol w:w="338"/>
        <w:gridCol w:w="338"/>
        <w:gridCol w:w="479"/>
      </w:tblGrid>
      <w:tr>
        <w:trPr/>
        <w:tc>
          <w:tcPr>
            <w:tcW w:w="123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w:t>
              <w:br/>
              <w:t>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UJI</w:t>
              <w:br/>
              <w:t>Ownership</w:t>
              <w:br/>
              <w:t>Percentage</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Basin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Fort Saskatchewan NGL Storage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Kerrobert Storage and Pipeline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Pipeline and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Sarnia NGL Storage and Fractionation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 to 85%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Sunrise II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Asset is operated by Plains.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Certain of these assets are operated by Plains.</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i/>
          <w:color w:val="000000"/>
          <w:sz w:val="20"/>
        </w:rPr>
        <w:t>Acquisitions and Divestitures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2023, we have completed several acquisitions for an aggregate of approximately $2.7 billion (which figure excludes the value of our Permian JV formed in October 2021), and we have completed asset sales and sales of partial interests in assets to strategic joint venture partners totaling more than $4.9 billion. See Note 7 to our Consolidated Financial Statements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Projects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2024 capital plan consists of capital-efficient, highly contracted projects that help address industry needs.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capital for the year ending December 31, 2024 is currently projected to be approximately $465 million ($375 million net to our interest), of which over half is expected to be associated with the Permian JV. Additionally, maintenance capital for 2024 is currently projected to be approximately $250 million ($230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but not all, of the laws and regulations affecting our operations. Unless the context requires otherwise, references herein to our “facilities” includes all of the pipelines, terminals, storage and other assets owned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Health, Safety and Environmental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Pipeline Safety/Integrity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$33 million in 2023. Based on currently available information, our preliminary estimate for 2024 is that we will incur approximately $40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$12 million in 2023, and our preliminary estimate for 2024 is that we will incur approximately $20 million of such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$31 million in 2023. For 2024, we have budgeted approximately $45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implemented certain of these technologies in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$94 million in 2023. Our preliminary estimate for 2024 is approximately $105 million of costs on such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Occupational Safety and Health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Solid Waste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Hazardous Substances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Environmental Remediation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Air Emissions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Climate Change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For 2023, two of our facilities were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Also, there continues to be uncertainty on the federal government’s applicable jurisdictional reach under the Clean Water Act over waters of the United States (“WOTUS”), including wetlands. The EPA and the Corps recently published a final rule, which took effect on March 20, 2023, defining WOTUS according to the broader pre-2015 standards with additional updates to incorporate existing Supreme Court decisions and agency guidance. However, the new rule was quickly challenged, with the State of Texas and industry groups filing separate suits in federal court in Texas on January 18, 2023, and 24 other states commencing an action in North Dakota on February 16, 2023. At the time these cases were pending, the Supreme Court of the United States (“SCOTUS”) issued its decision in </w:t>
      </w:r>
      <w:r>
        <w:rPr>
          <w:rFonts w:ascii="Times New Roman;sans-serif" w:hAnsi="Times New Roman;sans-serif"/>
          <w:b w:val="false"/>
          <w:i/>
          <w:color w:val="000000"/>
          <w:sz w:val="20"/>
        </w:rPr>
        <w:t>Sackett v. EPA</w:t>
      </w:r>
      <w:r>
        <w:rPr>
          <w:rFonts w:ascii="Times New Roman;sans-serif" w:hAnsi="Times New Roman;sans-serif"/>
          <w:b w:val="false"/>
          <w:color w:val="000000"/>
          <w:sz w:val="20"/>
        </w:rPr>
        <w:t xml:space="preserve">, a case defining WOTUS and wetlands. On August 29, 2023, in response to SCOTUS’ decision, the EPA and Corps released a final rule amending the revised definition of WOTUS to be more in line with the </w:t>
      </w:r>
      <w:r>
        <w:rPr>
          <w:rFonts w:ascii="Times New Roman;sans-serif" w:hAnsi="Times New Roman;sans-serif"/>
          <w:b w:val="false"/>
          <w:i/>
          <w:color w:val="000000"/>
          <w:sz w:val="20"/>
        </w:rPr>
        <w:t xml:space="preserve">Sackett </w:t>
      </w:r>
      <w:r>
        <w:rPr>
          <w:rFonts w:ascii="Times New Roman;sans-serif" w:hAnsi="Times New Roman;sans-serif"/>
          <w:b w:val="false"/>
          <w:color w:val="000000"/>
          <w:sz w:val="20"/>
        </w:rPr>
        <w:t xml:space="preserve">case. The Texas and North Dakota litigation are continuing with this revised definition of WOTUS as industry groups, states, and non-governmental organizations attempt to clarify the bounds of the new interpretation. In addition, the Corps is proposing to make revisions to their Ordinary High Water Mark (“OHWM”) Manual, a key technical document used by the Corps to make jurisdictional determinations. The request for comments on the manual were due back by December 1, 2023, and it is difficult at this time to judge how impactful any changes could be. It is anticipated the new OHWM Manual will come into effect mid-2024. In an April 2020 decision, </w:t>
      </w:r>
      <w:r>
        <w:rPr>
          <w:rFonts w:ascii="Times New Roman;sans-serif" w:hAnsi="Times New Roman;sans-serif"/>
          <w:b w:val="false"/>
          <w:i/>
          <w:color w:val="000000"/>
          <w:sz w:val="20"/>
        </w:rPr>
        <w:t>Maui v. Hawaii Wildlife Fund</w:t>
      </w:r>
      <w:r>
        <w:rPr>
          <w:rFonts w:ascii="Times New Roman;sans-serif" w:hAnsi="Times New Roman;sans-serif"/>
          <w:b w:val="false"/>
          <w:color w:val="000000"/>
          <w:sz w:val="20"/>
        </w:rPr>
        <w:t xml:space="preserve">, the SCOTUS held that, in certain cases, discharges from a point source to groundwater could fall within the scope of the CWA and require a permit. The Court rejected the EPA’s and Corps’ assertion that groundwater should be totally excluded from the CWA. In response to SCOTUS’ decision, EPA published a draft </w:t>
      </w:r>
      <w:r>
        <w:rPr>
          <w:rFonts w:ascii="Times New Roman;sans-serif" w:hAnsi="Times New Roman;sans-serif"/>
          <w:b w:val="false"/>
          <w:i/>
          <w:color w:val="000000"/>
          <w:sz w:val="20"/>
        </w:rPr>
        <w:t>Maui</w:t>
      </w:r>
      <w:r>
        <w:rPr>
          <w:color w:val="000000"/>
        </w:rPr>
        <w:t xml:space="preserve"> </w:t>
      </w:r>
      <w:r>
        <w:rPr>
          <w:rFonts w:ascii="Times New Roman;sans-serif" w:hAnsi="Times New Roman;sans-serif"/>
          <w:b w:val="false"/>
          <w:color w:val="000000"/>
          <w:sz w:val="20"/>
        </w:rPr>
        <w:t>Guidance on November 27, 2023, with a comment deadline of December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Endangered Species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Interstate Liquids Regulation in the United States.</w:t>
      </w:r>
      <w:r>
        <w:rPr>
          <w:color w:val="000000"/>
        </w:rPr>
        <w:t xml:space="preserve">  </w:t>
      </w:r>
      <w:r>
        <w:rPr>
          <w:rFonts w:ascii="Times New Roman;sans-serif" w:hAnsi="Times New Roman;sans-serif"/>
          <w:b w:val="false"/>
          <w:color w:val="000000"/>
          <w:sz w:val="20"/>
        </w:rPr>
        <w:t>Our common carrier pipeline operations with interstate movements 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FERC has also retained cost-of-service ratemaking, market-based rates and settlement rates as alternatives to the indexing approach that may be used in certain specified circumstances.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Policy Act of 2005 (“EPAct 2005”) authorized FERC to impose civil penalties for violations of the ICA and FERC regulations thereunder, up to a maximum amount that is adjusted annually for inflation, which for 2024 equals $16,170 per day, per violation. Should we fail to comply with applicable statutes, rules, regulations and orders administered by FERC, we could be subject to substantial penalties and fines.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Intrastate Regulation in the United States.</w:t>
      </w:r>
      <w:r>
        <w:rPr>
          <w:color w:val="000000"/>
        </w:rPr>
        <w:t xml:space="preserve"> </w:t>
      </w:r>
      <w:r>
        <w:rPr>
          <w:rFonts w:ascii="Times New Roman;sans-serif" w:hAnsi="Times New Roman;sans-serif"/>
          <w:b w:val="false"/>
          <w:color w:val="000000"/>
          <w:sz w:val="20"/>
        </w:rPr>
        <w:t>Our intrastate liquids pipeline transportation activities are subject to various state laws and regulations, as well as orders of state regulatory bodies, including the Railroad Commission of Texas (“TRRC”) and the California Public Utility Commission (“CPUC”). The CPUC prohibits certain of our subsidiaries from acting as guarantors of our senior notes and credit facilities.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Canadian Regulation.</w:t>
      </w:r>
      <w:r>
        <w:rPr>
          <w:color w:val="000000"/>
        </w:rPr>
        <w:t xml:space="preserve">  </w:t>
      </w:r>
      <w:r>
        <w:rPr>
          <w:rFonts w:ascii="Times New Roman;sans-serif" w:hAnsi="Times New Roman;sans-serif"/>
          <w:b w:val="false"/>
          <w:color w:val="000000"/>
          <w:sz w:val="20"/>
        </w:rPr>
        <w:t>Our Canadian pipeline assets are subject to regulation by the CER and by provincial regulators. 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Trucking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Railcar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Indigenous Protections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Security Administration Security Directives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in response to cybersecurity incidents affecting the pipeline industry, the United States Department of Homeland Security’s Transportation Security Administration (“TSA”) issued two comprehensive security directives that included various cybersecurity and reporting requirements for critical infrastructure pipeline owners and/or operators. Compliance with these security directives may have a significant impact on our operations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Cross 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cross border activities, including the transportation and importation of crude oil and NGL between the United States and Canada, we are subject to a variety of legal requirements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Market Anti-Manipulation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$1.23 million, subject to the CFTC’s annual inflation adjustment, or triple the monetary gain to the person for each violation.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Operational Hazards and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Title to Properties and Rights-of-Way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human capital management objective is to attract, retain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 ULC). As of December 31, 2023,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2024 and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Health and Safety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in 2021 the Board established a Health, Safety, Environmental and Sustainability (“HSES”) Committee to assist the Board in its evaluation and oversight of our management of HSES matters. Through the discharge of its oversight responsibilities, the HSES Committee facilitates the efforts of management to further strengthen our focus on Sustainability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a professional work environment where all employees are treated with respect and dignity and provided with equal opportunities. To that end, we strive to develop a culture of inclusion and diversity in our workforce and employ a workforce that reflects the diversity of the communities where we operate. As of December 31, 2023, approximately 21% of our overall workforce was female (45% exclusive of field employees), and under-represented groups comprised approximately 35% of our U.S. workforce (38% exclusive of field employees).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Training and Leadership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and benefits programs are designed to attract, retain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Summary of Tax Considerations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Partnership Status; Cash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the Bipartisan Budget Act audit rules,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Partnership Allocations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Deductibility of Partnership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Limitations on Interest Deductions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Section 754 Election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Disposition of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State, Local and Other Tax Considerations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Ownership of Common Units by Tax-Exempt Organizations and Certain Other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common units.</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Audit Procedures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make available, free of charge on our Internet website at </w:t>
      </w:r>
      <w:r>
        <w:rPr>
          <w:rFonts w:ascii="Times New Roman;sans-serif" w:hAnsi="Times New Roman;sans-serif"/>
          <w:b w:val="false"/>
          <w:i/>
          <w:color w:val="000000"/>
          <w:sz w:val="20"/>
        </w:rPr>
        <w:t>www.plains.com</w:t>
      </w:r>
      <w:r>
        <w:rPr>
          <w:rFonts w:ascii="Times New Roman;sans-serif" w:hAnsi="Times New Roman;sans-serif"/>
          <w:b w:val="false"/>
          <w:color w:val="000000"/>
          <w:sz w:val="20"/>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76" w:before="0" w:after="12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Summary of Risk Factors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financial condition, cash flows and unit price can be adversely affected by many factors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crude oil, natural gas and NGL shipped, processed, purchased, stored, fractionated and/or gathered at or through the use of our pipelines and facilities, which can be negatively impacted by a variety of factors outside of our control;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competition in our industry, including recontracting and other risks associated with the general capacity overbuild of midstream energy infrastructure in some of the areas where we operate;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supply and demand for the products we handle and the services we provide, which can be caused by a variety of factors outside of our control;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cybersecurity attacks, data breaches and other disruptions affecting us, or our service providers, could materially and adversely affect our business, operations, reputation and financial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arising from climate change, energy conservation measures, or initiatives that stimulate demand for alternative forms of energy;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societal and political pressures from various groups, including opposition to the development or operation of our pipelines and facilities;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concern by financial stakeholders with respect to our governance structure and the perceived social and environmental cost of our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overall forward market for crude oil and NGL, and certain market structures, the absence of pricing volatility and other market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inability to fully implement or realize expected returns or other anticipated benefits associated with acquisitions, joint venture and joint ownership arrangements, divestitures and other projects;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entering into new businesses in connection with our strategy to participate in emerging energy opportunities;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pandemics, epidemics or other public health events;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loss of our investment grade credit rating or a significant reduction in our ability to receive open credit;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credit risk of our customers and other counterparties we transact with in the ordinary course of business activities;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otherwise limit our access to capital;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insufficiency of, or non-compliance with, our risk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insurance coverage may not fully cover our losses and we may in the future encounter increased costs related to, and lack of availability of, insurance;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current or future debt levels, or inability to borrow additional funds or capitalize on business opportunities;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interest rates and currency exchange 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recruiting and retaining our workforce;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impairment of long-term assets;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significant under-utilization of certain assets due to fixed costs incurred to obtain the right to use such assets;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cost to repair and maintain our assets;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do not own all of the land on which our pipelines and facilities are located, which could result in disruptions to our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failure to obtain materials or commodities in the quantity and the quality we need, and at commercially acceptable prices, whether due to supply disruptions, inflation, tariffs, quotas or other factors;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the pace of development of natural gas infrastructure could have an adverse impact on expected crude oil production growth in the Permian Basin.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impacted by existing or new laws, executive orders and regulations relating to protection of the environment and wildlife, operational safety, cross-border import/export and tax matters, financial and hedging activities, climate change and related matters.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structure carries inherent risks,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reimbursements due to our general partner may be substantial and will reduce our cash available for distribution to unitholders;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cash distributions are not guaranteed and may fluctuate with our performance and the establishment of financial reserves;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preferred units have rights, preferences and privileges that are not the same as, and are preferential to, the rights of holders of our common units;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unitholders may not be able to remove our general partner even if they wish to do so;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issue additional common units without unitholder approval, which would dilute a unitholder’s existing ownership interests;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conflicts of interest could arise among our general partner and us or our unitholders.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an Investment in Our Debt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debt securities are subject to risks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do not have the same flexibility as other types of organizations to accumulate cash, which may limit cash available to service our debt securities or to repay them at maturity.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Tax Risks to Common Unitholders and Series B Preferred Unitholders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and Series B Preferred Units are subject to tax risks, which may adversely impact the value of or market for our units and may reduce our cash available for distribution or debt service, including but not limited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status as a partnership for U.S. federal income tax purposes and not being subject to a material amount of entity-level taxation;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legislative, judicial or administrative changes or differing interpretations, possibly applied on a retroactive basis;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audit adjustments to our income tax returns for tax years beginning after December 31, 2017, by the IRS or state tax authorities;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IRS or Canada Revenue Agency (“CRA”) contests to the federal income tax positions or inter-country allocations we take;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unitholders may be required to pay taxes on their share of our income even if they do not receive any cash distributions from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tax-exempt entities and non-U.S. unitholders face unique tax issues from owning our units;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taxable gain or loss on the disposition of our common units could be more or less than expected;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unitholders may be subject to limitation on their ability to deduct interest expense incurred by us;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unitholders will likely be subject to state, local and non-U.S. taxes and return filing requirements in states and jurisdictions where they do not live as a result of investing in our units;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profitability depends on the volume of crude oil, natural gas and NGL shipped, processed, purchased, stored, fractionated and/or gathered at or through the use of our pipelines and facilities, which can be negatively impacted by a variety of factors outside of our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Also, except with respect to some of our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supply and demand for the products we handle, which can be caused by a variety of factors outside of our control, can negatively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and demand for crude oil and other hydrocarbon products we handle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 attacks, data breaches and other disruptions affecting us, or our service providers, could materially and adversely affect our business, operations, reputation and financial results.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reliant on the continuous and uninterrupted operation of our various technology systems. User access to our sites and information technology systems are critical elements of our operations, as is cloud security and protection against cyber security incidents. In the ordinary course of our business, we collect and store sensitive data in our data centers and on our networks, including intellectual property, proprietary business information, critical operating information and data, information regarding our customers, suppliers, royalty owners and business partners, and personally identifiable information of our employees. We also engage third parties, such as service providers and vendors, who provide a broad array of software, technologies, tools and other products, services and functions that enable us to conduct, monitor and/or protect our business, operations systems and data assets. The secure processing, maintenance and transmission of this information is critical to our operations and business strategy. Despite our security measures, the information technology and infrastructure we rely on may be vulnerable to attacks by third parties, such as hackers, or breached due to human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have, from time to time, been subject to cyberattacks. The frequency and magnitude of cyberattacks is expected to increase and attackers are becoming more sophisticated.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technology infrastructure we use is critical to the efficient operation of our business and essential to our ability to perform day-to-day operations. Risks to our information technology systems include: unauthorized or inadvertent extraction of business sensitive, confidential or personal information; denial of access extortion; corruption of information; or disruption of business processes. Breaches of our information technology infrastructure or physical facilities, or other disruptions, could result in damage to our assets, safety incidents, damage to the environment, remediation costs, liability, regulatory enforcement, violation of privacy or securities laws and regulations, the loss of contracts or the inability to fulfil our contractual obligations, any of which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and our customers’ operations are subject to various risks arising out of the threat of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our services or the products we handle. Government initiatives or technological advances may also create new competitive conditions that result in reduced demand for the products our customers produce and, in turn, the services we provide. The potential impact of changing demand for crude oil and natural gas services and products may have a material adverse effect on our business, financial condition, results of operations and cash flows. Additionally, the threat of climate change may negatively impact our business if it results in us restricting, delaying or canceling development activities and new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Our ability to manage the adverse impacts of these events depends in part on the effectiveness our disaster preparedness and response and business continuity planning, which may not have considered or be prepared for every eventuality.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full impact of climate change on our business, as well as the businesses of our customers and suppliers is unknown. Any of factors discussed above, or any other unanticipated developments,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face opposition from various groups to the development or operation of our pipelines and facilities and our business may be subject to societal and political pressures.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scrutiny by financial stakeholders with respect to the perceived social and environmental cost of our industry and our governance structure, which may adversely impact our ability to raise capital from such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stakeholders’ focus and activism related to sustainability and similar matters could constrain our ability to raise capital. Any material limitations on our ability to access capital as a result of such scrutiny could limit our ability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obtain future financing on favorable terms, or at all, or could result in increased financing costs in the future. Similarly, such activism could negatively impact our unit price or the price of our debt,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many commentators now expect a final rule to be issued in the first half of 2024. Although the final form and substance of this rule and its requirements are not yet known and its ultimate impact on our business is uncertain, compliance with the proposed rule, if finalized,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crude oil and NGL merchant activities are influenced by the overall forward market for crude oil and NGL, and certain market structures, the absence of pricing volatility and other market factors may adversely impact our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ventures, joint ownership arrangements and other projects pose unique challenges and we may not be able to fully implement or realize synergies, expected returns or other anticipated benefits associated with such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undertaking, or are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our control, including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realize our forecasted commercial, operational or administrative synergies in connection with our joint ventures and joint ownership arrangements, including the Plains Oryx Permian Basin LLC joint venture;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Joint ventures and other joint ownership arrangements may demand substantial internal resources and may divert resources and attention from other areas of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construct pipelines, facilities or other assets in anticipation of market demand that dissipates or market growth that never materializes;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face opposition to our planned projects from environmental groups, landowners, local groups and other advocates, including lawsuits or other actions designed to disrupt or delay our planned projects;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completion or success of our projects may depend on the completion or success of third-party facilities over which we have no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the anticipated benefits associated with our joint ventures and joint ownership arrangements may not be achieved or could be delayed. In turn, this could negatively impact our cash flow and our ability to make or increase cash distributions to our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results of operations, financial condition, cash flows and unit price can be adversely affected by pandemics, epidemics or other public health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of our investment grade credit rating or the ability to receive open credit could negatively affect our borrowing costs, ability to purchase crude oil, NGL and natural gas supplies or to capitalize on market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the credit risk of our customers and other counterparties we transact with in the ordinary course of our business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 involve risks that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future acquisitions or planned divestitures (due to reduced investment in the energy sector, governmental action, litigation, counterparty non-performance or other factors), it may be more difficult for us to implement our business strategies, maintain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also involve potential risks, including: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performance from the acquired businesses or assets that is below the forecasts we used in evaluating the acquisition;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significant increase in our indebtedness and working capital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inability to timely and effectively integrate the operations of recently acquired businesses or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associated with operating in lines of business that are distinct and separate from our historical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 or key employee loss from the acquired businesses;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from other business concerns.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achieve anticipated levels of cash flows or other benefits from our acquisitions, pay distributions to our partners or meet our debt service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Tightened capital markets or other factors that increase our cost of capital or otherwise limit our access to capital could impair our ability to achieve our strategic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risk policies cannot eliminate all risks and the insufficiency of, or non-compliance with our risk policies could result in significant financial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steps within our organization to implement processes and procedures designed to detect unauthorized trading and non-compliance with our risk policies; however, we can provide no assurance that these steps will detect and prevent all violations of our risk policies and procedures, particularly if deception, collusion or other intentional misconduct is involved.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insurance coverage may not fully cover our losses and we may in the future encounter increased costs related to, and lack of availability of,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18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face value of our consolidated debt outstanding was approximately $7.8 billion (excluding unamortized discounts and debt issuance costs of approximately $41 million), consisting of approximately $7.3 billion face value of long-term debt (including senior notes and finance lease obligations) and approximately $446 million of short-term borrowings. As of December 31, 2023, we had over $2.6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our current or future indebtedness could have significant effects on our operations, including, among other things: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significant portion of our cash flow will be dedicated to the payment of principal and interest on our indebtedness and may not be available for other purposes, including the payment of distributions on our units and capital expenditures;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credit rating agencies may view our debt level negatively;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covenants contained in our existing debt arrangements will require us to continue to meet financial tests that may adversely affect our flexibility to plan for and react to changes in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obtain additional financing for working capital, capital expenditures, acquisitions and general partnership purposes may be limited;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at a competitive disadvantage relative to similar companies that have less debt;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more vulnerable to adverse economic and industry conditions as a result of our significant debt level.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Increases in interest rates could adversely affect our business and the trading price of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face value of our consolidated debt was approximately $7.8 billion (excluding unamortized discounts and debt issuance costs of approximately $41 million), substantially all of which was at fixed interest rates. Significant increases in interest rates above current levels could adversely affect our results of operations, cash flows and financial position due to, among other things: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exposure to market risk due to the short-term nature of our commercial paper borrowings and the floating interest rates on our credit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potential refinancing of our indebtedness at rates higher than historical amounts;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Increasing interest costs associated with the storage of hedged crude oil and NGL inventory in our merchant activities;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Distributions payable on our Series B preferred units, which accumulate for each distribution period at a percentage of the liquidation preference equal to the applicable three-month Secured Overnight Financing Rate (SOFR), plus a credit spread adjustment of 0.2621%, plus 4.11%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trading price of our common units may be sensitive to changes in interest rates and any rise in interest rates could adversely impact such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currency exchange rates could adversely affect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requires the retention and recruitment of a skilled workforce, and difficulties retaining and recruiting our workforce could result in a failure to implement our business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impairment of long-term assets could reduce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approximately $15.8 billion of net property and equipment, $976 million of linefill, $2.8 billion of investments accounted for under the equity method of accounting and approximately $1.9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the use or availability of third-party assets for certain of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Significant under-utilization of certain assets could significantly reduce our profitability due to fixed costs incurred to obtain the right to use such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Many of our assets have been in service for many years and require significant expenditures to maintain them or remove them from service. As a result, our maintenance, repair or asset retirement costs may increase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pipelines, terminals, storage and processing and fractionation assets are generally long-lived assets, and many of them have been in service for many years. The age and condition of our assets could result in increased maintenance, repair or asset retirement expenditures in the future. Any significant increase in these expenditures could adversely affect our results of operations, financial position or cash flows, as well as our ability to make cash distributions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own all of the land on which our pipelines and facilities are located, which could result in disruptions to our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obtain materials or commodities in the quantity and the quality we need, and at commercially acceptable prices, whether due to supply disruptions, inflation, tariffs, quotas or other factors, our results of operations, financial condition and cash flows could be materially and adversely affected.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the materials used in our business are imported. Existing and future import duties and quotas could materially increase our costs of procuring imported or domestic steel and/or create shortages or difficulties in procuring sufficient quantities of steel meeting our required technical specifications. A material increase in our costs of construction and maintenance or any significant delays in our ability to complete our infrastructure projects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pace of development of natural gas infrastructure could have an adverse impact on expected crude oil production growth in the 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areas where we operate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we purchase in connection with our operations and reduced throughput on our pipelines and at our other facilities, which, depending on the impact to production growth,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involving the storage, treatment, processing, and transportation of liquid hydrocarbons, including crude oil, NGL and refined products,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financial position,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history of making incremental additions to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18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assets are subject to federal, state and provincial regulation. Rate regulation or a successful challenge to the rates we charge on our U.S. and Canadian pipeline systems may reduce the amount of cash we generate.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Some of our operations cross the U.S./Canada border and are subject to cross-border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cross border activities subject us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purchases and sales of crude oil, natural gas and NGL, and hedging activities, expose us to potential regulatory risks.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enactment and implementation of derivatives legislation could have an adverse impact on our ability to use derivative instruments to reduce the effect of commodity price, interest rate and other risks associated with our business and increase the amount of working capital required to conduct these hedging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(the “Dodd-Frank Act”)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climate change could have a material adverse effect on our business, demand for our services,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or require enhanced disclosure of such GHG emission and other climate-related information, could result in reduced demand for crude oil and natural gas, and thus our services, as well as increase our compliance costs. Although it is not possible at this time to predict how legislation or new regulations that may be adopted to address GHG emissions and climate change could impact our business, any such future laws and regulations could have a material adverse effect on our business, demand for our services, financial condition,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hydraulic fracturing or other hydrocarbon development activities could reduce domestic production of crude oil and natural gas.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the Governor of California issued an order directing the Department of Conservation’s Geologic Energy Management Division to initiate regulatory action to end the issuance of new permits for hydraulic fracturing by early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reimbursements due to our general partner may be substantial and will reduce our cash available for distribution to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distributions are not guaranteed and may fluctuate with our performance and the establishment of financial reserves.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preferred units have rights, preferences and privileges that are not the same as, and are preferential to, the rights of holders of our common units.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Unitholders may not be able to remove our general partner even if they wish to do so.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our outstanding units (including units held by our general partner or its affiliates). Because AAP owns approximately 30%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provisions of our partnership agreement may discourage a person or group from attempting to remove our general partner or otherwise change our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PAGP GP Board is composed of three classes of directors, which limits our unitholders’ ability to make significant changes to the board in any given year;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limitations upon the ability of unitholders to call meetings or to acquire information about our operations, as well as other limitations upon the unitholders’ ability to influence the manner or direction of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provisions, the price at which our common units will trade may be lower because of the absence or reduction of a takeover premium in the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issue additional common units without unitholder approval, which would dilute a unitholder’s existing ownership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existing unitholder’s proportionate ownership interest in the Partnership will decrease;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amount of cash available for distribution on each unit may decrease;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ratio of taxable income to distributions may increase;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relative voting strength of each previously outstanding unit may be diminished;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market price of the common units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partner has a limited call right that may require unitholders to sell their units at an undesirable time or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Unitholders may not have limited liability if a court finds that unitholder actions constitute control of our business and unitholders may have liability to repay distributions under certain circumstances.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Conflicts of interest could arise among our general partner and us or the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conflicts may include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under our partnership agreement, we reimburse the general partner for the costs of managing and for operating the partnership;</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amount of cash expenditures, borrowings and reserves in any quarter may affect available cash to pay quarterly distributions to unitholders;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general partner would not breach our partnership agreement by exercising its call rights to purchase limited partnership interests or by assigning its call rights to one of its affiliates or to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control of our general partner may be transferred to a third party without unitholder consent. A change of control may result in defaults under certain of our debt instruments and the triggering of payment obligations under compensation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an Investment in Our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leverage may limit our ability to borrow additional funds, comply with the terms of our indebtedness or capitalize on business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is significant in relation to our partners’ capital. At December 31, 2023, the face value of our total outstanding long-term debt was approximately $7.3 billion, and the face value of our total outstanding short-term debt was approximately $446 million.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ability to transfer our debt securities may be limited by the absence of an organized trading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holding company structure in which our subsidiaries conduct our operations and own our operating assets, which may restrict our ability to receive funds from such subsidiaries and make payments on our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have the same flexibility as other types of organizations to accumulate cash, which may limit cash available to service our debt securities or to repay them at maturity.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Unlike a corporation, our partnership agreement requires us to distribute, on a quarterly basis, 100% of our available cash to our unitholders of record.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 provide for the proper conduct of our business and the businesses of our operating partnerships (including reserves for future capital expenditures and for our anticipated future credit needs);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to comply with applicable law or any loan agreement, security agreement, mortgage, debt instrument or other agreement or obligation;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to provide funds to make payments on the preferred units; or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to provide funds for distributions to our common unitholders for any one or more of the next four calendar quarters.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tax treatment depends on our status as a partnership for U.S. federal income tax purposes and not being subject to a material amount of entity-level taxation. If the IRS were to treat us as a corporation for U.S. federal income tax purposes, or we become subject to entity-level taxation for state or foreign tax purposes, our cash available for distributions to our unitholders would be substantially reduced.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states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will reduce the cash available for distribution to our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tax treatment of publicly traded partnerships or an investment in our units could be subject to potential legislative, judicial or administrative changes or differing interpretations, possibly applied on a retroactive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Non-U.S. unitholders will be subject to U.S. taxes and withholding with respect to their income and gain from owning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Common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14 for additional information regarding CRA challenge of intercompany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unitholders may be required to pay taxes on their share of our income even if they do not receive any cash distributions from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unitholders will be treated as partners to whom we will allocate taxable income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Taxable gain or loss on the disposition of our common units could be more or less than expected.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Unitholders may be subject to limitation on their ability to deduct interest expense incurred by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we are entitled to a deduction for interest paid or accrued on indebtedness properly allocable to our trade or business during our taxable year. However,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Tax-exempt entities face unique tax issues from owning our common units that may result in adverse tax consequences to them.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Tax-exempt entities should consult a tax advisor before investing in our common units.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treat each purchaser of our common units as having the same tax benefits without regard to the common units actually purchased. The IRS may challenge this treatment, which could adversely affect the value of our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unitholders will likely be subject to state, local and non-U.S. taxes and return filing requirements in states and jurisdictions where they do not live as a result of investing in our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Unitholders should consult with their own tax advisors regarding the filing of such tax returns, the payment of such taxes, and the deductibility of any taxes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adopted certain valuation methodologies in determining a unitholder’s allocations of income, gain, loss and deduction. The IRS may challenge these methodologies or the resulting allocations, which could adversely affect the value of our common units.</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(i)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Taxable income from our non-U.S. businesses is not eligible for the 20% deduction for qualified publicly traded partnership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taxable years beginning after December 31, 2017 and ending on or before December 31, 2025, 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 to Series B Preferred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expect that a substantial portion of the income we earn will be eligible for the 20% deduction for qualified publicly traded partnership income for taxable years beginning before December 31, 2025,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holders of our Series B Preferred Units are urged to consult a tax advisor with respect to the consequences of owning our Series B Preferred Units.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1B.</w:t>
      </w:r>
      <w:r>
        <w:rPr>
          <w:color w:val="000000"/>
        </w:rPr>
        <w:t xml:space="preserve">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Description of Cybersecurity Risk Management and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Cybersecurity Program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led by our Vice President of Information Security, North America, who reports directly to our CFO and oversees the dedicated team responsible for executing our cybersecurity strategy, including the primary assessment and management of cybersecurity risks. Our cybersecurity leadership team also includes our Senior Director, Technology, Infrastructure &amp; Cyber Defense and our Senior Director, Security &amp; Strategy. The Board receives quarterly updates on material security incidents, detection, monitoring, security culture scores, and other key initiatives and notable events from our cybersecurity leadership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18 to our Consolidated Financial Statements,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Units, Related Unitholder Matters and Issuer Purchases of Equity Securities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 Holders and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are listed and traded on The Nasdaq Global Select Market under the symbol “PAA.”  As of February 16, 2024, there were 701,071,031 common units outstanding and approximately 105,000 record holders and beneficial owners (held in street name).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pStyle w:val="TextBody"/>
        <w:bidi w:val="0"/>
        <w:spacing w:before="0" w:after="0"/>
        <w:ind w:left="0" w:right="0" w:firstLine="720"/>
        <w:jc w:val="left"/>
        <w:rPr/>
      </w:pPr>
      <w:r>
        <w:rPr/>
      </w:r>
    </w:p>
    <w:tbl>
      <w:tblPr>
        <w:tblW w:w="6337" w:type="dxa"/>
        <w:jc w:val="center"/>
        <w:tblInd w:w="0" w:type="dxa"/>
        <w:tblLayout w:type="fixed"/>
        <w:tblCellMar>
          <w:top w:w="28" w:type="dxa"/>
          <w:left w:w="28" w:type="dxa"/>
          <w:bottom w:w="28" w:type="dxa"/>
          <w:right w:w="28" w:type="dxa"/>
        </w:tblCellMar>
      </w:tblPr>
      <w:tblGrid>
        <w:gridCol w:w="196"/>
        <w:gridCol w:w="172"/>
        <w:gridCol w:w="173"/>
        <w:gridCol w:w="222"/>
        <w:gridCol w:w="759"/>
        <w:gridCol w:w="114"/>
        <w:gridCol w:w="109"/>
        <w:gridCol w:w="109"/>
        <w:gridCol w:w="109"/>
        <w:gridCol w:w="255"/>
        <w:gridCol w:w="873"/>
        <w:gridCol w:w="132"/>
        <w:gridCol w:w="109"/>
        <w:gridCol w:w="109"/>
        <w:gridCol w:w="109"/>
        <w:gridCol w:w="234"/>
        <w:gridCol w:w="800"/>
        <w:gridCol w:w="121"/>
        <w:gridCol w:w="109"/>
        <w:gridCol w:w="109"/>
        <w:gridCol w:w="109"/>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units are also used as a form of compensation to our employees. See Note 17 to our Consolidated Financial Statements for additional information regarding our equity-indexed compensation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total unitholder return performance of our common units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2018 and that all distributions were reinvested on a quarterly basis.</w:t>
      </w:r>
    </w:p>
    <w:p>
      <w:pPr>
        <w:pStyle w:val="TextBody"/>
        <w:bidi w:val="0"/>
        <w:spacing w:before="0" w:after="0"/>
        <w:jc w:val="left"/>
        <w:rPr/>
      </w:pPr>
      <w:r>
        <w:rPr/>
      </w:r>
    </w:p>
    <w:p>
      <w:pPr>
        <w:pStyle w:val="TextBody"/>
        <w:bidi w:val="0"/>
        <w:spacing w:before="0" w:after="0"/>
        <w:jc w:val="center"/>
        <w:rPr/>
      </w:pPr>
      <w:r>
        <w:rPr/>
        <w:drawing>
          <wp:inline distT="0" distB="0" distL="0" distR="0">
            <wp:extent cx="6496050" cy="3238500"/>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6"/>
                    <a:stretch>
                      <a:fillRect/>
                    </a:stretch>
                  </pic:blipFill>
                  <pic:spPr bwMode="auto">
                    <a:xfrm>
                      <a:off x="0" y="0"/>
                      <a:ext cx="6496050" cy="3238500"/>
                    </a:xfrm>
                    <a:prstGeom prst="rect">
                      <a:avLst/>
                    </a:prstGeom>
                  </pic:spPr>
                </pic:pic>
              </a:graphicData>
            </a:graphic>
          </wp:inline>
        </w:drawing>
      </w:r>
    </w:p>
    <w:p>
      <w:pPr>
        <w:pStyle w:val="TextBody"/>
        <w:bidi w:val="0"/>
        <w:spacing w:before="0" w:after="0"/>
        <w:jc w:val="center"/>
        <w:rPr/>
      </w:pPr>
      <w:r>
        <w:rPr/>
      </w:r>
    </w:p>
    <w:tbl>
      <w:tblPr>
        <w:tblW w:w="9092" w:type="dxa"/>
        <w:jc w:val="center"/>
        <w:tblInd w:w="0" w:type="dxa"/>
        <w:tblLayout w:type="fixed"/>
        <w:tblCellMar>
          <w:top w:w="28" w:type="dxa"/>
          <w:left w:w="28" w:type="dxa"/>
          <w:bottom w:w="28" w:type="dxa"/>
          <w:right w:w="28" w:type="dxa"/>
        </w:tblCellMar>
      </w:tblPr>
      <w:tblGrid>
        <w:gridCol w:w="303"/>
        <w:gridCol w:w="267"/>
        <w:gridCol w:w="26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Cash Distribution Policy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provide for the proper conduct of our business and the business of our operating partnerships (including reserves for future capital expenditures and for our anticipated future credit needs);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comply with applicable law or any loan agreement, security agreement, mortgage, debt instrument or other agreement or obligation;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provide funds for future distributions to our Series A and Series B preferred unitholders or distributions to our common unitholders for any one or more of the next four calendar quarters.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available cash also includes cash on hand resulting from borrowings made after the end of the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our partnership agreement, our Series A preferred units and our Series B preferred units rank senior to all classes or series of equity securities in us with respect to distribution rights.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w:t>
      </w:r>
      <w:r>
        <w:rPr>
          <w:color w:val="000000"/>
        </w:rPr>
        <w:t xml:space="preserve">   </w:t>
      </w:r>
      <w:r>
        <w:rPr>
          <w:rFonts w:ascii="Times New Roman;sans-serif" w:hAnsi="Times New Roman;sans-serif"/>
          <w:b/>
          <w:i/>
          <w:color w:val="000000"/>
          <w:sz w:val="20"/>
        </w:rPr>
        <w:t>Management’s Discussion and Analysis of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Critical Accounting Policies and Estimates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comparative discussion of our 2022 to 2021 operating results and performance measures can be found in Item 7. “Management’s Discussion and Analysis of Financial Condition and Results of Operations—Results of Operations” included in our Annual Report on Form 10-K for the year ended December 31, 2022 filed with the SEC on March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 Overview and Outlook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2019 and the U.S. Energy Information Administration’s (“EIA”) Short-Term Energy Outlook as of January 2024: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 xml:space="preserve">World Liquid Fuels Production and Consumption Balance </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of barrels per day)</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467100"/>
            <wp:effectExtent l="0" t="0" r="0" b="0"/>
            <wp:docPr id="7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 descr=""/>
                    <pic:cNvPicPr>
                      <a:picLocks noChangeAspect="1" noChangeArrowheads="1"/>
                    </pic:cNvPicPr>
                  </pic:nvPicPr>
                  <pic:blipFill>
                    <a:blip r:embed="rId7"/>
                    <a:stretch>
                      <a:fillRect/>
                    </a:stretch>
                  </pic:blipFill>
                  <pic:spPr bwMode="auto">
                    <a:xfrm>
                      <a:off x="0" y="0"/>
                      <a:ext cx="6515100" cy="3467100"/>
                    </a:xfrm>
                    <a:prstGeom prst="rect">
                      <a:avLst/>
                    </a:prstGeom>
                  </pic:spPr>
                </pic:pic>
              </a:graphicData>
            </a:graphic>
          </wp:inline>
        </w:drawing>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Barrels produced and consumed per quarter.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Permian Basin continues to be one of the most prolific basins in the world and was the predominant driver of U.S. production growth in 2023. The remainder of the U.S. unconventional plays continue to see modest growth. We expect the Permian Basin to be a key contributor to global supply for years to come, based on strong economics and the recent wave of consolidation leading to more stable activity levels over a wide range of commodity price environments.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net income attributable to PAA of $1.230 billion for the year ended December 31, 2023 compared to net income attributable to PAA of $1.037 billion for the year ended December 31, 2022. Our results include the benefit of higher tariff volumes and tariff escalations on our crude oil pipelines in 2023, as well as the impact of acquisitions. In addition, the 2022 comparative period includes higher costs from the increase in the accrual for estimated costs associated with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net income for 2023 includes favorable impacts from gains on asset sales and the mark-to-market adjustment of the Preferred Distribution Rate Reset Option compared to losses in the 2022 period, which were partially offset by the benefit to the 2022 period of a gain recognized associated with the remeasurement of our previously held 65% interest in Cactus II to fair value in connection with our acquisition of an additional 5% interest in Cactus II in November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60"/>
        <w:gridCol w:w="1356"/>
        <w:gridCol w:w="1364"/>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77"/>
        <w:gridCol w:w="109"/>
        <w:gridCol w:w="109"/>
        <w:gridCol w:w="109"/>
        <w:gridCol w:w="109"/>
        <w:gridCol w:w="233"/>
        <w:gridCol w:w="233"/>
        <w:gridCol w:w="271"/>
        <w:gridCol w:w="109"/>
        <w:gridCol w:w="109"/>
        <w:gridCol w:w="109"/>
        <w:gridCol w:w="156"/>
      </w:tblGrid>
      <w:tr>
        <w:trPr/>
        <w:tc>
          <w:tcPr>
            <w:tcW w:w="166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47" w:type="dxa"/>
            <w:gridSpan w:val="10"/>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Revenues and Purchases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West Texas Intermediate (“WTI”). The following table presents the range of the NYMEX WTI benchmark price of crude oil over the last two years (in dollars per barrel):</w:t>
      </w:r>
    </w:p>
    <w:p>
      <w:pPr>
        <w:pStyle w:val="TextBody"/>
        <w:bidi w:val="0"/>
        <w:spacing w:before="0" w:after="0"/>
        <w:ind w:left="0" w:right="0" w:firstLine="720"/>
        <w:jc w:val="both"/>
        <w:rPr/>
      </w:pPr>
      <w:r>
        <w:rPr/>
      </w:r>
    </w:p>
    <w:tbl>
      <w:tblPr>
        <w:tblW w:w="6093" w:type="dxa"/>
        <w:jc w:val="center"/>
        <w:tblInd w:w="0" w:type="dxa"/>
        <w:tblLayout w:type="fixed"/>
        <w:tblCellMar>
          <w:top w:w="28" w:type="dxa"/>
          <w:left w:w="28" w:type="dxa"/>
          <w:bottom w:w="28" w:type="dxa"/>
          <w:right w:w="28" w:type="dxa"/>
        </w:tblCellMar>
      </w:tblPr>
      <w:tblGrid>
        <w:gridCol w:w="1043"/>
        <w:gridCol w:w="917"/>
        <w:gridCol w:w="919"/>
        <w:gridCol w:w="109"/>
        <w:gridCol w:w="109"/>
        <w:gridCol w:w="109"/>
        <w:gridCol w:w="211"/>
        <w:gridCol w:w="361"/>
        <w:gridCol w:w="109"/>
        <w:gridCol w:w="109"/>
        <w:gridCol w:w="109"/>
        <w:gridCol w:w="109"/>
        <w:gridCol w:w="211"/>
        <w:gridCol w:w="466"/>
        <w:gridCol w:w="109"/>
        <w:gridCol w:w="109"/>
        <w:gridCol w:w="109"/>
        <w:gridCol w:w="109"/>
        <w:gridCol w:w="222"/>
        <w:gridCol w:w="380"/>
        <w:gridCol w:w="16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During the 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year ended December 31, 2023 compared to the year ended December 31, 2022 primarily due to lower commodity prices in 2023. The impact of fluctuations of derivative mark-to-market valuations also resulted in lower product sales revenues in 2023 compared to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year ended December 31, 2023 compared to the year ended December 31, 2022 primarily due to higher volumes and tariff escalations in 2023, as well as the impact of acquisitions, partially offset by the impact of lower commodity prices in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net revenues (revenues less purchases and related costs) in the “—Analysis of Operating Segments” section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year ended December 31, 2023 compared to the year ended December 31, 2022 was primarily due to (i) higher employee-related costs, including an increase in equity-indexed compensation expense (a portion of which is excluded in the calculation of Adjusted EBITDA and Segment Adjusted EBITDA) due to a higher common unit price and higher number of outstanding units assumed probable of vesting and (ii) higher information systems costs due to ongoing systems integration work, partially offset by (iii) decreases across several categories.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for the year ended December 31, 2023 compared to the year ended December 31, 2022 largely driven by acquisitions, including an additional interest in Cactus II and the remaining 43% in OMOG. See Note 7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and asset impairments for the year ended December 31, 2023 was primarily comprised of a gain of approximately $140 million related to the sale of our Keyera Fort Saskatchewan facility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loss on asset sales and asset impairments for 2022 was primarily comprised of (i) a $330 million non-cash impairment charge recognized in the fourth quarter of 2022 related to certain crude oil assets in California, partially offset by (ii) gains recognized from the sale of land and related assets in Long Beach, California, as well as Line 901 and the Sisquoc to Pentland portion of Line 903, a portion of which relates to the transfer of an asset retirement obligation to the purchaser.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7 to our Consolidated Financial Statements for additional information regarding these asset sales and asset impairments.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Equity Earnings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equity earnings in unconsolidated entities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Investments in Unconsolidated Entities,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recognized a gain of $29 million related to the Permian JV’s acquisition of the remaining 43% interest in OMOG. See Note 7 to our Consolidated Financial Statements for additional information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we recognized (i) a gain of $370 million associated with the remeasurement of our previously held 65% interest in Cactus II to fair value in connection with our acquisition of an additional 5% interest in Cactus II in November 2022 and (ii) a loss of $25 million associated with the difference between the fair value and historical book value of assets contributed by the Permian JV in exchange for an additional interest in OMOG. See Note 7 and Note 8 to our Consolidated Financial Statements for additional information regarding these transactions.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year ended December 31, 2023 compared to the year ended December 31, 2022 was primarily due to a lower weighted average debt balance during the 2023 period largely driven by the repayment of $750 million of senior notes in March 2022, $400 million of senior notes in January 2023 and $700 million of senior notes in October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to our Consolidated Financial Statements for additional information regarding our debt and related activities during the periods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5"/>
        <w:gridCol w:w="2425"/>
        <w:gridCol w:w="2437"/>
        <w:gridCol w:w="109"/>
        <w:gridCol w:w="109"/>
        <w:gridCol w:w="109"/>
        <w:gridCol w:w="212"/>
        <w:gridCol w:w="470"/>
        <w:gridCol w:w="109"/>
        <w:gridCol w:w="109"/>
        <w:gridCol w:w="109"/>
        <w:gridCol w:w="109"/>
        <w:gridCol w:w="212"/>
        <w:gridCol w:w="541"/>
        <w:gridCol w:w="109"/>
        <w:gridCol w:w="109"/>
        <w:gridCol w:w="162"/>
      </w:tblGrid>
      <w:tr>
        <w:trPr/>
        <w:tc>
          <w:tcPr>
            <w:tcW w:w="276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71" w:type="dxa"/>
            <w:gridSpan w:val="2"/>
            <w:tcBorders/>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Gain/(loss) on mark-to-market adjustment of Preferred Distribution Rate Reset Option embedded derivative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gain/(loss) on foreign currency revaluation</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12 to our Consolidated Financial Statements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United States Dollar to Canadian dollar exchange rate on the portion of our intercompany net investment that is not long-term in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favorable income tax variance for the year ended December 31, 2023 compared to the year ended December 31, 2022 was primarily due to lower year-over-year income within our Canadian operations as impacted by fluctuations of derivative mark-to-market valuations. The favorable variance was partially offset by the tax impact of the Keyera Fort Saskatchewan divestiture. See Note 7 to our Consolidated Financial Statements for additional information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Noncontrolling</w:t>
      </w:r>
      <w:r>
        <w:rPr>
          <w:color w:val="000000"/>
        </w:rPr>
        <w:t xml:space="preserve"> </w:t>
      </w:r>
      <w:r>
        <w:rPr>
          <w:rFonts w:ascii="Times New Roman;sans-serif" w:hAnsi="Times New Roman;sans-serif"/>
          <w:b/>
          <w:color w:val="000000"/>
          <w:sz w:val="20"/>
        </w:rPr>
        <w:t>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year ended December 31, 2023 compared to the year ended December 31, 2022 was due to (i) higher net income recognized by the Permian JV in the 2023 period and (ii) the consolidation of Cactus II in November 2022. See Note 7 to our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Financial Measures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pStyle w:val="TextBody"/>
        <w:bidi w:val="0"/>
        <w:spacing w:before="0" w:after="0"/>
        <w:ind w:left="0" w:right="0" w:firstLine="72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“—Liquidity and Capital Resources—Liquidity Measures” for additional information regarding Adjusted Free Cash Flow and Adjusted Free Cash Flow after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expense, income taxes,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from Net Income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912"/>
        <w:gridCol w:w="1275"/>
        <w:gridCol w:w="1246"/>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466"/>
        <w:gridCol w:w="109"/>
        <w:gridCol w:w="109"/>
        <w:gridCol w:w="109"/>
        <w:gridCol w:w="109"/>
        <w:gridCol w:w="251"/>
        <w:gridCol w:w="255"/>
        <w:gridCol w:w="271"/>
        <w:gridCol w:w="109"/>
        <w:gridCol w:w="109"/>
        <w:gridCol w:w="109"/>
        <w:gridCol w:w="157"/>
      </w:tblGrid>
      <w:tr>
        <w:trPr/>
        <w:tc>
          <w:tcPr>
            <w:tcW w:w="191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88" w:type="dxa"/>
            <w:gridSpan w:val="10"/>
            <w:tcBorders/>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revaluation</w:t>
            </w:r>
            <w:r>
              <w:rPr>
                <w:color w:val="000000"/>
              </w:rPr>
              <w:t xml:space="preser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Adjusted EBITDA</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2"/>
        <w:gridCol w:w="1362"/>
        <w:gridCol w:w="1372"/>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466"/>
        <w:gridCol w:w="109"/>
        <w:gridCol w:w="109"/>
        <w:gridCol w:w="109"/>
        <w:gridCol w:w="109"/>
        <w:gridCol w:w="201"/>
        <w:gridCol w:w="203"/>
        <w:gridCol w:w="271"/>
        <w:gridCol w:w="109"/>
        <w:gridCol w:w="109"/>
        <w:gridCol w:w="109"/>
        <w:gridCol w:w="156"/>
      </w:tblGrid>
      <w:tr>
        <w:trPr/>
        <w:tc>
          <w:tcPr>
            <w:tcW w:w="180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485" w:type="dxa"/>
            <w:gridSpan w:val="10"/>
            <w:tcBorders/>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Interest expense, net of certain non-cash items</w:t>
            </w:r>
            <w:r>
              <w:rPr>
                <w:color w:val="000000"/>
              </w:rPr>
              <w:t xml:space="preserve">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Distributions from unconsolidated entities in excess of/(less than) adjusted equity earnings </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Implied DCF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unit cash distributions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unit cash distributions</w:t>
            </w:r>
            <w:r>
              <w:rPr>
                <w:color w:val="000000"/>
              </w:rPr>
              <w:t xml:space="preserve">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19 to our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 Preferred Distribution Rate Reset Option of our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Other income/(expense), net on our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See the table above for a reconciliation from Net Income to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Excludes certain non-cash items impacting interest expense such as amortization of debt issuance costs and terminated interest rate swaps.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Cash distributions paid during the period presented.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(13)</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Crude Oil and NGL. Our CODM (our Chief Executive Officer) evaluates segment performance based on a variety of measures including Segment Adjusted EBITDA, segment volumes and maintenance capital investment.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(“Segment amounts attributable to noncontrolling interests”). See Note 19 to our Consolidated Financial Statements for a reconciliation of Segment Adjusted EBITDA to Net income attributable to PAA.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expenses from our Canadian based subsidiaries, which use CAD as their functional currency, are translated at the prevailing average exchange rates for the month.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 risk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prices, as well as grade and regional differentials and time spreads. The segment results also include the direct fixed and variable field costs of operating the crude oil assets, as well as an allocation of indirect operating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4"/>
        <w:gridCol w:w="1303"/>
        <w:gridCol w:w="13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77"/>
        <w:gridCol w:w="109"/>
        <w:gridCol w:w="109"/>
        <w:gridCol w:w="109"/>
        <w:gridCol w:w="109"/>
        <w:gridCol w:w="211"/>
        <w:gridCol w:w="211"/>
        <w:gridCol w:w="271"/>
        <w:gridCol w:w="109"/>
        <w:gridCol w:w="109"/>
        <w:gridCol w:w="109"/>
        <w:gridCol w:w="157"/>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04" w:type="dxa"/>
            <w:gridSpan w:val="10"/>
            <w:tcBorders/>
          </w:tcPr>
          <w:p>
            <w:pPr>
              <w:pStyle w:val="TableContents"/>
              <w:bidi w:val="0"/>
              <w:spacing w:before="0" w:after="283"/>
              <w:jc w:val="left"/>
              <w:rPr>
                <w:sz w:val="4"/>
                <w:szCs w:val="4"/>
              </w:rPr>
            </w:pPr>
            <w:r>
              <w:rPr>
                <w:sz w:val="4"/>
                <w:szCs w:val="4"/>
              </w:rPr>
            </w:r>
          </w:p>
        </w:tc>
      </w:tr>
      <w:tr>
        <w:trPr/>
        <w:tc>
          <w:tcPr>
            <w:tcW w:w="4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Field operating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general and administrative expenses</w:t>
            </w:r>
            <w:r>
              <w:rPr>
                <w:color w:val="000000"/>
              </w:rPr>
              <w:t>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89" w:type="dxa"/>
        <w:jc w:val="left"/>
        <w:tblInd w:w="0" w:type="dxa"/>
        <w:tblLayout w:type="fixed"/>
        <w:tblCellMar>
          <w:top w:w="28" w:type="dxa"/>
          <w:left w:w="28" w:type="dxa"/>
          <w:bottom w:w="28" w:type="dxa"/>
          <w:right w:w="28" w:type="dxa"/>
        </w:tblCellMar>
      </w:tblPr>
      <w:tblGrid>
        <w:gridCol w:w="1318"/>
        <w:gridCol w:w="1158"/>
        <w:gridCol w:w="1168"/>
        <w:gridCol w:w="109"/>
        <w:gridCol w:w="109"/>
        <w:gridCol w:w="109"/>
        <w:gridCol w:w="308"/>
        <w:gridCol w:w="308"/>
        <w:gridCol w:w="220"/>
        <w:gridCol w:w="220"/>
        <w:gridCol w:w="220"/>
        <w:gridCol w:w="220"/>
        <w:gridCol w:w="308"/>
        <w:gridCol w:w="308"/>
        <w:gridCol w:w="228"/>
        <w:gridCol w:w="109"/>
        <w:gridCol w:w="109"/>
        <w:gridCol w:w="109"/>
        <w:gridCol w:w="109"/>
        <w:gridCol w:w="109"/>
        <w:gridCol w:w="109"/>
        <w:gridCol w:w="109"/>
        <w:gridCol w:w="109"/>
        <w:gridCol w:w="240"/>
        <w:gridCol w:w="240"/>
        <w:gridCol w:w="241"/>
        <w:gridCol w:w="109"/>
        <w:gridCol w:w="109"/>
        <w:gridCol w:w="109"/>
        <w:gridCol w:w="202"/>
        <w:gridCol w:w="204"/>
        <w:gridCol w:w="271"/>
        <w:gridCol w:w="109"/>
        <w:gridCol w:w="109"/>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485" w:type="dxa"/>
            <w:gridSpan w:val="10"/>
            <w:tcBorders/>
          </w:tcPr>
          <w:p>
            <w:pPr>
              <w:pStyle w:val="TableContents"/>
              <w:bidi w:val="0"/>
              <w:spacing w:before="0" w:after="283"/>
              <w:jc w:val="left"/>
              <w:rPr>
                <w:sz w:val="4"/>
                <w:szCs w:val="4"/>
              </w:rPr>
            </w:pPr>
            <w:r>
              <w:rPr>
                <w:sz w:val="4"/>
                <w:szCs w:val="4"/>
              </w:rPr>
            </w:r>
          </w:p>
        </w:tc>
      </w:tr>
      <w:tr>
        <w:trPr/>
        <w:tc>
          <w:tcPr>
            <w:tcW w:w="36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pipeline tariff (by region)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pipeline tariff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Crude oil lease gathering purchases</w:t>
            </w:r>
            <w:r>
              <w:rPr>
                <w:color w:val="000000"/>
              </w:rPr>
              <w:t xml:space="preserve"> </w:t>
            </w:r>
            <w:r>
              <w:rPr>
                <w:rFonts w:ascii="Times New Roman;sans-serif" w:hAnsi="Times New Roman;sans-serif"/>
                <w:b w:val="false"/>
                <w:color w:val="000000"/>
                <w:sz w:val="13"/>
              </w:rPr>
              <w:t>(4)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per day calculated as total volumes for the year divided by the number of months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Of this amount, approximately 1,147 and 1,073 thousand barrels per day were purchased in the Permian Basin for the years ended December 31, 2023 and 2022,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year ended December 31, 2023 compared to the year ended December 31, 2022 primarily due to higher tariff volumes, tariff escalations and contributions from acquisitions. These items were partially offset by fewer market-based opportunities for our merchant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more detailed discussion of the significant factors impacting Segment Adjusted EBITDA for the year ended December 31, 2023 compared to the year ended December 31, 2022.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higher volumes across our pipeline systems, primarily driven by increased production and new well connections, (ii) tariff escalations and (iii) contributions from acquisitions. These benefits were partially offset by the impact of minimum volume commitment deficiency payments received in 2022.</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year ended December 31, 2023 reflect net fewer market-based opportunities compared to 2022 as the 2022 period includes the benefit of the sale of excess linefill and inventory in a higher crude oil price environment.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year ended December 31, 2023 compared to the year ended December 31, 2022, we had higher expenses associated with (i) utilities costs due to a combination of higher volumes and prices and an increase in the amount of drag reducing agents used, (ii) incremental consolidated operating costs in connection with acquisitions, (iii) employee-related costs primarily resulting from higher average headcount and salaries and (iv) unrealized mark-to-market losses on power hedges (which impact our field operating costs but are excluded from Segment Adjusted EBITDA and thus are reflected as an “Adjustment” in the table above). The unfavorable variance for the year ended December 31, 2023 compared to 2022 was partially offset by a decrease in additional estimated costs recognized associated with the Line 901 incident (which impact field operating costs but are excluded from Segment Adjusted EBITDA and thus are reflected as an “Adjustment” in the table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2023 compared to the year ended December 31, 2022 was primarily due to ongoing facility maintenance investments, tractor trailer leases, integrity projects and tank maintenance.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9793" w:type="dxa"/>
        <w:jc w:val="left"/>
        <w:tblInd w:w="0" w:type="dxa"/>
        <w:tblLayout w:type="fixed"/>
        <w:tblCellMar>
          <w:top w:w="28" w:type="dxa"/>
          <w:left w:w="28" w:type="dxa"/>
          <w:bottom w:w="28" w:type="dxa"/>
          <w:right w:w="28" w:type="dxa"/>
        </w:tblCellMar>
      </w:tblPr>
      <w:tblGrid>
        <w:gridCol w:w="1455"/>
        <w:gridCol w:w="1279"/>
        <w:gridCol w:w="1285"/>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541"/>
        <w:gridCol w:w="109"/>
        <w:gridCol w:w="109"/>
        <w:gridCol w:w="109"/>
        <w:gridCol w:w="109"/>
        <w:gridCol w:w="218"/>
        <w:gridCol w:w="218"/>
        <w:gridCol w:w="271"/>
        <w:gridCol w:w="109"/>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15" w:type="dxa"/>
            <w:gridSpan w:val="10"/>
            <w:tcBorders/>
          </w:tcPr>
          <w:p>
            <w:pPr>
              <w:pStyle w:val="TableContents"/>
              <w:bidi w:val="0"/>
              <w:spacing w:before="0" w:after="283"/>
              <w:jc w:val="left"/>
              <w:rPr>
                <w:sz w:val="4"/>
                <w:szCs w:val="4"/>
              </w:rPr>
            </w:pPr>
            <w:r>
              <w:rPr>
                <w:sz w:val="4"/>
                <w:szCs w:val="4"/>
              </w:rPr>
            </w:r>
          </w:p>
        </w:tc>
      </w:tr>
      <w:tr>
        <w:trPr/>
        <w:tc>
          <w:tcPr>
            <w:tcW w:w="4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50" w:type="dxa"/>
        <w:jc w:val="left"/>
        <w:tblInd w:w="0" w:type="dxa"/>
        <w:tblLayout w:type="fixed"/>
        <w:tblCellMar>
          <w:top w:w="28" w:type="dxa"/>
          <w:left w:w="28" w:type="dxa"/>
          <w:bottom w:w="28" w:type="dxa"/>
          <w:right w:w="28" w:type="dxa"/>
        </w:tblCellMar>
      </w:tblPr>
      <w:tblGrid>
        <w:gridCol w:w="1437"/>
        <w:gridCol w:w="1267"/>
        <w:gridCol w:w="1271"/>
        <w:gridCol w:w="109"/>
        <w:gridCol w:w="109"/>
        <w:gridCol w:w="109"/>
        <w:gridCol w:w="233"/>
        <w:gridCol w:w="233"/>
        <w:gridCol w:w="220"/>
        <w:gridCol w:w="220"/>
        <w:gridCol w:w="220"/>
        <w:gridCol w:w="220"/>
        <w:gridCol w:w="233"/>
        <w:gridCol w:w="233"/>
        <w:gridCol w:w="228"/>
        <w:gridCol w:w="109"/>
        <w:gridCol w:w="109"/>
        <w:gridCol w:w="109"/>
        <w:gridCol w:w="109"/>
        <w:gridCol w:w="109"/>
        <w:gridCol w:w="109"/>
        <w:gridCol w:w="109"/>
        <w:gridCol w:w="109"/>
        <w:gridCol w:w="240"/>
        <w:gridCol w:w="240"/>
        <w:gridCol w:w="241"/>
        <w:gridCol w:w="109"/>
        <w:gridCol w:w="109"/>
        <w:gridCol w:w="109"/>
        <w:gridCol w:w="218"/>
        <w:gridCol w:w="218"/>
        <w:gridCol w:w="271"/>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15" w:type="dxa"/>
            <w:gridSpan w:val="10"/>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Average Volumes (in thousands of barrels per day) </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Average daily volumes are calculated as total volumes (attributable to our interest for assets owned through undivided joint interests) for the year divided by the number of days in the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for the year ended December 31, 2023 was in line with results for the year ended December 31, 2022, primarily due to (i) favorable NGL basis differentials and (ii) additional market-based opportunities, largely offset by (iii) lower straddle production driven by turnarounds at a third-party facility, (iv) increased field operating costs and (v) the impact of the sale of our ownership interest in the Keyera Fort Saskatchewan facility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increased for the year ended December 31, 2023 compared to the year ended December 31, 2022 primarily due to (i) favorable NGL basis differentials, (ii) additional market-based opportunities and (iii) higher processing revenues at our Empress straddle plants resulting from a commercial agreement executed in conjunction with the increase in our Empress ownership in the fourth quarter of 2022. This was partially offset by (iv) lower straddle production driven by turnarounds at a third-party facility, (v) the impact of the sale of our ownership interest in the Keyera Fort Saskatchewan facility in the first quarter of 2023 and (vi) higher gains at certain of our NGL facilities in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year ended December 31, 2023 compared to the year ended December 31, 2022 was primarily due to (i) an increase in unrealized mark-to-market losses on power hedges (which impact our field operating costs but are excluded from Segment Adjusted EBITDA and thus are reflected as an “Adjustment” in the table above) and (ii) increased utilities-related costs largely as a result of the increase in our Empress ownership in the fourth quarter of 2022 and higher prices. The increase in utilities-related costs was largely offset by the benefit to net revenues from operating cost recoveries realized through commercial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year ended December 31, 2023 compared to the year ended December 31, 2022 was primarily due a scheduled turnaround at our Empress facility during 2022, partially offset by an increase in routine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although we had a working capital deficit of $90 million, we had over $2.6 billion of liquidity available to meet our ongoing operating, investing and financing needs, subject to continued covenant compliance, as noted below (in millions):</w:t>
      </w:r>
    </w:p>
    <w:p>
      <w:pPr>
        <w:pStyle w:val="TextBody"/>
        <w:bidi w:val="0"/>
        <w:spacing w:before="0" w:after="0"/>
        <w:ind w:left="0" w:right="0" w:firstLine="720"/>
        <w:jc w:val="left"/>
        <w:rPr/>
      </w:pPr>
      <w:r>
        <w:rPr/>
      </w:r>
    </w:p>
    <w:tbl>
      <w:tblPr>
        <w:tblW w:w="6960" w:type="dxa"/>
        <w:jc w:val="center"/>
        <w:tblInd w:w="0" w:type="dxa"/>
        <w:tblLayout w:type="fixed"/>
        <w:tblCellMar>
          <w:top w:w="28" w:type="dxa"/>
          <w:left w:w="28" w:type="dxa"/>
          <w:bottom w:w="28" w:type="dxa"/>
          <w:right w:w="28" w:type="dxa"/>
        </w:tblCellMar>
      </w:tblPr>
      <w:tblGrid>
        <w:gridCol w:w="1959"/>
        <w:gridCol w:w="1725"/>
        <w:gridCol w:w="1730"/>
        <w:gridCol w:w="332"/>
        <w:gridCol w:w="970"/>
        <w:gridCol w:w="244"/>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our commercial paper program, which reduce available capacity under the facilities.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issued under these facilities of less than $1 million and $71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$6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Factors—Risks Related to Our Business—Loss of our investment grade credit rating or the ability to receive open credit could negatively affect our borrowing costs, ability to purchase crude oil, NGL and natural gas supplies or to capitalize on market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Credit Agreements, Commercial Paper Program and Indentures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three primary credit arrangements, which we use to meet our short-term cash needs. These include our $1.35 billion senior unsecured revolving credit facility maturing in 2028 (excluding a commitment of $64 million, which matures in 2027), $1.35 billion senior secured hedged inventory facility maturing in 2026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Adjusted Free Cash Flow and Adjusted Free Cash Flow after Distributions from Net Cash Provided by Operating Activities (in millions):</w:t>
      </w:r>
    </w:p>
    <w:p>
      <w:pPr>
        <w:pStyle w:val="TextBody"/>
        <w:bidi w:val="0"/>
        <w:spacing w:before="0" w:after="0"/>
        <w:ind w:left="0" w:right="0" w:firstLine="720"/>
        <w:jc w:val="left"/>
        <w:rPr/>
      </w:pPr>
      <w:r>
        <w:rPr/>
      </w:r>
    </w:p>
    <w:tbl>
      <w:tblPr>
        <w:tblW w:w="10127" w:type="dxa"/>
        <w:jc w:val="left"/>
        <w:tblInd w:w="0" w:type="dxa"/>
        <w:tblLayout w:type="fixed"/>
        <w:tblCellMar>
          <w:top w:w="28" w:type="dxa"/>
          <w:left w:w="28" w:type="dxa"/>
          <w:bottom w:w="28" w:type="dxa"/>
          <w:right w:w="28" w:type="dxa"/>
        </w:tblCellMar>
      </w:tblPr>
      <w:tblGrid>
        <w:gridCol w:w="2774"/>
        <w:gridCol w:w="2442"/>
        <w:gridCol w:w="2449"/>
        <w:gridCol w:w="211"/>
        <w:gridCol w:w="616"/>
        <w:gridCol w:w="109"/>
        <w:gridCol w:w="109"/>
        <w:gridCol w:w="109"/>
        <w:gridCol w:w="109"/>
        <w:gridCol w:w="211"/>
        <w:gridCol w:w="616"/>
        <w:gridCol w:w="109"/>
        <w:gridCol w:w="109"/>
        <w:gridCol w:w="154"/>
      </w:tblGrid>
      <w:tr>
        <w:trPr/>
        <w:tc>
          <w:tcPr>
            <w:tcW w:w="2774"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adjusted free cash flow:</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 after Distributions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Cash distributions paid to our preferred and common unitholders during the period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years ended December 31, 2023 and 2022 was approximately $2.7 billion and $2.4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period was impacted by net positive changes in working capital items, largely associated with (i) lower NGL inventory driven by both the impact of the price environment and NGL supply volumes during the year, including the impact of changes in margin balances required as part of our hedging activities, and (ii) timing of payments associated with the settlement of certain obligations.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pStyle w:val="TextBody"/>
        <w:bidi w:val="0"/>
        <w:spacing w:before="0" w:after="0"/>
        <w:jc w:val="left"/>
        <w:rPr/>
      </w:pPr>
      <w:r>
        <w:rPr/>
      </w:r>
    </w:p>
    <w:tbl>
      <w:tblPr>
        <w:tblW w:w="4531" w:type="dxa"/>
        <w:jc w:val="left"/>
        <w:tblInd w:w="0" w:type="dxa"/>
        <w:tblLayout w:type="fixed"/>
        <w:tblCellMar>
          <w:top w:w="28" w:type="dxa"/>
          <w:left w:w="28" w:type="dxa"/>
          <w:bottom w:w="28" w:type="dxa"/>
          <w:right w:w="28" w:type="dxa"/>
        </w:tblCellMar>
      </w:tblPr>
      <w:tblGrid>
        <w:gridCol w:w="804"/>
        <w:gridCol w:w="706"/>
        <w:gridCol w:w="709"/>
        <w:gridCol w:w="211"/>
        <w:gridCol w:w="616"/>
        <w:gridCol w:w="109"/>
        <w:gridCol w:w="109"/>
        <w:gridCol w:w="109"/>
        <w:gridCol w:w="109"/>
        <w:gridCol w:w="211"/>
        <w:gridCol w:w="466"/>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$310 million and $214 million, respectively, for 2023, and approximately $265 million and $202 million, respectively, for 2022.</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2023 primarily includes the acquisition by the Permian JV of (i) the remaining 43% interest in OMOG JV Holdings LLC and (ii) gathering assets in the Southern and Northern Delaware Basins. Acquisition capital for 2022 includes (i) an additional ownership interest in certain straddle plants included in our NGL segment, (ii) the purchase of an additional 5% interest in Cactus II and (iii) the remaining 50% interest in Advantage Pipeline Holdings LLC by the Permian JV. See Note 7 to our Consolidated Financial Statements for additional information. Acquisition capital, net to our 65% interest in the Permian JV, was approximately $281 million and $258 million for 2023 and 2022, respectively.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Investment Capital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pStyle w:val="TextBody"/>
        <w:bidi w:val="0"/>
        <w:spacing w:before="0" w:after="0"/>
        <w:jc w:val="left"/>
        <w:rPr/>
      </w:pPr>
      <w:r>
        <w:rPr/>
      </w:r>
    </w:p>
    <w:tbl>
      <w:tblPr>
        <w:tblW w:w="6361" w:type="dxa"/>
        <w:jc w:val="left"/>
        <w:tblInd w:w="0" w:type="dxa"/>
        <w:tblLayout w:type="fixed"/>
        <w:tblCellMar>
          <w:top w:w="28" w:type="dxa"/>
          <w:left w:w="28" w:type="dxa"/>
          <w:bottom w:w="28" w:type="dxa"/>
          <w:right w:w="28" w:type="dxa"/>
        </w:tblCellMar>
      </w:tblPr>
      <w:tblGrid>
        <w:gridCol w:w="1368"/>
        <w:gridCol w:w="1198"/>
        <w:gridCol w:w="1214"/>
        <w:gridCol w:w="109"/>
        <w:gridCol w:w="109"/>
        <w:gridCol w:w="109"/>
        <w:gridCol w:w="220"/>
        <w:gridCol w:w="489"/>
        <w:gridCol w:w="113"/>
        <w:gridCol w:w="113"/>
        <w:gridCol w:w="113"/>
        <w:gridCol w:w="113"/>
        <w:gridCol w:w="220"/>
        <w:gridCol w:w="489"/>
        <w:gridCol w:w="121"/>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Complementary Permian Basin Projects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Takeaway Pipeline Projects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Selected Facilities/Downstream Projects</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projects associated with assets included in the Permian JV.</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pipeline projects with takeaway capacity out of the Permian Basin, including investments for our proportionate share of the projects of Wink to Webster Pipeline and Cactus II Pipeline.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projects at our St. James and Fort Saskatchewan terminals.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Projected 2024 Capital Expenditures.</w:t>
      </w:r>
      <w:r>
        <w:rPr>
          <w:color w:val="000000"/>
        </w:rPr>
        <w:t> </w:t>
      </w:r>
      <w:r>
        <w:rPr>
          <w:rFonts w:ascii="Times New Roman;sans-serif" w:hAnsi="Times New Roman;sans-serif"/>
          <w:b w:val="false"/>
          <w:color w:val="000000"/>
          <w:sz w:val="20"/>
        </w:rPr>
        <w:t>Total investment capital for the year ending December 31, 2024 is currently projected to be approximately $465 million ($375 million net to our interest). Approximately half of our projected investment capital expenditures are expected to be invested in the Permian JV assets. Additionally, maintenance capital for 2024 is currently projected to be approximately $250 million ($230 million net to our interest). We expect to fund our 2024 investment and maintenance capital expenditures primarily with retained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from divestitures during the last two years (in millions):</w:t>
      </w:r>
    </w:p>
    <w:p>
      <w:pPr>
        <w:pStyle w:val="TextBody"/>
        <w:bidi w:val="0"/>
        <w:spacing w:before="0" w:after="0"/>
        <w:jc w:val="left"/>
        <w:rPr/>
      </w:pPr>
      <w:r>
        <w:rPr/>
      </w:r>
    </w:p>
    <w:tbl>
      <w:tblPr>
        <w:tblW w:w="5042" w:type="dxa"/>
        <w:jc w:val="left"/>
        <w:tblInd w:w="0" w:type="dxa"/>
        <w:tblLayout w:type="fixed"/>
        <w:tblCellMar>
          <w:top w:w="28" w:type="dxa"/>
          <w:left w:w="28" w:type="dxa"/>
          <w:bottom w:w="28" w:type="dxa"/>
          <w:right w:w="28" w:type="dxa"/>
        </w:tblCellMar>
      </w:tblPr>
      <w:tblGrid>
        <w:gridCol w:w="891"/>
        <w:gridCol w:w="782"/>
        <w:gridCol w:w="787"/>
        <w:gridCol w:w="109"/>
        <w:gridCol w:w="109"/>
        <w:gridCol w:w="109"/>
        <w:gridCol w:w="234"/>
        <w:gridCol w:w="518"/>
        <w:gridCol w:w="121"/>
        <w:gridCol w:w="121"/>
        <w:gridCol w:w="121"/>
        <w:gridCol w:w="121"/>
        <w:gridCol w:w="234"/>
        <w:gridCol w:w="401"/>
        <w:gridCol w:w="121"/>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Proceeds from divestitures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year ended December 31, 2023 are primarily from the sale of our 21% non-operated/undivided joint interest in the Keyera Fort Saskatchewan facility in February 2023. See Note 7 to our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had net borrowings under our commercial paper program of $433 million. The net borrowings resulted primarily from borrowings during the year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our credit facilities or commercial paper program during the year ended December 31,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Repayments of Senior Notes.</w:t>
      </w:r>
      <w:r>
        <w:rPr>
          <w:color w:val="000000"/>
        </w:rPr>
        <w:t> </w:t>
      </w:r>
      <w:r>
        <w:rPr>
          <w:rFonts w:ascii="Times New Roman;sans-serif" w:hAnsi="Times New Roman;sans-serif"/>
          <w:b w:val="false"/>
          <w:color w:val="000000"/>
          <w:sz w:val="20"/>
        </w:rPr>
        <w:t xml:space="preserve">During 2023 and 2022, we repaid the following senior unsecured notes in full (in millions): </w:t>
      </w:r>
    </w:p>
    <w:p>
      <w:pPr>
        <w:pStyle w:val="TextBody"/>
        <w:bidi w:val="0"/>
        <w:spacing w:before="0" w:after="0"/>
        <w:ind w:left="0" w:right="0" w:firstLine="720"/>
        <w:jc w:val="left"/>
        <w:rPr/>
      </w:pPr>
      <w:r>
        <w:rPr/>
      </w:r>
    </w:p>
    <w:tbl>
      <w:tblPr>
        <w:tblW w:w="7532"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435"/>
        <w:gridCol w:w="1435"/>
        <w:gridCol w:w="1449"/>
        <w:gridCol w:w="109"/>
        <w:gridCol w:w="109"/>
        <w:gridCol w:w="109"/>
        <w:gridCol w:w="439"/>
        <w:gridCol w:w="439"/>
        <w:gridCol w:w="44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3.65% Senior Notes due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repaid these senior notes with cash on hand and borrowings under our commercial paper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Registration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2023. We also have access to a universal shelf registration statement (“WKSI Shelf”), which provides us with the ability to offer and sell an unlimited amount of debt and equity securities, subject to market conditions and our capital needs.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Common Equity Repurchase Program</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 ended December 31, 2023. We repurchased common units under the Program during the year ended December 31, 2022 for a total purchase price of $74 million, including commissions and fees. The remaining available capacity under the Program as of December 31, 2023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Distributions to Our Unitholders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Distributions to our Series A preferred unitholders. </w:t>
      </w:r>
      <w:r>
        <w:rPr>
          <w:rFonts w:ascii="Times New Roman;sans-serif" w:hAnsi="Times New Roman;sans-serif"/>
          <w:b w:val="false"/>
          <w:color w:val="000000"/>
          <w:sz w:val="20"/>
        </w:rPr>
        <w:t>Holders of our Series A preferred units are entitled to receive quarterly distributions, subject to customary anti-dilution adjustments, of $0.615 per unit ($2.46 per unit annualized).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Distributions to our Series B preferred unitholders.</w:t>
      </w:r>
      <w:r>
        <w:rPr>
          <w:color w:val="000000"/>
        </w:rPr>
        <w:t> </w:t>
      </w:r>
      <w:r>
        <w:rPr>
          <w:rFonts w:ascii="Times New Roman;sans-serif" w:hAnsi="Times New Roman;sans-serif"/>
          <w:b w:val="false"/>
          <w:color w:val="000000"/>
          <w:sz w:val="20"/>
        </w:rPr>
        <w:t>Holders of our Series B preferred units are entitled to receive, when, as and if declared by our general partner out of legally available funds for such purpose, cumulative cash distributions, as applicable. Distributions on the Series B preferred units accumulate based on the applicable three-month SOFR, plus a credit spread adjustment of 0.26121%, plus 4.11% per annum. The distribution rate for the quarterly distribution paid on February 15, 2024 was 9.75093% per annum ($24.92 per Series B preferred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Distributions to our common unitholders. </w:t>
      </w:r>
      <w:r>
        <w:rPr>
          <w:rFonts w:ascii="Times New Roman;sans-serif" w:hAnsi="Times New Roman;sans-serif"/>
          <w:b w:val="false"/>
          <w:color w:val="000000"/>
          <w:sz w:val="20"/>
        </w:rPr>
        <w:t xml:space="preserve">On February 14, 2024, we paid a quarterly distribution of $0.3175 per common unit ($1.27 per common unit on an annualized basis). The total distribution of $223 million was paid to common unitholders of record as of January 31, 2024, with respect to the quarter ended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to our Consolidated Financial Statements for details of distributions paid during the three years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Distributions to Noncontrolling Interests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noncontrolling interests represent amounts paid on interests in consolidated entities that are not owned by us. As of December 31, 2023, noncontrolling interests in our subsidiaries consisted of (i) a 35% interest in the Permian JV, (ii) a 30% interest in Cactus II and (iii) a 33% interest in Red River. See Note 11 to our Consolidated Financial Statements for details of distributions paid to noncontrolling interests during the three years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18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to our Consolidated Financial Statements for information regarding our debt obligations and Note 18 for information regarding our leases and other commitments.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best estimate and the timing of these payments as of December 31, 2023 (in millions):</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December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Letters of Credit.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2023 and 2022, we had outstanding letters of credit of approximately $205 million and $102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as defined by Item 303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Investments in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in entities that are not consolidated in our financial statements. None of these entities had debt outstanding as of December 31, 2023. We may elect at any time to make additional capital contributions to any of these entities. The following table sets forth selected information regarding these entities as of December 31, 2023 (unaudited, dollars in millions):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99"/>
        <w:gridCol w:w="1040"/>
        <w:gridCol w:w="1053"/>
        <w:gridCol w:w="109"/>
        <w:gridCol w:w="109"/>
        <w:gridCol w:w="109"/>
        <w:gridCol w:w="871"/>
        <w:gridCol w:w="871"/>
        <w:gridCol w:w="873"/>
        <w:gridCol w:w="109"/>
        <w:gridCol w:w="109"/>
        <w:gridCol w:w="109"/>
        <w:gridCol w:w="295"/>
        <w:gridCol w:w="295"/>
        <w:gridCol w:w="296"/>
        <w:gridCol w:w="109"/>
        <w:gridCol w:w="109"/>
        <w:gridCol w:w="109"/>
        <w:gridCol w:w="211"/>
        <w:gridCol w:w="616"/>
        <w:gridCol w:w="109"/>
        <w:gridCol w:w="109"/>
        <w:gridCol w:w="109"/>
        <w:gridCol w:w="109"/>
        <w:gridCol w:w="279"/>
        <w:gridCol w:w="477"/>
        <w:gridCol w:w="145"/>
        <w:gridCol w:w="109"/>
        <w:gridCol w:w="158"/>
      </w:tblGrid>
      <w:tr>
        <w:trPr/>
        <w:tc>
          <w:tcPr>
            <w:tcW w:w="119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Our</w:t>
              <w:br/>
              <w:t>Ownership</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br/>
              <w:t>Entity</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w:t>
              <w:br/>
              <w:t>and</w:t>
              <w:br/>
              <w:t>Restricted</w:t>
              <w:br/>
              <w:t>Cash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Terminal and Dock</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serve as operator of the asset.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Assets and Liabilities Acquired and Identification of Associated Goodwill and Intangible Assets.</w:t>
      </w:r>
      <w:r>
        <w:rPr>
          <w:color w:val="000000"/>
        </w:rPr>
        <w:t xml:space="preserve"> </w:t>
      </w:r>
      <w:r>
        <w:rPr>
          <w:rFonts w:ascii="Times New Roman;sans-serif" w:hAnsi="Times New Roman;sans-serif"/>
          <w:b w:val="false"/>
          <w:color w:val="000000"/>
          <w:sz w:val="20"/>
        </w:rPr>
        <w:t xml:space="preserve">In 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Derivatives.</w:t>
      </w:r>
      <w:r>
        <w:rPr>
          <w:color w:val="000000"/>
        </w:rPr>
        <w:t xml:space="preserve"> </w:t>
      </w:r>
      <w:r>
        <w:rPr>
          <w:rFonts w:ascii="Times New Roman;sans-serif" w:hAnsi="Times New Roman;sans-serif"/>
          <w:b w:val="false"/>
          <w:color w:val="000000"/>
          <w:sz w:val="20"/>
        </w:rPr>
        <w:t>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Accruals and Contingent Liabilities.</w:t>
      </w:r>
      <w:r>
        <w:rPr>
          <w:color w:val="000000"/>
        </w:rPr>
        <w:t xml:space="preserve">  </w:t>
      </w:r>
      <w:r>
        <w:rPr>
          <w:rFonts w:ascii="Times New Roman;sans-serif" w:hAnsi="Times New Roman;sans-serif"/>
          <w:b w:val="false"/>
          <w:color w:val="000000"/>
          <w:sz w:val="20"/>
        </w:rPr>
        <w:t>We record accruals or liabilities for, among other things, environmental 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Property and Equipment, Depreciation and Amortization Expense and Asset Retirement Obligations.</w:t>
      </w:r>
      <w:r>
        <w:rPr>
          <w:color w:val="000000"/>
        </w:rPr>
        <w:t xml:space="preserve"> </w:t>
      </w:r>
      <w:r>
        <w:rPr>
          <w:rFonts w:ascii="Times New Roman;sans-serif" w:hAnsi="Times New Roman;sans-serif"/>
          <w:b w:val="false"/>
          <w:color w:val="000000"/>
          <w:sz w:val="20"/>
        </w:rPr>
        <w:t>We compute 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Impairment Assessments of Property and Equipment, Investments in Unconsolidated Entities and Intangible Assets. </w:t>
      </w:r>
      <w:r>
        <w:rPr>
          <w:rFonts w:ascii="Times New Roman;sans-serif" w:hAnsi="Times New Roman;sans-serif"/>
          <w:b w:val="false"/>
          <w:color w:val="000000"/>
          <w:sz w:val="20"/>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an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 decline in value of the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 decline in value is other than temporary;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fair value of the investment.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Inventory Valuations. </w:t>
      </w:r>
      <w:r>
        <w:rPr>
          <w:rFonts w:ascii="Times New Roman;sans-serif" w:hAnsi="Times New Roman;sans-serif"/>
          <w:b w:val="false"/>
          <w:color w:val="000000"/>
          <w:sz w:val="20"/>
        </w:rPr>
        <w:t>Inventory, including long-term inventory, primarily consists of crude oil and NGL and is valued 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2023, 2022 and 2021, we did not record any charges related to the valuation adjustment of our inventory. See Note 5 to our Consolidated Financial Statements for further discussion regarding inventory.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 Insurance Receivable. </w:t>
      </w:r>
      <w:r>
        <w:rPr>
          <w:rFonts w:ascii="Times New Roman;sans-serif" w:hAnsi="Times New Roman;sans-serif"/>
          <w:b w:val="false"/>
          <w:color w:val="000000"/>
          <w:sz w:val="20"/>
        </w:rPr>
        <w:t xml:space="preserve">In May 2015, we experienced a crude oil release from our Las Flores to Gaviota Pipeline (Line 901) in Santa Barbara County, California. We have estimated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2023, we have recognized a long-term receivable of approximately $225 million for the portion of the release costs that we believe is probable of recovery from insurance, net of deductibles and amounts already collected. Insurers responsible for the majority of our remaining insurance coverage have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Without limiting our view that our claim for reimbursement is strong and that ultimate recovery is probable, we cannot provide complete assurance that actual receivable amounts will not vary significantly from our estimated amounts. See Note 18 to our Consolidated Financial Statements for further discussion regarding the Line 901 incident and our related insurance receivable.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for information regarding the effect of recent accounting pronouncements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  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to our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December 31, 2023 that would be expected from a 10% price increase or decrease is shown in the table below (in millions):</w:t>
      </w:r>
    </w:p>
    <w:p>
      <w:pPr>
        <w:pStyle w:val="TextBody"/>
        <w:bidi w:val="0"/>
        <w:spacing w:before="0" w:after="0"/>
        <w:ind w:left="0" w:right="0" w:firstLine="72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3"/>
        <w:gridCol w:w="437"/>
        <w:gridCol w:w="257"/>
        <w:gridCol w:w="495"/>
        <w:gridCol w:w="134"/>
        <w:gridCol w:w="109"/>
        <w:gridCol w:w="109"/>
        <w:gridCol w:w="109"/>
        <w:gridCol w:w="341"/>
        <w:gridCol w:w="608"/>
        <w:gridCol w:w="177"/>
        <w:gridCol w:w="109"/>
        <w:gridCol w:w="109"/>
        <w:gridCol w:w="109"/>
        <w:gridCol w:w="346"/>
        <w:gridCol w:w="617"/>
        <w:gridCol w:w="253"/>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2023, approximately $433 million, was subject to interest rate resets that generally range from less than one week to approximately one month. The average interest rate on variable rate debt that was outstanding during the year ended December 31, 2023 was 5.8%, based upon rates in effect during the year. The fair value of our interest rate derivatives was an asset of $55 million as of December 31, 2023. A 10% increase in the forward SOFR curve as of December 31, 2023 would have resulted in an increase of $18 million to the fair value of our interest rate derivatives. A 10% decrease in the forward SOFR curve as of December 31, 2023 would have resulted in a decrease of $18 million to the fair value of our interest rate derivatives. See Note 12 to our Consolidated Financial Statements for a discussion of our interest rate risk hedging activities.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Beginning August 15, 2023, distributions on the Series B preferred units accumulate based on the applicable three-month SOFR, plus certain adjustments. Based upon the Series B preferred units outstanding at December 31, 2023 and the liquidation preference of $1,000 per unit, a change of 100 basis points in interest rates would increase or decrease the annual distributions on the Series B preferred units by approximately $8 million. See Note 11 to our Consolidated Financial Statements for additional information on the Series B preferred units.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December 31, 2023, the end of the period covered by this report, and, based on such evaluation, our Chief Executive Officer and Chief Financial Officer have concluded that our DCP is effective.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2023. See “Management’s Report on Internal Control Over Financial Reporting” on page F-2 of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independent registered public accounting firm, PricewaterhouseCoopers LLP, assessed the effectiveness of our internal control over financial reporting, as stated in the firm’s report. See “</w:t>
      </w:r>
      <w:r>
        <w:rPr>
          <w:rFonts w:ascii="Times New Roman;sans-serif" w:hAnsi="Times New Roman;sans-serif"/>
          <w:b w:val="false"/>
          <w:color w:val="000000"/>
          <w:sz w:val="19"/>
        </w:rPr>
        <w:t>Report of Independent Registered Public Accounting Firm</w:t>
      </w:r>
      <w:r>
        <w:rPr>
          <w:color w:val="000000"/>
        </w:rPr>
        <w:t xml:space="preserve">” </w:t>
      </w:r>
      <w:r>
        <w:rPr>
          <w:rFonts w:ascii="Times New Roman;sans-serif" w:hAnsi="Times New Roman;sans-serif"/>
          <w:b w:val="false"/>
          <w:color w:val="000000"/>
          <w:sz w:val="20"/>
        </w:rPr>
        <w:t>on page F-3 of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fourth quarter of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and Executive Officers of Our General Partner and Corporate Governance</w:t>
      </w:r>
      <w:r>
        <w:rPr>
          <w:color w:val="000000"/>
        </w:rPr>
        <w:t xml:space="preserve">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Directors and Executive Officers</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filing this report, the following individuals were serving as our executive officers and/or directors: </w:t>
      </w:r>
    </w:p>
    <w:tbl>
      <w:tblPr>
        <w:tblW w:w="10205" w:type="dxa"/>
        <w:jc w:val="left"/>
        <w:tblInd w:w="0" w:type="dxa"/>
        <w:tblLayout w:type="fixed"/>
        <w:tblCellMar>
          <w:top w:w="28" w:type="dxa"/>
          <w:left w:w="28" w:type="dxa"/>
          <w:bottom w:w="28" w:type="dxa"/>
          <w:right w:w="28" w:type="dxa"/>
        </w:tblCellMar>
      </w:tblPr>
      <w:tblGrid>
        <w:gridCol w:w="804"/>
        <w:gridCol w:w="703"/>
        <w:gridCol w:w="708"/>
        <w:gridCol w:w="109"/>
        <w:gridCol w:w="109"/>
        <w:gridCol w:w="109"/>
        <w:gridCol w:w="2240"/>
        <w:gridCol w:w="2240"/>
        <w:gridCol w:w="3183"/>
      </w:tblGrid>
      <w:tr>
        <w:trPr/>
        <w:tc>
          <w:tcPr>
            <w:tcW w:w="80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Occupation or Employment</w:t>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Willie Chiang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Harry N. Pefanis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R. Chandler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Operating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 Swanson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Jeremy L. Goebel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Commercial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Richard K. McGee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Herbold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Greg L. Armstrong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to the Chief Executive Officer (former Chairman and Chief Executive Officer)</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Victor Burk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Alvarez and Marsal</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Ellen R. DeSanctis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Senior Vice President, ConocoPhillips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Kevin McCarthy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Vice Chairman, Kayne Anderson Capital Advisors, L.P.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Gary R. Petersen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EnCap Investments L.P.</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Alexandra D. Pruner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Perella Weinberg Partners</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T. Raymond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and Chief Executive Officer, The Energy &amp; Minerals Group</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Bobby S. Shackouls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Chairman and CEO, Burlington Resources Inc.</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Christopher M. Temple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DelTex Capital LLC</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Lawrence M. Ziemba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Executive Vice President, Refining, Phillips 66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Executive officer (for purposes of Item 401(b) of Regulation S-K)</w:t>
      </w:r>
    </w:p>
    <w:p>
      <w:pPr>
        <w:pStyle w:val="TextBody"/>
        <w:bidi w:val="0"/>
        <w:spacing w:lineRule="auto" w:line="288" w:before="0" w:after="0"/>
        <w:ind w:left="0" w:right="0" w:hanging="81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Director</w:t>
      </w:r>
    </w:p>
    <w:p>
      <w:pPr>
        <w:pStyle w:val="TextBody"/>
        <w:bidi w:val="0"/>
        <w:spacing w:before="0" w:after="0"/>
        <w:ind w:left="0" w:right="0" w:hanging="81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 complete list of our officers, including the executive officers listed above, is available on our website at </w:t>
      </w:r>
      <w:r>
        <w:rPr>
          <w:rFonts w:ascii="Times New Roman;sans-serif" w:hAnsi="Times New Roman;sans-serif"/>
          <w:b w:val="false"/>
          <w:i/>
          <w:color w:val="000000"/>
          <w:sz w:val="20"/>
        </w:rPr>
        <w:t>www.plains.com</w:t>
      </w:r>
      <w:r>
        <w:rPr>
          <w:color w:val="000000"/>
        </w:rPr>
        <w:t xml:space="preserve"> </w:t>
      </w:r>
      <w:r>
        <w:rPr>
          <w:rFonts w:ascii="Times New Roman;sans-serif" w:hAnsi="Times New Roman;sans-serif"/>
          <w:b w:val="false"/>
          <w:color w:val="000000"/>
          <w:sz w:val="20"/>
        </w:rPr>
        <w:t>under About Us—Leadership.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Unitholder Matters</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200"/>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(a) (1)    </w:t>
      </w:r>
      <w:r>
        <w:rPr>
          <w:rFonts w:ascii="Times New Roman;sans-serif" w:hAnsi="Times New Roman;sans-serif"/>
          <w:b w:val="false"/>
          <w:i/>
          <w:color w:val="000000"/>
          <w:sz w:val="20"/>
        </w:rPr>
        <w:t>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set forth on Page F-1.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(2)    </w:t>
      </w:r>
      <w:r>
        <w:rPr>
          <w:rFonts w:ascii="Times New Roman;sans-serif" w:hAnsi="Times New Roman;sans-serif"/>
          <w:b w:val="false"/>
          <w:i/>
          <w:color w:val="000000"/>
          <w:sz w:val="20"/>
        </w:rPr>
        <w:t>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either not applicable or the required information is shown in the Consolidated Financial Statements or notes thereto.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(3)    </w:t>
      </w:r>
      <w:r>
        <w:rPr>
          <w:rFonts w:ascii="Times New Roman;sans-serif" w:hAnsi="Times New Roman;sans-serif"/>
          <w:b w:val="false"/>
          <w:i/>
          <w:color w:val="000000"/>
          <w:sz w:val="20"/>
        </w:rPr>
        <w:t>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115"/>
        <w:gridCol w:w="115"/>
        <w:gridCol w:w="116"/>
        <w:gridCol w:w="109"/>
        <w:gridCol w:w="109"/>
        <w:gridCol w:w="109"/>
        <w:gridCol w:w="2498"/>
        <w:gridCol w:w="2424"/>
        <w:gridCol w:w="34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Simplification Agreement dated as of July 11, 2016, by and among PAA GP Holdings LLC, Plains GP Holdings, L.P., Plains All American GP LLC, Plains AAP, L.P., PAA GP LLC and Plains All American Pipeline, L.P. (incorporated by reference to Exhibit 2.1 to our Current Report on Form 8-K filed July 14,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15"/>
        <w:gridCol w:w="115"/>
        <w:gridCol w:w="116"/>
        <w:gridCol w:w="109"/>
        <w:gridCol w:w="109"/>
        <w:gridCol w:w="109"/>
        <w:gridCol w:w="2554"/>
        <w:gridCol w:w="2554"/>
        <w:gridCol w:w="361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1"/>
        <w:gridCol w:w="159"/>
        <w:gridCol w:w="163"/>
        <w:gridCol w:w="109"/>
        <w:gridCol w:w="109"/>
        <w:gridCol w:w="109"/>
        <w:gridCol w:w="115"/>
        <w:gridCol w:w="115"/>
        <w:gridCol w:w="116"/>
        <w:gridCol w:w="109"/>
        <w:gridCol w:w="109"/>
        <w:gridCol w:w="109"/>
        <w:gridCol w:w="2606"/>
        <w:gridCol w:w="2517"/>
        <w:gridCol w:w="3579"/>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416.htm">
              <w:r>
                <w:rPr>
                  <w:rStyle w:val="InternetLink"/>
                  <w:rFonts w:ascii="Times New Roman;sans-serif" w:hAnsi="Times New Roman;sans-serif"/>
                  <w:b w:val="false"/>
                  <w:color w:val="0000FF"/>
                  <w:sz w:val="20"/>
                  <w:u w:val="single"/>
                </w:rPr>
                <w:t>Description of Our Securities.</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hyperlink>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4"/>
        <w:gridCol w:w="193"/>
        <w:gridCol w:w="169"/>
        <w:gridCol w:w="109"/>
        <w:gridCol w:w="109"/>
        <w:gridCol w:w="109"/>
        <w:gridCol w:w="115"/>
        <w:gridCol w:w="115"/>
        <w:gridCol w:w="116"/>
        <w:gridCol w:w="109"/>
        <w:gridCol w:w="109"/>
        <w:gridCol w:w="109"/>
        <w:gridCol w:w="2675"/>
        <w:gridCol w:w="2447"/>
        <w:gridCol w:w="3467"/>
      </w:tblGrid>
      <w:tr>
        <w:trPr/>
        <w:tc>
          <w:tcPr>
            <w:tcW w:w="2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Contribution and Assumption Agreement dated December 28, 2007, by and between Plains AAP, L.P. and PAA GP LLC (incorporated by reference to Exhibit 10.2 to our Current Report on Form 8-K filed January 4, 2008).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Amended and Restated Employment Agreement between Plains All American GP LLC and Greg L. Armstrong dated as of June 30, 2001 (incorporated by reference to Exhibit 10.1 to our Quarterly Report on Form 10-Q for the quarter ended September 30, 2001).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Greg L. Armstrong (incorporated by reference to Exhibit 10.49 to our Annual Report on Form 10-K for the year ended December 31, 2008).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Waiver Agreement dated as of December 23, 2010 between Plains All American GP LLC and Greg L. Armstrong (incorporated by reference to Exhibit 10.31 to our Annual Report on Form 10-K for the year ended December 31, 2010).</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Waiver Agreement dated October 21, 2013 to the Amended and Restated Employment Agreement dated June 30, 2001 of Greg L. Armstrong (incorporated by reference to Exhibit 10.2 to our Current Report on Form 8-K filed October 25, 2013).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Second Amended and Restated Employment Agreement dated effective October 1, 2018 between Plains All American GP LLC and Greg L. Armstrong (incorporated by reference to Exhibit 10.6 to our Quarterly Report on Form 10-Q for the quarter ended September 30, 2018).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Third Amended and Restated Employment Agreement dated effective January 1, 2020 between Plains All American GP LLC and Greg L. Armstrong (incorporated by reference to Exhibit 10.31 to our Annual Report on Form 10-K for the year ended December 31, 2019.</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Amendment No. 1 to Third Amended and Restated Employment Agreement dated effective December 31, 2021 between Plains All American GP LLC and Greg L. Armstrong (incorporated by reference to Exhibit 10.12 to our Annual Report on Form 10-K for the year ended December 31, 2021).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Amended and Restated Employment Agreement between Plains All American GP LLC and Harry N. Pefanis dated as of June 30, 2001 (incorporated by reference to Exhibit 10.2 to our Quarterly Report on Form 10-Q for the quarter ended September 30, 2001).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Harry N. Pefanis (incorporated by reference to Exhibit 10.50 to our Annual Report on Form 10-K for the year ended December 31, 2008).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Amendment No. 2 dated August 15, 2019 to Harry Pefanis Amended and Restated Employment Agreement (incorporated by reference to Exhibit 10.1 to our Quarterly Report on Form 10-Q for the quarter ended September 30, 2019).</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5"/>
        <w:gridCol w:w="207"/>
        <w:gridCol w:w="209"/>
        <w:gridCol w:w="109"/>
        <w:gridCol w:w="109"/>
        <w:gridCol w:w="109"/>
        <w:gridCol w:w="115"/>
        <w:gridCol w:w="115"/>
        <w:gridCol w:w="116"/>
        <w:gridCol w:w="109"/>
        <w:gridCol w:w="109"/>
        <w:gridCol w:w="109"/>
        <w:gridCol w:w="2959"/>
        <w:gridCol w:w="2315"/>
        <w:gridCol w:w="3280"/>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80"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Waiver Agreement dated as of December 23, 2010 between Plains All American GP LLC and Harry N. Pefanis (incorporated by reference to Exhibit 10.32 to our Annual Report on Form 10-K for the year ended December 31, 2010).</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Waiver Agreement dated October 21, 2013 to the Amended and Restated Employment Agreement dated June 30, 2001 of Harry N. Pefanis (incorporated by reference to Exhibit 10.3 to our Current Report on Form 8-K filed October 25, 2013).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Employment Agreement between Plains All American GP LLC and Willie Chiang dated July 10, 2015 (incorporated by reference to Exhibit 10.53 to our Annual Report on Form 10-K for the year ended December 31, 2015).</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Amended and Restated Employment Agreement dated effective October 1, 2018 between Plains All American GP LLC and Willie Chiang (incorporated by reference to Exhibit 10.7 to our Quarterly Report on Form 10-Q for the quarter ended September 30, 2018).</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LTIP Grant Letter dated August 16, 2018 (Willie Chiang) incorporated by reference to Exhibit 10.8 to our Quarterly Report on Form 10-Q for the quarter ended September 30, 2018).</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"https://www.sec.gov/Archives/edgar/data/1070423/000110465921049049/tm212450-1_def14a.htm" \l "tAPPA"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2021 Long-Term Incentive Plan (incorporated by reference to Exhibit A to our Definitive Proxy Statement filed on April 12, 2021).</w:t>
            </w:r>
            <w:r>
              <w:rPr>
                <w:rStyle w:val="InternetLink"/>
                <w:sz w:val="20"/>
                <w:u w:val="single"/>
                <w:b w:val="false"/>
                <w:rFonts w:ascii="Times New Roman;sans-serif" w:hAnsi="Times New Roman;sans-serif"/>
                <w:color w:val="0000FF"/>
              </w:rPr>
              <w:fldChar w:fldCharType="end"/>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"http://www.sec.gov/Archives/edgar/data/1070423/000119312513390367/d597666ddef14a.htm" \l "rom597666_10"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2013 Long-Term Incentive Plan (incorporated by reference to Exhibit A to our Definitive Proxy Statement filed on October 3, 2013).</w:t>
            </w:r>
            <w:r>
              <w:rPr>
                <w:rStyle w:val="InternetLink"/>
                <w:sz w:val="20"/>
                <w:u w:val="single"/>
                <w:b w:val="false"/>
                <w:rFonts w:ascii="Times New Roman;sans-serif" w:hAnsi="Times New Roman;sans-serif"/>
                <w:color w:val="0000FF"/>
              </w:rPr>
              <w:fldChar w:fldCharType="end"/>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Plains All American PNG Successor Long-Term Incentive Plan (incorporated by reference to Exhibit 4.4 to our Registration Statement on Form S-8 (333-193139) filed December 31, 2013).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PAA Natural Gas Storage, L.P. 2010 Long-Term Incentive Plan (incorporated by reference to Exhibit 10.2 to PNG’s Current Report on Form 8-K filed May 11, 2010).</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Plains GP Holdings, L.P. Long Term Incentive Plan (incorporated by reference to Exhibit 10.3 to PAGP’s Current Report on Form 8-K filed October 25, 2013).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Form of LTIP Grant Letter dated August 15, 2019 (Officers) (incorporated by reference to Exhibit 10.2 to our Quarterly Report on Form 10-Q for the quarter ended September 30, 2019).</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Form of LTIP Grant Letter dated August 13, 2020 (Directors) (incorporated by reference to Exhibit 10.2 to our Quarterly Report on Form 10-Q for the quarter ended September 30, 2020).</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Form of Special Retention LTIP Grant Letter dated November 20, 2019 (incorporated by reference to Exhibit 10.53 to our Annual Report on Form 10-K for the year ended December 31, 2020).</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Form of Amended and Restated Special Retention LTIP Grant Letter Dated February 24, 2022 (incorporated by reference to Exhibit 10.1 to our Quarterly Report on Form 10-Q for the quarter ended March 31, 2022).</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Form of LTIP Grant Letter dated August 19, 2021 (Named Executive Officers) (incorporated by reference to Exhibit 10.3 to our Quarterly Report on Form 10-Q for the quarter ended September 30, 2021).</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Form of LTIP Grant Letter dated August 19, 2021 (Directors) (incorporated by reference to Exhibit 10.4 to our Quarterly Report on Form 10-Q for the quarter ended September 30, 2021).</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Form of LTIP Grant Letter dated August 18, 2022 (Named Executive Officers) (incorporated by reference to Exhibit 10.4 to our Quarterly Report on Form 10-Q for the quarter ended September 30, 2022).</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80"/>
                  <w:sz w:val="20"/>
                  <w:u w:val="single"/>
                </w:rPr>
                <w:t>Form of LTIP Grant Letter dated August 17, 2023 (Named Executive Officers)</w:t>
              </w:r>
            </w:hyperlink>
            <w:hyperlink r:id="rId80">
              <w:r>
                <w:rPr>
                  <w:rStyle w:val="InternetLink"/>
                  <w:rFonts w:ascii="Times New Roman;sans-serif" w:hAnsi="Times New Roman;sans-serif"/>
                  <w:b w:val="false"/>
                  <w:color w:val="000080"/>
                  <w:sz w:val="20"/>
                  <w:u w:val="single"/>
                </w:rPr>
                <w:t xml:space="preserve"> (incorporated by reference to Exhibit 10.1 to our Quarterly Report on Form 10-Q for the quarter end</w:t>
              </w:r>
            </w:hyperlink>
            <w:hyperlink r:id="rId81">
              <w:r>
                <w:rPr>
                  <w:rStyle w:val="InternetLink"/>
                  <w:rFonts w:ascii="Times New Roman;sans-serif" w:hAnsi="Times New Roman;sans-serif"/>
                  <w:b w:val="false"/>
                  <w:color w:val="000080"/>
                  <w:sz w:val="20"/>
                  <w:u w:val="single"/>
                </w:rPr>
                <w:t>ed September 30, 2023).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80"/>
                  <w:sz w:val="20"/>
                  <w:u w:val="single"/>
                </w:rPr>
                <w:t>Form of LTIP Grant Letter dated August 17, 2023 (Directors)</w:t>
              </w:r>
            </w:hyperlink>
            <w:hyperlink r:id="rId83">
              <w:r>
                <w:rPr>
                  <w:rStyle w:val="InternetLink"/>
                  <w:rFonts w:ascii="Times New Roman;sans-serif" w:hAnsi="Times New Roman;sans-serif"/>
                  <w:b w:val="false"/>
                  <w:color w:val="000080"/>
                  <w:sz w:val="20"/>
                  <w:u w:val="single"/>
                </w:rPr>
                <w:t xml:space="preserve"> </w:t>
              </w:r>
            </w:hyperlink>
            <w:hyperlink r:id="rId84">
              <w:r>
                <w:rPr>
                  <w:rStyle w:val="InternetLink"/>
                  <w:rFonts w:ascii="Times New Roman;sans-serif" w:hAnsi="Times New Roman;sans-serif"/>
                  <w:b w:val="false"/>
                  <w:color w:val="000080"/>
                  <w:sz w:val="20"/>
                  <w:u w:val="single"/>
                </w:rPr>
                <w:t>(incorporated by reference to Exhibit 10.</w:t>
              </w:r>
            </w:hyperlink>
            <w:hyperlink r:id="rId85">
              <w:r>
                <w:rPr>
                  <w:rStyle w:val="InternetLink"/>
                  <w:rFonts w:ascii="Times New Roman;sans-serif" w:hAnsi="Times New Roman;sans-serif"/>
                  <w:b w:val="false"/>
                  <w:color w:val="000080"/>
                  <w:sz w:val="20"/>
                  <w:u w:val="single"/>
                </w:rPr>
                <w:t>2</w:t>
              </w:r>
            </w:hyperlink>
            <w:hyperlink r:id="rId86">
              <w:r>
                <w:rPr>
                  <w:rStyle w:val="InternetLink"/>
                  <w:rFonts w:ascii="Times New Roman;sans-serif" w:hAnsi="Times New Roman;sans-serif"/>
                  <w:b w:val="false"/>
                  <w:color w:val="000080"/>
                  <w:sz w:val="20"/>
                  <w:u w:val="single"/>
                </w:rPr>
                <w:t xml:space="preserve"> to our Quarterly Report on Form 10-Q for the quarter ended September 30, 2023).</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211.htm">
              <w:r>
                <w:rPr>
                  <w:rStyle w:val="InternetLink"/>
                  <w:rFonts w:ascii="Times New Roman;sans-serif" w:hAnsi="Times New Roman;sans-serif"/>
                  <w:b w:val="false"/>
                  <w:color w:val="0000FF"/>
                  <w:sz w:val="20"/>
                  <w:u w:val="single"/>
                </w:rPr>
                <w:t>List of Subsidiaries of Plains All American Pipeline, L.P.</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231.htm">
              <w:r>
                <w:rPr>
                  <w:rStyle w:val="InternetLink"/>
                  <w:rFonts w:ascii="Times New Roman;sans-serif" w:hAnsi="Times New Roman;sans-serif"/>
                  <w:b w:val="false"/>
                  <w:color w:val="0000FF"/>
                  <w:sz w:val="20"/>
                  <w:u w:val="single"/>
                </w:rPr>
                <w:t>Consent of PricewaterhouseCoopers LLP.</w:t>
              </w:r>
            </w:hyperlink>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
        <w:gridCol w:w="243"/>
        <w:gridCol w:w="245"/>
        <w:gridCol w:w="109"/>
        <w:gridCol w:w="109"/>
        <w:gridCol w:w="109"/>
        <w:gridCol w:w="115"/>
        <w:gridCol w:w="115"/>
        <w:gridCol w:w="116"/>
        <w:gridCol w:w="109"/>
        <w:gridCol w:w="109"/>
        <w:gridCol w:w="109"/>
        <w:gridCol w:w="2464"/>
        <w:gridCol w:w="2464"/>
        <w:gridCol w:w="3499"/>
      </w:tblGrid>
      <w:tr>
        <w:trPr/>
        <w:tc>
          <w:tcPr>
            <w:tcW w:w="2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202310-kexhibit971.htm">
              <w:r>
                <w:rPr>
                  <w:rStyle w:val="InternetLink"/>
                  <w:rFonts w:ascii="Times New Roman;sans-serif" w:hAnsi="Times New Roman;sans-serif"/>
                  <w:b w:val="false"/>
                  <w:color w:val="000080"/>
                  <w:sz w:val="20"/>
                  <w:u w:val="single"/>
                </w:rPr>
                <w:t>Amended and Restated Clawback Policy</w:t>
              </w:r>
            </w:hyperlink>
            <w:hyperlink w:anchor="paa202310-kexhibit971.htm">
              <w:r>
                <w:rPr>
                  <w:rStyle w:val="InternetLink"/>
                  <w:rFonts w:ascii="Times New Roman;sans-serif" w:hAnsi="Times New Roman;sans-serif"/>
                  <w:b w:val="false"/>
                  <w:color w:val="000080"/>
                  <w:sz w:val="20"/>
                  <w:u w:val="single"/>
                </w:rPr>
                <w:t>.</w:t>
              </w:r>
            </w:hyperlink>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have been omitted pursuant to Item 601(b)(2) of Regulation S-K. A copy of any omitted schedule will be furnished supplementally to the SEC upon request.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3"/>
        <w:gridCol w:w="478"/>
        <w:gridCol w:w="480"/>
        <w:gridCol w:w="547"/>
        <w:gridCol w:w="547"/>
        <w:gridCol w:w="547"/>
        <w:gridCol w:w="2067"/>
        <w:gridCol w:w="2067"/>
        <w:gridCol w:w="2929"/>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20"/>
        <w:gridCol w:w="478"/>
        <w:gridCol w:w="482"/>
        <w:gridCol w:w="109"/>
        <w:gridCol w:w="109"/>
        <w:gridCol w:w="109"/>
        <w:gridCol w:w="2195"/>
        <w:gridCol w:w="2195"/>
        <w:gridCol w:w="2212"/>
        <w:gridCol w:w="109"/>
        <w:gridCol w:w="109"/>
        <w:gridCol w:w="109"/>
        <w:gridCol w:w="368"/>
        <w:gridCol w:w="368"/>
        <w:gridCol w:w="533"/>
      </w:tblGrid>
      <w:tr>
        <w:trPr/>
        <w:tc>
          <w:tcPr>
            <w:tcW w:w="7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PAA GP Holdings LLC and Chief Executive Officer of Plains All American GP LLC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 and President of Plains All American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Plains All American GP LLC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 of Plains All American GP LLC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M. Temple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M. Temple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CONSOLIDATED FINANCIAL STATEMENTS</w:t>
      </w:r>
    </w:p>
    <w:tbl>
      <w:tblPr>
        <w:tblW w:w="10205" w:type="dxa"/>
        <w:jc w:val="center"/>
        <w:tblInd w:w="0" w:type="dxa"/>
        <w:tblLayout w:type="fixed"/>
        <w:tblCellMar>
          <w:top w:w="28" w:type="dxa"/>
          <w:left w:w="28" w:type="dxa"/>
          <w:bottom w:w="28" w:type="dxa"/>
          <w:right w:w="28" w:type="dxa"/>
        </w:tblCellMar>
      </w:tblPr>
      <w:tblGrid>
        <w:gridCol w:w="3541"/>
        <w:gridCol w:w="3062"/>
        <w:gridCol w:w="3078"/>
        <w:gridCol w:w="152"/>
        <w:gridCol w:w="152"/>
        <w:gridCol w:w="220"/>
      </w:tblGrid>
      <w:tr>
        <w:trPr/>
        <w:tc>
          <w:tcPr>
            <w:tcW w:w="3541"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57">
              <w:r>
                <w:rPr>
                  <w:rStyle w:val="InternetLink"/>
                  <w:rFonts w:ascii="Times New Roman;sans-serif" w:hAnsi="Times New Roman;sans-serif"/>
                  <w:b w:val="false"/>
                  <w:color w:val="0000FF"/>
                  <w:sz w:val="20"/>
                  <w:u w:val="single"/>
                </w:rPr>
                <w:t>Management’s Report on Internal Control Over Financial Reporting</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57">
              <w:r>
                <w:rPr>
                  <w:rStyle w:val="InternetLink"/>
                  <w:rFonts w:ascii="Times New Roman;sans-serif" w:hAnsi="Times New Roman;sans-serif"/>
                  <w:b w:val="false"/>
                  <w:color w:val="000080"/>
                  <w:sz w:val="20"/>
                  <w:u w:val="single"/>
                </w:rPr>
                <w:t>F-</w:t>
              </w:r>
            </w:hyperlink>
            <w:hyperlink w:anchor="ib7291d9967f54b31a826c503fcfee0b8_157">
              <w:r>
                <w:rPr>
                  <w:rStyle w:val="InternetLink"/>
                  <w:rFonts w:ascii="Times New Roman;sans-serif" w:hAnsi="Times New Roman;sans-serif"/>
                  <w:b w:val="false"/>
                  <w:color w:val="000080"/>
                  <w:sz w:val="20"/>
                  <w:u w:val="single"/>
                </w:rPr>
                <w:t>2</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60">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E32E1"/>
                <w:sz w:val="20"/>
                <w:u w:val="single"/>
              </w:rPr>
              <w:t>238</w:t>
            </w:r>
            <w:hyperlink w:anchor="ib7291d9967f54b31a826c503fcfee0b8_160">
              <w:r>
                <w:rPr>
                  <w:rStyle w:val="InternetLink"/>
                  <w:rFonts w:ascii="Times New Roman;sans-serif" w:hAnsi="Times New Roman;sans-serif"/>
                  <w:b w:val="false"/>
                  <w:color w:val="0000FF"/>
                  <w:sz w:val="20"/>
                  <w:u w:val="single"/>
                </w:rPr>
                <w: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60">
              <w:r>
                <w:rPr>
                  <w:rStyle w:val="InternetLink"/>
                  <w:rFonts w:ascii="Times New Roman;sans-serif" w:hAnsi="Times New Roman;sans-serif"/>
                  <w:b w:val="false"/>
                  <w:color w:val="000080"/>
                  <w:sz w:val="20"/>
                  <w:u w:val="single"/>
                </w:rPr>
                <w:t>F-</w:t>
              </w:r>
            </w:hyperlink>
            <w:hyperlink w:anchor="ib7291d9967f54b31a826c503fcfee0b8_160">
              <w:r>
                <w:rPr>
                  <w:rStyle w:val="InternetLink"/>
                  <w:rFonts w:ascii="Times New Roman;sans-serif" w:hAnsi="Times New Roman;sans-serif"/>
                  <w:b w:val="false"/>
                  <w:color w:val="000080"/>
                  <w:sz w:val="20"/>
                  <w:u w:val="single"/>
                </w:rPr>
                <w:t>3</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66">
              <w:r>
                <w:rPr>
                  <w:rStyle w:val="InternetLink"/>
                  <w:rFonts w:ascii="Times New Roman;sans-serif" w:hAnsi="Times New Roman;sans-serif"/>
                  <w:b w:val="false"/>
                  <w:color w:val="000080"/>
                  <w:sz w:val="20"/>
                  <w:u w:val="single"/>
                </w:rPr>
                <w:t>Consolidated Balance Sheets as of December 31, 202</w:t>
              </w:r>
            </w:hyperlink>
            <w:hyperlink w:anchor="ib7291d9967f54b31a826c503fcfee0b8_166">
              <w:r>
                <w:rPr>
                  <w:rStyle w:val="InternetLink"/>
                  <w:rFonts w:ascii="Times New Roman;sans-serif" w:hAnsi="Times New Roman;sans-serif"/>
                  <w:b w:val="false"/>
                  <w:color w:val="000080"/>
                  <w:sz w:val="20"/>
                  <w:u w:val="single"/>
                </w:rPr>
                <w:t>3</w:t>
              </w:r>
            </w:hyperlink>
            <w:hyperlink w:anchor="ib7291d9967f54b31a826c503fcfee0b8_166">
              <w:r>
                <w:rPr>
                  <w:rStyle w:val="InternetLink"/>
                  <w:rFonts w:ascii="Times New Roman;sans-serif" w:hAnsi="Times New Roman;sans-serif"/>
                  <w:b w:val="false"/>
                  <w:color w:val="000080"/>
                  <w:sz w:val="20"/>
                  <w:u w:val="single"/>
                </w:rPr>
                <w:t xml:space="preserve"> and 202</w:t>
              </w:r>
            </w:hyperlink>
            <w:hyperlink w:anchor="ib7291d9967f54b31a826c503fcfee0b8_166">
              <w:r>
                <w:rPr>
                  <w:rStyle w:val="InternetLink"/>
                  <w:rFonts w:ascii="Times New Roman;sans-serif" w:hAnsi="Times New Roman;sans-serif"/>
                  <w:b w:val="false"/>
                  <w:color w:val="000080"/>
                  <w:sz w:val="20"/>
                  <w:u w:val="single"/>
                </w:rPr>
                <w:t>2</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66">
              <w:r>
                <w:rPr>
                  <w:rStyle w:val="InternetLink"/>
                  <w:rFonts w:ascii="Times New Roman;sans-serif" w:hAnsi="Times New Roman;sans-serif"/>
                  <w:b w:val="false"/>
                  <w:color w:val="000080"/>
                  <w:sz w:val="20"/>
                  <w:u w:val="single"/>
                </w:rPr>
                <w:t>F-</w:t>
              </w:r>
            </w:hyperlink>
            <w:hyperlink w:anchor="ib7291d9967f54b31a826c503fcfee0b8_166">
              <w:r>
                <w:rPr>
                  <w:rStyle w:val="InternetLink"/>
                  <w:rFonts w:ascii="Times New Roman;sans-serif" w:hAnsi="Times New Roman;sans-serif"/>
                  <w:b w:val="false"/>
                  <w:color w:val="000080"/>
                  <w:sz w:val="20"/>
                  <w:u w:val="single"/>
                </w:rPr>
                <w:t>5</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69">
              <w:r>
                <w:rPr>
                  <w:rStyle w:val="InternetLink"/>
                  <w:rFonts w:ascii="Times New Roman;sans-serif" w:hAnsi="Times New Roman;sans-serif"/>
                  <w:b w:val="false"/>
                  <w:color w:val="000080"/>
                  <w:sz w:val="20"/>
                  <w:u w:val="single"/>
                </w:rPr>
                <w:t xml:space="preserve">Consolidated Statements of Operations for the years ended December 31, </w:t>
              </w:r>
            </w:hyperlink>
            <w:hyperlink w:anchor="ib7291d9967f54b31a826c503fcfee0b8_169">
              <w:r>
                <w:rPr>
                  <w:rStyle w:val="InternetLink"/>
                  <w:rFonts w:ascii="Times New Roman;sans-serif" w:hAnsi="Times New Roman;sans-serif"/>
                  <w:b w:val="false"/>
                  <w:color w:val="000080"/>
                  <w:sz w:val="20"/>
                  <w:u w:val="single"/>
                </w:rPr>
                <w:t xml:space="preserve">2023, </w:t>
              </w:r>
            </w:hyperlink>
            <w:hyperlink w:anchor="ib7291d9967f54b31a826c503fcfee0b8_169">
              <w:r>
                <w:rPr>
                  <w:rStyle w:val="InternetLink"/>
                  <w:rFonts w:ascii="Times New Roman;sans-serif" w:hAnsi="Times New Roman;sans-serif"/>
                  <w:b w:val="false"/>
                  <w:color w:val="000080"/>
                  <w:sz w:val="20"/>
                  <w:u w:val="single"/>
                </w:rPr>
                <w:t>2022</w:t>
              </w:r>
            </w:hyperlink>
            <w:hyperlink w:anchor="ib7291d9967f54b31a826c503fcfee0b8_169">
              <w:r>
                <w:rPr>
                  <w:rStyle w:val="InternetLink"/>
                  <w:rFonts w:ascii="Times New Roman;sans-serif" w:hAnsi="Times New Roman;sans-serif"/>
                  <w:b w:val="false"/>
                  <w:color w:val="000080"/>
                  <w:sz w:val="20"/>
                  <w:u w:val="single"/>
                </w:rPr>
                <w:t xml:space="preserve"> and</w:t>
              </w:r>
            </w:hyperlink>
            <w:hyperlink w:anchor="ib7291d9967f54b31a826c503fcfee0b8_169">
              <w:r>
                <w:rPr>
                  <w:rStyle w:val="InternetLink"/>
                  <w:rFonts w:ascii="Times New Roman;sans-serif" w:hAnsi="Times New Roman;sans-serif"/>
                  <w:b w:val="false"/>
                  <w:color w:val="000080"/>
                  <w:sz w:val="20"/>
                  <w:u w:val="single"/>
                </w:rPr>
                <w:t xml:space="preserve"> 2021</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69">
              <w:r>
                <w:rPr>
                  <w:rStyle w:val="InternetLink"/>
                  <w:rFonts w:ascii="Times New Roman;sans-serif" w:hAnsi="Times New Roman;sans-serif"/>
                  <w:b w:val="false"/>
                  <w:color w:val="000080"/>
                  <w:sz w:val="20"/>
                  <w:u w:val="single"/>
                </w:rPr>
                <w:t>F-</w:t>
              </w:r>
            </w:hyperlink>
            <w:hyperlink w:anchor="ib7291d9967f54b31a826c503fcfee0b8_169">
              <w:r>
                <w:rPr>
                  <w:rStyle w:val="InternetLink"/>
                  <w:rFonts w:ascii="Times New Roman;sans-serif" w:hAnsi="Times New Roman;sans-serif"/>
                  <w:b w:val="false"/>
                  <w:color w:val="000080"/>
                  <w:sz w:val="20"/>
                  <w:u w:val="single"/>
                </w:rPr>
                <w:t>6</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291d9967f54b31a826c503fcfee0b8_172">
              <w:r>
                <w:rPr>
                  <w:rStyle w:val="InternetLink"/>
                  <w:rFonts w:ascii="Times New Roman;sans-serif" w:hAnsi="Times New Roman;sans-serif"/>
                  <w:b w:val="false"/>
                  <w:color w:val="0000FF"/>
                  <w:sz w:val="20"/>
                  <w:u w:val="single"/>
                </w:rPr>
                <w:t>Consolidated Statements of Comprehensive Income for the years ended December 31, 2023, 2022 and 2021</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72">
              <w:r>
                <w:rPr>
                  <w:rStyle w:val="InternetLink"/>
                  <w:rFonts w:ascii="Times New Roman;sans-serif" w:hAnsi="Times New Roman;sans-serif"/>
                  <w:b w:val="false"/>
                  <w:color w:val="000080"/>
                  <w:sz w:val="20"/>
                  <w:u w:val="single"/>
                </w:rPr>
                <w:t>F-</w:t>
              </w:r>
            </w:hyperlink>
            <w:hyperlink w:anchor="ib7291d9967f54b31a826c503fcfee0b8_172">
              <w:r>
                <w:rPr>
                  <w:rStyle w:val="InternetLink"/>
                  <w:rFonts w:ascii="Times New Roman;sans-serif" w:hAnsi="Times New Roman;sans-serif"/>
                  <w:b w:val="false"/>
                  <w:color w:val="000080"/>
                  <w:sz w:val="20"/>
                  <w:u w:val="single"/>
                </w:rPr>
                <w:t>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7291d9967f54b31a826c503fcfee0b8_175">
              <w:r>
                <w:rPr>
                  <w:rStyle w:val="InternetLink"/>
                  <w:rFonts w:ascii="Times New Roman;sans-serif" w:hAnsi="Times New Roman;sans-serif"/>
                  <w:b w:val="false"/>
                  <w:color w:val="000080"/>
                  <w:sz w:val="20"/>
                  <w:u w:val="single"/>
                </w:rPr>
                <w:t xml:space="preserve">Consolidated Statements of Changes in Accumulated Other Comprehensive Income/(Loss) for the years ended December 31, </w:t>
              </w:r>
            </w:hyperlink>
            <w:hyperlink w:anchor="ib7291d9967f54b31a826c503fcfee0b8_175">
              <w:r>
                <w:rPr>
                  <w:rStyle w:val="InternetLink"/>
                  <w:rFonts w:ascii="Times New Roman;sans-serif" w:hAnsi="Times New Roman;sans-serif"/>
                  <w:b w:val="false"/>
                  <w:color w:val="000080"/>
                  <w:sz w:val="20"/>
                  <w:u w:val="single"/>
                </w:rPr>
                <w:t xml:space="preserve">2023, </w:t>
              </w:r>
            </w:hyperlink>
            <w:hyperlink w:anchor="ib7291d9967f54b31a826c503fcfee0b8_175">
              <w:r>
                <w:rPr>
                  <w:rStyle w:val="InternetLink"/>
                  <w:rFonts w:ascii="Times New Roman;sans-serif" w:hAnsi="Times New Roman;sans-serif"/>
                  <w:b w:val="false"/>
                  <w:color w:val="000080"/>
                  <w:sz w:val="20"/>
                  <w:u w:val="single"/>
                </w:rPr>
                <w:t>2022</w:t>
              </w:r>
            </w:hyperlink>
            <w:hyperlink w:anchor="ib7291d9967f54b31a826c503fcfee0b8_175">
              <w:r>
                <w:rPr>
                  <w:rStyle w:val="InternetLink"/>
                  <w:rFonts w:ascii="Times New Roman;sans-serif" w:hAnsi="Times New Roman;sans-serif"/>
                  <w:b w:val="false"/>
                  <w:color w:val="000080"/>
                  <w:sz w:val="20"/>
                  <w:u w:val="single"/>
                </w:rPr>
                <w:t xml:space="preserve"> and</w:t>
              </w:r>
            </w:hyperlink>
            <w:hyperlink w:anchor="ib7291d9967f54b31a826c503fcfee0b8_175">
              <w:r>
                <w:rPr>
                  <w:rStyle w:val="InternetLink"/>
                  <w:rFonts w:ascii="Times New Roman;sans-serif" w:hAnsi="Times New Roman;sans-serif"/>
                  <w:b w:val="false"/>
                  <w:color w:val="000080"/>
                  <w:sz w:val="20"/>
                  <w:u w:val="single"/>
                </w:rPr>
                <w:t xml:space="preserve"> 2021</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75">
              <w:r>
                <w:rPr>
                  <w:rStyle w:val="InternetLink"/>
                  <w:rFonts w:ascii="Times New Roman;sans-serif" w:hAnsi="Times New Roman;sans-serif"/>
                  <w:b w:val="false"/>
                  <w:color w:val="000080"/>
                  <w:sz w:val="20"/>
                  <w:u w:val="single"/>
                </w:rPr>
                <w:t>F-</w:t>
              </w:r>
            </w:hyperlink>
            <w:hyperlink w:anchor="ib7291d9967f54b31a826c503fcfee0b8_175">
              <w:r>
                <w:rPr>
                  <w:rStyle w:val="InternetLink"/>
                  <w:rFonts w:ascii="Times New Roman;sans-serif" w:hAnsi="Times New Roman;sans-serif"/>
                  <w:b w:val="false"/>
                  <w:color w:val="000080"/>
                  <w:sz w:val="20"/>
                  <w:u w:val="single"/>
                </w:rPr>
                <w:t>7</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78">
              <w:r>
                <w:rPr>
                  <w:rStyle w:val="InternetLink"/>
                  <w:rFonts w:ascii="Times New Roman;sans-serif" w:hAnsi="Times New Roman;sans-serif"/>
                  <w:b w:val="false"/>
                  <w:color w:val="000080"/>
                  <w:sz w:val="20"/>
                  <w:u w:val="single"/>
                </w:rPr>
                <w:t xml:space="preserve">Consolidated Statements of Cash Flows for the years ended December 31, </w:t>
              </w:r>
            </w:hyperlink>
            <w:hyperlink w:anchor="ib7291d9967f54b31a826c503fcfee0b8_178">
              <w:r>
                <w:rPr>
                  <w:rStyle w:val="InternetLink"/>
                  <w:rFonts w:ascii="Times New Roman;sans-serif" w:hAnsi="Times New Roman;sans-serif"/>
                  <w:b w:val="false"/>
                  <w:color w:val="000080"/>
                  <w:sz w:val="20"/>
                  <w:u w:val="single"/>
                </w:rPr>
                <w:t xml:space="preserve">2023, </w:t>
              </w:r>
            </w:hyperlink>
            <w:hyperlink w:anchor="ib7291d9967f54b31a826c503fcfee0b8_178">
              <w:r>
                <w:rPr>
                  <w:rStyle w:val="InternetLink"/>
                  <w:rFonts w:ascii="Times New Roman;sans-serif" w:hAnsi="Times New Roman;sans-serif"/>
                  <w:b w:val="false"/>
                  <w:color w:val="000080"/>
                  <w:sz w:val="20"/>
                  <w:u w:val="single"/>
                </w:rPr>
                <w:t>2022</w:t>
              </w:r>
            </w:hyperlink>
            <w:hyperlink w:anchor="ib7291d9967f54b31a826c503fcfee0b8_178">
              <w:r>
                <w:rPr>
                  <w:rStyle w:val="InternetLink"/>
                  <w:rFonts w:ascii="Times New Roman;sans-serif" w:hAnsi="Times New Roman;sans-serif"/>
                  <w:b w:val="false"/>
                  <w:color w:val="000080"/>
                  <w:sz w:val="20"/>
                  <w:u w:val="single"/>
                </w:rPr>
                <w:t xml:space="preserve"> and</w:t>
              </w:r>
            </w:hyperlink>
            <w:hyperlink w:anchor="ib7291d9967f54b31a826c503fcfee0b8_178">
              <w:r>
                <w:rPr>
                  <w:rStyle w:val="InternetLink"/>
                  <w:rFonts w:ascii="Times New Roman;sans-serif" w:hAnsi="Times New Roman;sans-serif"/>
                  <w:b w:val="false"/>
                  <w:color w:val="000080"/>
                  <w:sz w:val="20"/>
                  <w:u w:val="single"/>
                </w:rPr>
                <w:t xml:space="preserve"> 2021</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78">
              <w:r>
                <w:rPr>
                  <w:rStyle w:val="InternetLink"/>
                  <w:rFonts w:ascii="Times New Roman;sans-serif" w:hAnsi="Times New Roman;sans-serif"/>
                  <w:b w:val="false"/>
                  <w:color w:val="000080"/>
                  <w:sz w:val="20"/>
                  <w:u w:val="single"/>
                </w:rPr>
                <w:t>F-</w:t>
              </w:r>
            </w:hyperlink>
            <w:hyperlink w:anchor="ib7291d9967f54b31a826c503fcfee0b8_178">
              <w:r>
                <w:rPr>
                  <w:rStyle w:val="InternetLink"/>
                  <w:rFonts w:ascii="Times New Roman;sans-serif" w:hAnsi="Times New Roman;sans-serif"/>
                  <w:b w:val="false"/>
                  <w:color w:val="000080"/>
                  <w:sz w:val="20"/>
                  <w:u w:val="single"/>
                </w:rPr>
                <w:t>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81">
              <w:r>
                <w:rPr>
                  <w:rStyle w:val="InternetLink"/>
                  <w:rFonts w:ascii="Times New Roman;sans-serif" w:hAnsi="Times New Roman;sans-serif"/>
                  <w:b w:val="false"/>
                  <w:color w:val="000080"/>
                  <w:sz w:val="20"/>
                  <w:u w:val="single"/>
                </w:rPr>
                <w:t xml:space="preserve">Consolidated Statements of Changes in Partners’ Capital for the years ended December 31, </w:t>
              </w:r>
            </w:hyperlink>
            <w:hyperlink w:anchor="ib7291d9967f54b31a826c503fcfee0b8_181">
              <w:r>
                <w:rPr>
                  <w:rStyle w:val="InternetLink"/>
                  <w:rFonts w:ascii="Times New Roman;sans-serif" w:hAnsi="Times New Roman;sans-serif"/>
                  <w:b w:val="false"/>
                  <w:color w:val="000080"/>
                  <w:sz w:val="20"/>
                  <w:u w:val="single"/>
                </w:rPr>
                <w:t xml:space="preserve">2023, </w:t>
              </w:r>
            </w:hyperlink>
            <w:hyperlink w:anchor="ib7291d9967f54b31a826c503fcfee0b8_181">
              <w:r>
                <w:rPr>
                  <w:rStyle w:val="InternetLink"/>
                  <w:rFonts w:ascii="Times New Roman;sans-serif" w:hAnsi="Times New Roman;sans-serif"/>
                  <w:b w:val="false"/>
                  <w:color w:val="000080"/>
                  <w:sz w:val="20"/>
                  <w:u w:val="single"/>
                </w:rPr>
                <w:t>2022</w:t>
              </w:r>
            </w:hyperlink>
            <w:hyperlink w:anchor="ib7291d9967f54b31a826c503fcfee0b8_181">
              <w:r>
                <w:rPr>
                  <w:rStyle w:val="InternetLink"/>
                  <w:rFonts w:ascii="Times New Roman;sans-serif" w:hAnsi="Times New Roman;sans-serif"/>
                  <w:b w:val="false"/>
                  <w:color w:val="000080"/>
                  <w:sz w:val="20"/>
                  <w:u w:val="single"/>
                </w:rPr>
                <w:t xml:space="preserve"> and</w:t>
              </w:r>
            </w:hyperlink>
            <w:hyperlink w:anchor="ib7291d9967f54b31a826c503fcfee0b8_181">
              <w:r>
                <w:rPr>
                  <w:rStyle w:val="InternetLink"/>
                  <w:rFonts w:ascii="Times New Roman;sans-serif" w:hAnsi="Times New Roman;sans-serif"/>
                  <w:b w:val="false"/>
                  <w:color w:val="000080"/>
                  <w:sz w:val="20"/>
                  <w:u w:val="single"/>
                </w:rPr>
                <w:t xml:space="preserve"> 2021</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81">
              <w:r>
                <w:rPr>
                  <w:rStyle w:val="InternetLink"/>
                  <w:rFonts w:ascii="Times New Roman;sans-serif" w:hAnsi="Times New Roman;sans-serif"/>
                  <w:b w:val="false"/>
                  <w:color w:val="000080"/>
                  <w:sz w:val="20"/>
                  <w:u w:val="single"/>
                </w:rPr>
                <w:t>F-</w:t>
              </w:r>
            </w:hyperlink>
            <w:hyperlink w:anchor="ib7291d9967f54b31a826c503fcfee0b8_181">
              <w:r>
                <w:rPr>
                  <w:rStyle w:val="InternetLink"/>
                  <w:rFonts w:ascii="Times New Roman;sans-serif" w:hAnsi="Times New Roman;sans-serif"/>
                  <w:b w:val="false"/>
                  <w:color w:val="000080"/>
                  <w:sz w:val="20"/>
                  <w:u w:val="single"/>
                </w:rPr>
                <w:t>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84">
              <w:r>
                <w:rPr>
                  <w:rStyle w:val="InternetLink"/>
                  <w:rFonts w:ascii="Times New Roman;sans-serif" w:hAnsi="Times New Roman;sans-serif"/>
                  <w:b w:val="false"/>
                  <w:color w:val="0000FF"/>
                  <w:sz w:val="20"/>
                  <w:u w:val="single"/>
                </w:rPr>
                <w:t>Notes to the Consolidated Financial Statements: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84">
              <w:r>
                <w:rPr>
                  <w:rStyle w:val="InternetLink"/>
                  <w:rFonts w:ascii="Times New Roman;sans-serif" w:hAnsi="Times New Roman;sans-serif"/>
                  <w:b w:val="false"/>
                  <w:color w:val="000080"/>
                  <w:sz w:val="20"/>
                  <w:u w:val="single"/>
                </w:rPr>
                <w:t>F-</w:t>
              </w:r>
            </w:hyperlink>
            <w:hyperlink w:anchor="ib7291d9967f54b31a826c503fcfee0b8_184">
              <w:r>
                <w:rPr>
                  <w:rStyle w:val="InternetLink"/>
                  <w:rFonts w:ascii="Times New Roman;sans-serif" w:hAnsi="Times New Roman;sans-serif"/>
                  <w:b w:val="false"/>
                  <w:color w:val="000080"/>
                  <w:sz w:val="20"/>
                  <w:u w:val="single"/>
                </w:rPr>
                <w:t>10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87">
              <w:r>
                <w:rPr>
                  <w:rStyle w:val="InternetLink"/>
                  <w:rFonts w:ascii="Times New Roman;sans-serif" w:hAnsi="Times New Roman;sans-serif"/>
                  <w:b w:val="false"/>
                  <w:color w:val="0000FF"/>
                  <w:sz w:val="20"/>
                  <w:u w:val="single"/>
                </w:rPr>
                <w:t>1. Organization and Basis of Consolidation and Presentation</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87">
              <w:r>
                <w:rPr>
                  <w:rStyle w:val="InternetLink"/>
                  <w:rFonts w:ascii="Times New Roman;sans-serif" w:hAnsi="Times New Roman;sans-serif"/>
                  <w:b w:val="false"/>
                  <w:color w:val="000080"/>
                  <w:sz w:val="20"/>
                  <w:u w:val="single"/>
                </w:rPr>
                <w:t>F-</w:t>
              </w:r>
            </w:hyperlink>
            <w:hyperlink w:anchor="ib7291d9967f54b31a826c503fcfee0b8_187">
              <w:r>
                <w:rPr>
                  <w:rStyle w:val="InternetLink"/>
                  <w:rFonts w:ascii="Times New Roman;sans-serif" w:hAnsi="Times New Roman;sans-serif"/>
                  <w:b w:val="false"/>
                  <w:color w:val="000080"/>
                  <w:sz w:val="20"/>
                  <w:u w:val="single"/>
                </w:rPr>
                <w:t>10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90">
              <w:r>
                <w:rPr>
                  <w:rStyle w:val="InternetLink"/>
                  <w:rFonts w:ascii="Times New Roman;sans-serif" w:hAnsi="Times New Roman;sans-serif"/>
                  <w:b w:val="false"/>
                  <w:color w:val="0000FF"/>
                  <w:sz w:val="20"/>
                  <w:u w:val="single"/>
                </w:rPr>
                <w:t>2. Summary of Significant Accounting Policies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90">
              <w:r>
                <w:rPr>
                  <w:rStyle w:val="InternetLink"/>
                  <w:rFonts w:ascii="Times New Roman;sans-serif" w:hAnsi="Times New Roman;sans-serif"/>
                  <w:b w:val="false"/>
                  <w:color w:val="000080"/>
                  <w:sz w:val="20"/>
                  <w:u w:val="single"/>
                </w:rPr>
                <w:t>F-</w:t>
              </w:r>
            </w:hyperlink>
            <w:hyperlink w:anchor="ib7291d9967f54b31a826c503fcfee0b8_190">
              <w:r>
                <w:rPr>
                  <w:rStyle w:val="InternetLink"/>
                  <w:rFonts w:ascii="Times New Roman;sans-serif" w:hAnsi="Times New Roman;sans-serif"/>
                  <w:b w:val="false"/>
                  <w:color w:val="000080"/>
                  <w:sz w:val="20"/>
                  <w:u w:val="single"/>
                </w:rPr>
                <w:t>12</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93">
              <w:r>
                <w:rPr>
                  <w:rStyle w:val="InternetLink"/>
                  <w:rFonts w:ascii="Times New Roman;sans-serif" w:hAnsi="Times New Roman;sans-serif"/>
                  <w:b w:val="false"/>
                  <w:color w:val="0000FF"/>
                  <w:sz w:val="20"/>
                  <w:u w:val="single"/>
                </w:rPr>
                <w:t>3. Revenues and Accounts Receivable</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93">
              <w:r>
                <w:rPr>
                  <w:rStyle w:val="InternetLink"/>
                  <w:rFonts w:ascii="Times New Roman;sans-serif" w:hAnsi="Times New Roman;sans-serif"/>
                  <w:b w:val="false"/>
                  <w:color w:val="000080"/>
                  <w:sz w:val="20"/>
                  <w:u w:val="single"/>
                </w:rPr>
                <w:t>F-</w:t>
              </w:r>
            </w:hyperlink>
            <w:hyperlink w:anchor="ib7291d9967f54b31a826c503fcfee0b8_193">
              <w:r>
                <w:rPr>
                  <w:rStyle w:val="InternetLink"/>
                  <w:rFonts w:ascii="Times New Roman;sans-serif" w:hAnsi="Times New Roman;sans-serif"/>
                  <w:b w:val="false"/>
                  <w:color w:val="000080"/>
                  <w:sz w:val="20"/>
                  <w:u w:val="single"/>
                </w:rPr>
                <w:t>15</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199">
              <w:r>
                <w:rPr>
                  <w:rStyle w:val="InternetLink"/>
                  <w:rFonts w:ascii="Times New Roman;sans-serif" w:hAnsi="Times New Roman;sans-serif"/>
                  <w:b w:val="false"/>
                  <w:color w:val="000080"/>
                  <w:sz w:val="20"/>
                  <w:u w:val="single"/>
                </w:rPr>
                <w:t>4. Net Income</w:t>
              </w:r>
            </w:hyperlink>
            <w:hyperlink w:anchor="ib7291d9967f54b31a826c503fcfee0b8_199">
              <w:r>
                <w:rPr>
                  <w:rStyle w:val="InternetLink"/>
                  <w:rFonts w:ascii="Times New Roman;sans-serif" w:hAnsi="Times New Roman;sans-serif"/>
                  <w:b w:val="false"/>
                  <w:color w:val="000080"/>
                  <w:sz w:val="20"/>
                  <w:u w:val="single"/>
                </w:rPr>
                <w:t xml:space="preserve"> Per Common Unit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199">
              <w:r>
                <w:rPr>
                  <w:rStyle w:val="InternetLink"/>
                  <w:rFonts w:ascii="Times New Roman;sans-serif" w:hAnsi="Times New Roman;sans-serif"/>
                  <w:b w:val="false"/>
                  <w:color w:val="000080"/>
                  <w:sz w:val="20"/>
                  <w:u w:val="single"/>
                </w:rPr>
                <w:t>F-</w:t>
              </w:r>
            </w:hyperlink>
            <w:hyperlink w:anchor="ib7291d9967f54b31a826c503fcfee0b8_199">
              <w:r>
                <w:rPr>
                  <w:rStyle w:val="InternetLink"/>
                  <w:rFonts w:ascii="Times New Roman;sans-serif" w:hAnsi="Times New Roman;sans-serif"/>
                  <w:b w:val="false"/>
                  <w:color w:val="000080"/>
                  <w:sz w:val="20"/>
                  <w:u w:val="single"/>
                </w:rPr>
                <w:t>19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02">
              <w:r>
                <w:rPr>
                  <w:rStyle w:val="InternetLink"/>
                  <w:rFonts w:ascii="Times New Roman;sans-serif" w:hAnsi="Times New Roman;sans-serif"/>
                  <w:b w:val="false"/>
                  <w:color w:val="0000FF"/>
                  <w:sz w:val="20"/>
                  <w:u w:val="single"/>
                </w:rPr>
                <w:t>5. Inventory, Linefill and Long-term Inventory</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02">
              <w:r>
                <w:rPr>
                  <w:rStyle w:val="InternetLink"/>
                  <w:rFonts w:ascii="Times New Roman;sans-serif" w:hAnsi="Times New Roman;sans-serif"/>
                  <w:b w:val="false"/>
                  <w:color w:val="000080"/>
                  <w:sz w:val="20"/>
                  <w:u w:val="single"/>
                </w:rPr>
                <w:t>F-</w:t>
              </w:r>
            </w:hyperlink>
            <w:hyperlink w:anchor="ib7291d9967f54b31a826c503fcfee0b8_202">
              <w:r>
                <w:rPr>
                  <w:rStyle w:val="InternetLink"/>
                  <w:rFonts w:ascii="Times New Roman;sans-serif" w:hAnsi="Times New Roman;sans-serif"/>
                  <w:b w:val="false"/>
                  <w:color w:val="000080"/>
                  <w:sz w:val="20"/>
                  <w:u w:val="single"/>
                </w:rPr>
                <w:t>20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05">
              <w:r>
                <w:rPr>
                  <w:rStyle w:val="InternetLink"/>
                  <w:rFonts w:ascii="Times New Roman;sans-serif" w:hAnsi="Times New Roman;sans-serif"/>
                  <w:b w:val="false"/>
                  <w:color w:val="0000FF"/>
                  <w:sz w:val="20"/>
                  <w:u w:val="single"/>
                </w:rPr>
                <w:t>6. Property and Equipment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05">
              <w:r>
                <w:rPr>
                  <w:rStyle w:val="InternetLink"/>
                  <w:rFonts w:ascii="Times New Roman;sans-serif" w:hAnsi="Times New Roman;sans-serif"/>
                  <w:b w:val="false"/>
                  <w:color w:val="000080"/>
                  <w:sz w:val="20"/>
                  <w:u w:val="single"/>
                </w:rPr>
                <w:t>F-</w:t>
              </w:r>
            </w:hyperlink>
            <w:hyperlink w:anchor="ib7291d9967f54b31a826c503fcfee0b8_205">
              <w:r>
                <w:rPr>
                  <w:rStyle w:val="InternetLink"/>
                  <w:rFonts w:ascii="Times New Roman;sans-serif" w:hAnsi="Times New Roman;sans-serif"/>
                  <w:b w:val="false"/>
                  <w:color w:val="000080"/>
                  <w:sz w:val="20"/>
                  <w:u w:val="single"/>
                </w:rPr>
                <w:t>21</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08">
              <w:r>
                <w:rPr>
                  <w:rStyle w:val="InternetLink"/>
                  <w:rFonts w:ascii="Times New Roman;sans-serif" w:hAnsi="Times New Roman;sans-serif"/>
                  <w:b w:val="false"/>
                  <w:color w:val="0000FF"/>
                  <w:sz w:val="20"/>
                  <w:u w:val="single"/>
                </w:rPr>
                <w:t>7. Acquisitions, Divestitures and Other Transactions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08">
              <w:r>
                <w:rPr>
                  <w:rStyle w:val="InternetLink"/>
                  <w:rFonts w:ascii="Times New Roman;sans-serif" w:hAnsi="Times New Roman;sans-serif"/>
                  <w:b w:val="false"/>
                  <w:color w:val="000080"/>
                  <w:sz w:val="20"/>
                  <w:u w:val="single"/>
                </w:rPr>
                <w:t>F-</w:t>
              </w:r>
            </w:hyperlink>
            <w:hyperlink w:anchor="ib7291d9967f54b31a826c503fcfee0b8_208">
              <w:r>
                <w:rPr>
                  <w:rStyle w:val="InternetLink"/>
                  <w:rFonts w:ascii="Times New Roman;sans-serif" w:hAnsi="Times New Roman;sans-serif"/>
                  <w:b w:val="false"/>
                  <w:color w:val="000080"/>
                  <w:sz w:val="20"/>
                  <w:u w:val="single"/>
                </w:rPr>
                <w:t>22</w:t>
              </w:r>
            </w:hyperlink>
          </w:p>
        </w:tc>
      </w:tr>
      <w:tr>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14">
              <w:r>
                <w:rPr>
                  <w:rStyle w:val="InternetLink"/>
                  <w:rFonts w:ascii="Times New Roman;sans-serif" w:hAnsi="Times New Roman;sans-serif"/>
                  <w:b w:val="false"/>
                  <w:color w:val="0000FF"/>
                  <w:sz w:val="20"/>
                  <w:u w:val="single"/>
                </w:rPr>
                <w:t>8. Investments in Unconsolidated Entities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14">
              <w:r>
                <w:rPr>
                  <w:rStyle w:val="InternetLink"/>
                  <w:rFonts w:ascii="Times New Roman;sans-serif" w:hAnsi="Times New Roman;sans-serif"/>
                  <w:b w:val="false"/>
                  <w:color w:val="000080"/>
                  <w:sz w:val="20"/>
                  <w:u w:val="single"/>
                </w:rPr>
                <w:t>F-</w:t>
              </w:r>
            </w:hyperlink>
            <w:hyperlink w:anchor="ib7291d9967f54b31a826c503fcfee0b8_214">
              <w:r>
                <w:rPr>
                  <w:rStyle w:val="InternetLink"/>
                  <w:rFonts w:ascii="Times New Roman;sans-serif" w:hAnsi="Times New Roman;sans-serif"/>
                  <w:b w:val="false"/>
                  <w:color w:val="000080"/>
                  <w:sz w:val="20"/>
                  <w:u w:val="single"/>
                </w:rPr>
                <w:t>28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17">
              <w:r>
                <w:rPr>
                  <w:rStyle w:val="InternetLink"/>
                  <w:rFonts w:ascii="Times New Roman;sans-serif" w:hAnsi="Times New Roman;sans-serif"/>
                  <w:b w:val="false"/>
                  <w:color w:val="0000FF"/>
                  <w:sz w:val="20"/>
                  <w:u w:val="single"/>
                </w:rPr>
                <w:t>9. Intangible Assets, Net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17">
              <w:r>
                <w:rPr>
                  <w:rStyle w:val="InternetLink"/>
                  <w:rFonts w:ascii="Times New Roman;sans-serif" w:hAnsi="Times New Roman;sans-serif"/>
                  <w:b w:val="false"/>
                  <w:color w:val="000080"/>
                  <w:sz w:val="20"/>
                  <w:u w:val="single"/>
                </w:rPr>
                <w:t>F-</w:t>
              </w:r>
            </w:hyperlink>
            <w:hyperlink w:anchor="ib7291d9967f54b31a826c503fcfee0b8_217">
              <w:r>
                <w:rPr>
                  <w:rStyle w:val="InternetLink"/>
                  <w:rFonts w:ascii="Times New Roman;sans-serif" w:hAnsi="Times New Roman;sans-serif"/>
                  <w:b w:val="false"/>
                  <w:color w:val="000080"/>
                  <w:sz w:val="20"/>
                  <w:u w:val="single"/>
                </w:rPr>
                <w:t>30</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20">
              <w:r>
                <w:rPr>
                  <w:rStyle w:val="InternetLink"/>
                  <w:rFonts w:ascii="Times New Roman;sans-serif" w:hAnsi="Times New Roman;sans-serif"/>
                  <w:b w:val="false"/>
                  <w:color w:val="000080"/>
                  <w:sz w:val="20"/>
                  <w:u w:val="single"/>
                </w:rPr>
                <w:t>1</w:t>
              </w:r>
            </w:hyperlink>
            <w:hyperlink w:anchor="ib7291d9967f54b31a826c503fcfee0b8_220">
              <w:r>
                <w:rPr>
                  <w:rStyle w:val="InternetLink"/>
                  <w:rFonts w:ascii="Times New Roman;sans-serif" w:hAnsi="Times New Roman;sans-serif"/>
                  <w:b w:val="false"/>
                  <w:color w:val="000080"/>
                  <w:sz w:val="20"/>
                  <w:u w:val="single"/>
                </w:rPr>
                <w:t>0</w:t>
              </w:r>
            </w:hyperlink>
            <w:hyperlink w:anchor="ib7291d9967f54b31a826c503fcfee0b8_220">
              <w:r>
                <w:rPr>
                  <w:rStyle w:val="InternetLink"/>
                  <w:rFonts w:ascii="Times New Roman;sans-serif" w:hAnsi="Times New Roman;sans-serif"/>
                  <w:b w:val="false"/>
                  <w:color w:val="000080"/>
                  <w:sz w:val="20"/>
                  <w:u w:val="single"/>
                </w:rPr>
                <w:t>. Debt</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20">
              <w:r>
                <w:rPr>
                  <w:rStyle w:val="InternetLink"/>
                  <w:rFonts w:ascii="Times New Roman;sans-serif" w:hAnsi="Times New Roman;sans-serif"/>
                  <w:b w:val="false"/>
                  <w:color w:val="000080"/>
                  <w:sz w:val="20"/>
                  <w:u w:val="single"/>
                </w:rPr>
                <w:t>F-</w:t>
              </w:r>
            </w:hyperlink>
            <w:hyperlink w:anchor="ib7291d9967f54b31a826c503fcfee0b8_220">
              <w:r>
                <w:rPr>
                  <w:rStyle w:val="InternetLink"/>
                  <w:rFonts w:ascii="Times New Roman;sans-serif" w:hAnsi="Times New Roman;sans-serif"/>
                  <w:b w:val="false"/>
                  <w:color w:val="000080"/>
                  <w:sz w:val="20"/>
                  <w:u w:val="single"/>
                </w:rPr>
                <w:t>31</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23">
              <w:r>
                <w:rPr>
                  <w:rStyle w:val="InternetLink"/>
                  <w:rFonts w:ascii="Times New Roman;sans-serif" w:hAnsi="Times New Roman;sans-serif"/>
                  <w:b w:val="false"/>
                  <w:color w:val="000080"/>
                  <w:sz w:val="20"/>
                  <w:u w:val="single"/>
                </w:rPr>
                <w:t>1</w:t>
              </w:r>
            </w:hyperlink>
            <w:hyperlink w:anchor="ib7291d9967f54b31a826c503fcfee0b8_223">
              <w:r>
                <w:rPr>
                  <w:rStyle w:val="InternetLink"/>
                  <w:rFonts w:ascii="Times New Roman;sans-serif" w:hAnsi="Times New Roman;sans-serif"/>
                  <w:b w:val="false"/>
                  <w:color w:val="000080"/>
                  <w:sz w:val="20"/>
                  <w:u w:val="single"/>
                </w:rPr>
                <w:t>1</w:t>
              </w:r>
            </w:hyperlink>
            <w:hyperlink w:anchor="ib7291d9967f54b31a826c503fcfee0b8_223">
              <w:r>
                <w:rPr>
                  <w:rStyle w:val="InternetLink"/>
                  <w:rFonts w:ascii="Times New Roman;sans-serif" w:hAnsi="Times New Roman;sans-serif"/>
                  <w:b w:val="false"/>
                  <w:color w:val="000080"/>
                  <w:sz w:val="20"/>
                  <w:u w:val="single"/>
                </w:rPr>
                <w:t>. Partners’ Capital and Distributions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23">
              <w:r>
                <w:rPr>
                  <w:rStyle w:val="InternetLink"/>
                  <w:rFonts w:ascii="Times New Roman;sans-serif" w:hAnsi="Times New Roman;sans-serif"/>
                  <w:b w:val="false"/>
                  <w:color w:val="000080"/>
                  <w:sz w:val="20"/>
                  <w:u w:val="single"/>
                </w:rPr>
                <w:t>F-</w:t>
              </w:r>
            </w:hyperlink>
            <w:hyperlink w:anchor="ib7291d9967f54b31a826c503fcfee0b8_223">
              <w:r>
                <w:rPr>
                  <w:rStyle w:val="InternetLink"/>
                  <w:rFonts w:ascii="Times New Roman;sans-serif" w:hAnsi="Times New Roman;sans-serif"/>
                  <w:b w:val="false"/>
                  <w:color w:val="000080"/>
                  <w:sz w:val="20"/>
                  <w:u w:val="single"/>
                </w:rPr>
                <w:t>34</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26">
              <w:r>
                <w:rPr>
                  <w:rStyle w:val="InternetLink"/>
                  <w:rFonts w:ascii="Times New Roman;sans-serif" w:hAnsi="Times New Roman;sans-serif"/>
                  <w:b w:val="false"/>
                  <w:color w:val="000080"/>
                  <w:sz w:val="20"/>
                  <w:u w:val="single"/>
                </w:rPr>
                <w:t>1</w:t>
              </w:r>
            </w:hyperlink>
            <w:hyperlink w:anchor="ib7291d9967f54b31a826c503fcfee0b8_226">
              <w:r>
                <w:rPr>
                  <w:rStyle w:val="InternetLink"/>
                  <w:rFonts w:ascii="Times New Roman;sans-serif" w:hAnsi="Times New Roman;sans-serif"/>
                  <w:b w:val="false"/>
                  <w:color w:val="000080"/>
                  <w:sz w:val="20"/>
                  <w:u w:val="single"/>
                </w:rPr>
                <w:t>2</w:t>
              </w:r>
            </w:hyperlink>
            <w:hyperlink w:anchor="ib7291d9967f54b31a826c503fcfee0b8_226">
              <w:r>
                <w:rPr>
                  <w:rStyle w:val="InternetLink"/>
                  <w:rFonts w:ascii="Times New Roman;sans-serif" w:hAnsi="Times New Roman;sans-serif"/>
                  <w:b w:val="false"/>
                  <w:color w:val="000080"/>
                  <w:sz w:val="20"/>
                  <w:u w:val="single"/>
                </w:rPr>
                <w:t>. Derivatives and Risk Management Activities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26">
              <w:r>
                <w:rPr>
                  <w:rStyle w:val="InternetLink"/>
                  <w:rFonts w:ascii="Times New Roman;sans-serif" w:hAnsi="Times New Roman;sans-serif"/>
                  <w:b w:val="false"/>
                  <w:color w:val="000080"/>
                  <w:sz w:val="20"/>
                  <w:u w:val="single"/>
                </w:rPr>
                <w:t>F-</w:t>
              </w:r>
            </w:hyperlink>
            <w:hyperlink w:anchor="ib7291d9967f54b31a826c503fcfee0b8_226">
              <w:r>
                <w:rPr>
                  <w:rStyle w:val="InternetLink"/>
                  <w:rFonts w:ascii="Times New Roman;sans-serif" w:hAnsi="Times New Roman;sans-serif"/>
                  <w:b w:val="false"/>
                  <w:color w:val="000080"/>
                  <w:sz w:val="20"/>
                  <w:u w:val="single"/>
                </w:rPr>
                <w:t>38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29">
              <w:r>
                <w:rPr>
                  <w:rStyle w:val="InternetLink"/>
                  <w:rFonts w:ascii="Times New Roman;sans-serif" w:hAnsi="Times New Roman;sans-serif"/>
                  <w:b w:val="false"/>
                  <w:color w:val="000080"/>
                  <w:sz w:val="20"/>
                  <w:u w:val="single"/>
                </w:rPr>
                <w:t>1</w:t>
              </w:r>
            </w:hyperlink>
            <w:hyperlink w:anchor="ib7291d9967f54b31a826c503fcfee0b8_229">
              <w:r>
                <w:rPr>
                  <w:rStyle w:val="InternetLink"/>
                  <w:rFonts w:ascii="Times New Roman;sans-serif" w:hAnsi="Times New Roman;sans-serif"/>
                  <w:b w:val="false"/>
                  <w:color w:val="000080"/>
                  <w:sz w:val="20"/>
                  <w:u w:val="single"/>
                </w:rPr>
                <w:t>3</w:t>
              </w:r>
            </w:hyperlink>
            <w:hyperlink w:anchor="ib7291d9967f54b31a826c503fcfee0b8_229">
              <w:r>
                <w:rPr>
                  <w:rStyle w:val="InternetLink"/>
                  <w:rFonts w:ascii="Times New Roman;sans-serif" w:hAnsi="Times New Roman;sans-serif"/>
                  <w:b w:val="false"/>
                  <w:color w:val="000080"/>
                  <w:sz w:val="20"/>
                  <w:u w:val="single"/>
                </w:rPr>
                <w:t>. Leases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29">
              <w:r>
                <w:rPr>
                  <w:rStyle w:val="InternetLink"/>
                  <w:rFonts w:ascii="Times New Roman;sans-serif" w:hAnsi="Times New Roman;sans-serif"/>
                  <w:b w:val="false"/>
                  <w:color w:val="000080"/>
                  <w:sz w:val="20"/>
                  <w:u w:val="single"/>
                </w:rPr>
                <w:t>F-</w:t>
              </w:r>
            </w:hyperlink>
            <w:hyperlink w:anchor="ib7291d9967f54b31a826c503fcfee0b8_229">
              <w:r>
                <w:rPr>
                  <w:rStyle w:val="InternetLink"/>
                  <w:rFonts w:ascii="Times New Roman;sans-serif" w:hAnsi="Times New Roman;sans-serif"/>
                  <w:b w:val="false"/>
                  <w:color w:val="000080"/>
                  <w:sz w:val="20"/>
                  <w:u w:val="single"/>
                </w:rPr>
                <w:t>43</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32">
              <w:r>
                <w:rPr>
                  <w:rStyle w:val="InternetLink"/>
                  <w:rFonts w:ascii="Times New Roman;sans-serif" w:hAnsi="Times New Roman;sans-serif"/>
                  <w:b w:val="false"/>
                  <w:color w:val="000080"/>
                  <w:sz w:val="20"/>
                  <w:u w:val="single"/>
                </w:rPr>
                <w:t>1</w:t>
              </w:r>
            </w:hyperlink>
            <w:hyperlink w:anchor="ib7291d9967f54b31a826c503fcfee0b8_232">
              <w:r>
                <w:rPr>
                  <w:rStyle w:val="InternetLink"/>
                  <w:rFonts w:ascii="Times New Roman;sans-serif" w:hAnsi="Times New Roman;sans-serif"/>
                  <w:b w:val="false"/>
                  <w:color w:val="000080"/>
                  <w:sz w:val="20"/>
                  <w:u w:val="single"/>
                </w:rPr>
                <w:t>4</w:t>
              </w:r>
            </w:hyperlink>
            <w:hyperlink w:anchor="ib7291d9967f54b31a826c503fcfee0b8_232">
              <w:r>
                <w:rPr>
                  <w:rStyle w:val="InternetLink"/>
                  <w:rFonts w:ascii="Times New Roman;sans-serif" w:hAnsi="Times New Roman;sans-serif"/>
                  <w:b w:val="false"/>
                  <w:color w:val="000080"/>
                  <w:sz w:val="20"/>
                  <w:u w:val="single"/>
                </w:rPr>
                <w:t>. Income Taxes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32">
              <w:r>
                <w:rPr>
                  <w:rStyle w:val="InternetLink"/>
                  <w:rFonts w:ascii="Times New Roman;sans-serif" w:hAnsi="Times New Roman;sans-serif"/>
                  <w:b w:val="false"/>
                  <w:color w:val="000080"/>
                  <w:sz w:val="20"/>
                  <w:u w:val="single"/>
                </w:rPr>
                <w:t>F-</w:t>
              </w:r>
            </w:hyperlink>
            <w:hyperlink w:anchor="ib7291d9967f54b31a826c503fcfee0b8_232">
              <w:r>
                <w:rPr>
                  <w:rStyle w:val="InternetLink"/>
                  <w:rFonts w:ascii="Times New Roman;sans-serif" w:hAnsi="Times New Roman;sans-serif"/>
                  <w:b w:val="false"/>
                  <w:color w:val="000080"/>
                  <w:sz w:val="20"/>
                  <w:u w:val="single"/>
                </w:rPr>
                <w:t>46</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35">
              <w:r>
                <w:rPr>
                  <w:rStyle w:val="InternetLink"/>
                  <w:rFonts w:ascii="Times New Roman;sans-serif" w:hAnsi="Times New Roman;sans-serif"/>
                  <w:b w:val="false"/>
                  <w:color w:val="000080"/>
                  <w:sz w:val="20"/>
                  <w:u w:val="single"/>
                </w:rPr>
                <w:t>1</w:t>
              </w:r>
            </w:hyperlink>
            <w:hyperlink w:anchor="ib7291d9967f54b31a826c503fcfee0b8_235">
              <w:r>
                <w:rPr>
                  <w:rStyle w:val="InternetLink"/>
                  <w:rFonts w:ascii="Times New Roman;sans-serif" w:hAnsi="Times New Roman;sans-serif"/>
                  <w:b w:val="false"/>
                  <w:color w:val="000080"/>
                  <w:sz w:val="20"/>
                  <w:u w:val="single"/>
                </w:rPr>
                <w:t>5</w:t>
              </w:r>
            </w:hyperlink>
            <w:hyperlink w:anchor="ib7291d9967f54b31a826c503fcfee0b8_235">
              <w:r>
                <w:rPr>
                  <w:rStyle w:val="InternetLink"/>
                  <w:rFonts w:ascii="Times New Roman;sans-serif" w:hAnsi="Times New Roman;sans-serif"/>
                  <w:b w:val="false"/>
                  <w:color w:val="000080"/>
                  <w:sz w:val="20"/>
                  <w:u w:val="single"/>
                </w:rPr>
                <w:t>. Major Customers and Concentration of Credit Risk</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35">
              <w:r>
                <w:rPr>
                  <w:rStyle w:val="InternetLink"/>
                  <w:rFonts w:ascii="Times New Roman;sans-serif" w:hAnsi="Times New Roman;sans-serif"/>
                  <w:b w:val="false"/>
                  <w:color w:val="000080"/>
                  <w:sz w:val="20"/>
                  <w:u w:val="single"/>
                </w:rPr>
                <w:t>F-</w:t>
              </w:r>
            </w:hyperlink>
            <w:hyperlink w:anchor="ib7291d9967f54b31a826c503fcfee0b8_235">
              <w:r>
                <w:rPr>
                  <w:rStyle w:val="InternetLink"/>
                  <w:rFonts w:ascii="Times New Roman;sans-serif" w:hAnsi="Times New Roman;sans-serif"/>
                  <w:b w:val="false"/>
                  <w:color w:val="000080"/>
                  <w:sz w:val="20"/>
                  <w:u w:val="single"/>
                </w:rPr>
                <w:t>48</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38">
              <w:r>
                <w:rPr>
                  <w:rStyle w:val="InternetLink"/>
                  <w:rFonts w:ascii="Times New Roman;sans-serif" w:hAnsi="Times New Roman;sans-serif"/>
                  <w:b w:val="false"/>
                  <w:color w:val="000080"/>
                  <w:sz w:val="20"/>
                  <w:u w:val="single"/>
                </w:rPr>
                <w:t>1</w:t>
              </w:r>
            </w:hyperlink>
            <w:hyperlink w:anchor="ib7291d9967f54b31a826c503fcfee0b8_238">
              <w:r>
                <w:rPr>
                  <w:rStyle w:val="InternetLink"/>
                  <w:rFonts w:ascii="Times New Roman;sans-serif" w:hAnsi="Times New Roman;sans-serif"/>
                  <w:b w:val="false"/>
                  <w:color w:val="000080"/>
                  <w:sz w:val="20"/>
                  <w:u w:val="single"/>
                </w:rPr>
                <w:t>6</w:t>
              </w:r>
            </w:hyperlink>
            <w:hyperlink w:anchor="ib7291d9967f54b31a826c503fcfee0b8_238">
              <w:r>
                <w:rPr>
                  <w:rStyle w:val="InternetLink"/>
                  <w:rFonts w:ascii="Times New Roman;sans-serif" w:hAnsi="Times New Roman;sans-serif"/>
                  <w:b w:val="false"/>
                  <w:color w:val="000080"/>
                  <w:sz w:val="20"/>
                  <w:u w:val="single"/>
                </w:rPr>
                <w:t>. Related Party Transactions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38">
              <w:r>
                <w:rPr>
                  <w:rStyle w:val="InternetLink"/>
                  <w:rFonts w:ascii="Times New Roman;sans-serif" w:hAnsi="Times New Roman;sans-serif"/>
                  <w:b w:val="false"/>
                  <w:color w:val="000080"/>
                  <w:sz w:val="20"/>
                  <w:u w:val="single"/>
                </w:rPr>
                <w:t>F-</w:t>
              </w:r>
            </w:hyperlink>
            <w:hyperlink w:anchor="ib7291d9967f54b31a826c503fcfee0b8_238">
              <w:r>
                <w:rPr>
                  <w:rStyle w:val="InternetLink"/>
                  <w:rFonts w:ascii="Times New Roman;sans-serif" w:hAnsi="Times New Roman;sans-serif"/>
                  <w:b w:val="false"/>
                  <w:color w:val="000080"/>
                  <w:sz w:val="20"/>
                  <w:u w:val="single"/>
                </w:rPr>
                <w:t>49</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41">
              <w:r>
                <w:rPr>
                  <w:rStyle w:val="InternetLink"/>
                  <w:rFonts w:ascii="Times New Roman;sans-serif" w:hAnsi="Times New Roman;sans-serif"/>
                  <w:b w:val="false"/>
                  <w:color w:val="000080"/>
                  <w:sz w:val="20"/>
                  <w:u w:val="single"/>
                </w:rPr>
                <w:t>1</w:t>
              </w:r>
            </w:hyperlink>
            <w:hyperlink w:anchor="ib7291d9967f54b31a826c503fcfee0b8_241">
              <w:r>
                <w:rPr>
                  <w:rStyle w:val="InternetLink"/>
                  <w:rFonts w:ascii="Times New Roman;sans-serif" w:hAnsi="Times New Roman;sans-serif"/>
                  <w:b w:val="false"/>
                  <w:color w:val="000080"/>
                  <w:sz w:val="20"/>
                  <w:u w:val="single"/>
                </w:rPr>
                <w:t>7</w:t>
              </w:r>
            </w:hyperlink>
            <w:hyperlink w:anchor="ib7291d9967f54b31a826c503fcfee0b8_241">
              <w:r>
                <w:rPr>
                  <w:rStyle w:val="InternetLink"/>
                  <w:rFonts w:ascii="Times New Roman;sans-serif" w:hAnsi="Times New Roman;sans-serif"/>
                  <w:b w:val="false"/>
                  <w:color w:val="000080"/>
                  <w:sz w:val="20"/>
                  <w:u w:val="single"/>
                </w:rPr>
                <w:t>. Equity-Indexed Compensation Plans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41">
              <w:r>
                <w:rPr>
                  <w:rStyle w:val="InternetLink"/>
                  <w:rFonts w:ascii="Times New Roman;sans-serif" w:hAnsi="Times New Roman;sans-serif"/>
                  <w:b w:val="false"/>
                  <w:color w:val="000080"/>
                  <w:sz w:val="20"/>
                  <w:u w:val="single"/>
                </w:rPr>
                <w:t>F-</w:t>
              </w:r>
            </w:hyperlink>
            <w:hyperlink w:anchor="ib7291d9967f54b31a826c503fcfee0b8_241">
              <w:r>
                <w:rPr>
                  <w:rStyle w:val="InternetLink"/>
                  <w:rFonts w:ascii="Times New Roman;sans-serif" w:hAnsi="Times New Roman;sans-serif"/>
                  <w:b w:val="false"/>
                  <w:color w:val="000080"/>
                  <w:sz w:val="20"/>
                  <w:u w:val="single"/>
                </w:rPr>
                <w:t>51</w:t>
              </w:r>
            </w:hyperlink>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44">
              <w:r>
                <w:rPr>
                  <w:rStyle w:val="InternetLink"/>
                  <w:rFonts w:ascii="Times New Roman;sans-serif" w:hAnsi="Times New Roman;sans-serif"/>
                  <w:b w:val="false"/>
                  <w:color w:val="000080"/>
                  <w:sz w:val="20"/>
                  <w:u w:val="single"/>
                </w:rPr>
                <w:t>1</w:t>
              </w:r>
            </w:hyperlink>
            <w:hyperlink w:anchor="ib7291d9967f54b31a826c503fcfee0b8_244">
              <w:r>
                <w:rPr>
                  <w:rStyle w:val="InternetLink"/>
                  <w:rFonts w:ascii="Times New Roman;sans-serif" w:hAnsi="Times New Roman;sans-serif"/>
                  <w:b w:val="false"/>
                  <w:color w:val="000080"/>
                  <w:sz w:val="20"/>
                  <w:u w:val="single"/>
                </w:rPr>
                <w:t>8</w:t>
              </w:r>
            </w:hyperlink>
            <w:hyperlink w:anchor="ib7291d9967f54b31a826c503fcfee0b8_244">
              <w:r>
                <w:rPr>
                  <w:rStyle w:val="InternetLink"/>
                  <w:rFonts w:ascii="Times New Roman;sans-serif" w:hAnsi="Times New Roman;sans-serif"/>
                  <w:b w:val="false"/>
                  <w:color w:val="000080"/>
                  <w:sz w:val="20"/>
                  <w:u w:val="single"/>
                </w:rPr>
                <w:t>. Commitments and Contingencies</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44">
              <w:r>
                <w:rPr>
                  <w:rStyle w:val="InternetLink"/>
                  <w:rFonts w:ascii="Times New Roman;sans-serif" w:hAnsi="Times New Roman;sans-serif"/>
                  <w:b w:val="false"/>
                  <w:color w:val="000080"/>
                  <w:sz w:val="20"/>
                  <w:u w:val="single"/>
                </w:rPr>
                <w:t>F-</w:t>
              </w:r>
            </w:hyperlink>
            <w:hyperlink w:anchor="ib7291d9967f54b31a826c503fcfee0b8_244">
              <w:r>
                <w:rPr>
                  <w:rStyle w:val="InternetLink"/>
                  <w:rFonts w:ascii="Times New Roman;sans-serif" w:hAnsi="Times New Roman;sans-serif"/>
                  <w:b w:val="false"/>
                  <w:color w:val="000080"/>
                  <w:sz w:val="20"/>
                  <w:u w:val="single"/>
                </w:rPr>
                <w:t>52</w:t>
              </w:r>
            </w:hyperlink>
          </w:p>
        </w:tc>
      </w:tr>
      <w:tr>
        <w:trPr/>
        <w:tc>
          <w:tcPr>
            <w:tcW w:w="9681"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91d9967f54b31a826c503fcfee0b8_247">
              <w:r>
                <w:rPr>
                  <w:rStyle w:val="InternetLink"/>
                  <w:rFonts w:ascii="Times New Roman;sans-serif" w:hAnsi="Times New Roman;sans-serif"/>
                  <w:b w:val="false"/>
                  <w:color w:val="0000FF"/>
                  <w:sz w:val="20"/>
                  <w:u w:val="single"/>
                </w:rPr>
                <w:t>19. Segment Information</w:t>
              </w:r>
            </w:hyperlink>
          </w:p>
        </w:tc>
        <w:tc>
          <w:tcPr>
            <w:tcW w:w="52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91d9967f54b31a826c503fcfee0b8_247">
              <w:r>
                <w:rPr>
                  <w:rStyle w:val="InternetLink"/>
                  <w:rFonts w:ascii="Times New Roman;sans-serif" w:hAnsi="Times New Roman;sans-serif"/>
                  <w:b w:val="false"/>
                  <w:color w:val="000080"/>
                  <w:sz w:val="20"/>
                  <w:u w:val="single"/>
                </w:rPr>
                <w:t>F-</w:t>
              </w:r>
            </w:hyperlink>
            <w:hyperlink w:anchor="ib7291d9967f54b31a826c503fcfee0b8_247">
              <w:r>
                <w:rPr>
                  <w:rStyle w:val="InternetLink"/>
                  <w:rFonts w:ascii="Times New Roman;sans-serif" w:hAnsi="Times New Roman;sans-serif"/>
                  <w:b w:val="false"/>
                  <w:color w:val="000080"/>
                  <w:sz w:val="20"/>
                  <w:u w:val="single"/>
                </w:rPr>
                <w:t>57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Partnership’s internal control over financial reporting as of December 31, 2023 has been audited by PricewaterhouseCoopers LLP, an independent registered public accounting firm, as stated in their report which appears on Page F-3.</w:t>
      </w:r>
    </w:p>
    <w:p>
      <w:pPr>
        <w:pStyle w:val="TextBody"/>
        <w:bidi w:val="0"/>
        <w:spacing w:lineRule="auto" w:line="288" w:before="0" w:after="0"/>
        <w:jc w:val="center"/>
        <w:rPr>
          <w:color w:val="000000"/>
        </w:rPr>
      </w:pPr>
      <w:r>
        <w:rPr>
          <w:color w:val="000000"/>
        </w:rPr>
        <w:t> </w:t>
      </w:r>
    </w:p>
    <w:tbl>
      <w:tblPr>
        <w:tblW w:w="8683" w:type="dxa"/>
        <w:jc w:val="center"/>
        <w:tblInd w:w="0" w:type="dxa"/>
        <w:tblLayout w:type="fixed"/>
        <w:tblCellMar>
          <w:top w:w="28" w:type="dxa"/>
          <w:left w:w="28" w:type="dxa"/>
          <w:bottom w:w="28" w:type="dxa"/>
          <w:right w:w="28" w:type="dxa"/>
        </w:tblCellMar>
      </w:tblPr>
      <w:tblGrid>
        <w:gridCol w:w="580"/>
        <w:gridCol w:w="511"/>
        <w:gridCol w:w="513"/>
        <w:gridCol w:w="2070"/>
        <w:gridCol w:w="2070"/>
        <w:gridCol w:w="293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of Plains All American GP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 of Plains All American GP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of PAA GP Holdings LLC and Unitholders of Plains All American Pipeline,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accompanying consolidated balance sheets of Plains All American Pipeline, L.P. and its subsidiaries (the “Partnership”) as of December 31, 2023 and 2022, and the related consolidated statements of operations, of comprehensive income, of changes in accumulated other comprehensive income (loss), of changes in partners’ capital and of cash flows for each of the three years in the period ended December 31, 2023, including the related notes (collectively referred to as the “consolidated financial statements”). We also have audited the Partnership’s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 Also in our opinion, the Partnership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the Preferred Distribution Rate Reset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12 to the consolidated financial statements, the Preferred Distribution Rate Reset Option of the Partnership’s Series A preferred units was an embedded derivative that was bifurcated from the related host contract and recorded at fair value. The fair value on the settlement date was $131 million, which resulted in a gain of $58 million recognized in other income. Management determined the fair value based on a Monte Carlo valuation model that estimated the fair value of the Series A preferred units with and without the Preferred Distribution Rate Reset Option. This model relied on assumptions for forecasts for the ten-year U.S. Treasury rate, the Partnership’s common unit price, and default probabilities which impacted timing estimates as to when the option will be exercised.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 (i) 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pStyle w:val="TextBody"/>
        <w:bidi w:val="0"/>
        <w:spacing w:before="0" w:after="0"/>
        <w:jc w:val="left"/>
        <w:rPr/>
      </w:pPr>
      <w:r>
        <w:rPr/>
      </w:r>
    </w:p>
    <w:tbl>
      <w:tblPr>
        <w:tblW w:w="4649" w:type="dxa"/>
        <w:jc w:val="left"/>
        <w:tblInd w:w="0" w:type="dxa"/>
        <w:tblLayout w:type="fixed"/>
        <w:tblCellMar>
          <w:top w:w="28" w:type="dxa"/>
          <w:left w:w="28" w:type="dxa"/>
          <w:bottom w:w="28" w:type="dxa"/>
          <w:right w:w="28" w:type="dxa"/>
        </w:tblCellMar>
      </w:tblPr>
      <w:tblGrid>
        <w:gridCol w:w="1483"/>
        <w:gridCol w:w="1301"/>
        <w:gridCol w:w="1865"/>
      </w:tblGrid>
      <w:tr>
        <w:trPr/>
        <w:tc>
          <w:tcPr>
            <w:tcW w:w="148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Partnership’s auditor since 1998.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5"/>
        <w:gridCol w:w="2178"/>
        <w:gridCol w:w="2199"/>
        <w:gridCol w:w="294"/>
        <w:gridCol w:w="1007"/>
        <w:gridCol w:w="152"/>
        <w:gridCol w:w="109"/>
        <w:gridCol w:w="109"/>
        <w:gridCol w:w="109"/>
        <w:gridCol w:w="291"/>
        <w:gridCol w:w="996"/>
        <w:gridCol w:w="216"/>
      </w:tblGrid>
      <w:tr>
        <w:trPr/>
        <w:tc>
          <w:tcPr>
            <w:tcW w:w="254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PARTNERS’ CAPITAL</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LIABILITIES</w:t>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18)</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unitholders (71,090,468 and 71,090,468 units outstanding,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unitholders (800,000 and 800,000 units outstanding, respectively)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unitholders (701,008,749 and 698,354,498 units outstanding,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 excluding noncontrolling interests</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p>
      <w:pPr>
        <w:pStyle w:val="TextBody"/>
        <w:bidi w:val="0"/>
        <w:spacing w:before="0" w:after="0"/>
        <w:jc w:val="center"/>
        <w:rPr/>
      </w:pPr>
      <w:r>
        <w:rPr/>
      </w:r>
    </w:p>
    <w:tbl>
      <w:tblPr>
        <w:tblW w:w="10182" w:type="dxa"/>
        <w:jc w:val="center"/>
        <w:tblInd w:w="0" w:type="dxa"/>
        <w:tblLayout w:type="fixed"/>
        <w:tblCellMar>
          <w:top w:w="28" w:type="dxa"/>
          <w:left w:w="28" w:type="dxa"/>
          <w:bottom w:w="28" w:type="dxa"/>
          <w:right w:w="28" w:type="dxa"/>
        </w:tblCellMar>
      </w:tblPr>
      <w:tblGrid>
        <w:gridCol w:w="2304"/>
        <w:gridCol w:w="2024"/>
        <w:gridCol w:w="2032"/>
        <w:gridCol w:w="211"/>
        <w:gridCol w:w="721"/>
        <w:gridCol w:w="109"/>
        <w:gridCol w:w="109"/>
        <w:gridCol w:w="109"/>
        <w:gridCol w:w="109"/>
        <w:gridCol w:w="211"/>
        <w:gridCol w:w="721"/>
        <w:gridCol w:w="109"/>
        <w:gridCol w:w="109"/>
        <w:gridCol w:w="109"/>
        <w:gridCol w:w="109"/>
        <w:gridCol w:w="211"/>
        <w:gridCol w:w="721"/>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 (Note 6,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 (Note 7,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$10, $5 and $18,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8591" w:type="dxa"/>
        <w:jc w:val="center"/>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ACCUMULATED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754" w:type="dxa"/>
        <w:jc w:val="center"/>
        <w:tblInd w:w="0" w:type="dxa"/>
        <w:tblLayout w:type="fixed"/>
        <w:tblCellMar>
          <w:top w:w="28" w:type="dxa"/>
          <w:left w:w="28" w:type="dxa"/>
          <w:bottom w:w="28" w:type="dxa"/>
          <w:right w:w="28" w:type="dxa"/>
        </w:tblCellMar>
      </w:tblPr>
      <w:tblGrid>
        <w:gridCol w:w="2025"/>
        <w:gridCol w:w="1780"/>
        <w:gridCol w:w="1789"/>
        <w:gridCol w:w="196"/>
        <w:gridCol w:w="556"/>
        <w:gridCol w:w="109"/>
        <w:gridCol w:w="109"/>
        <w:gridCol w:w="109"/>
        <w:gridCol w:w="109"/>
        <w:gridCol w:w="196"/>
        <w:gridCol w:w="556"/>
        <w:gridCol w:w="109"/>
        <w:gridCol w:w="109"/>
        <w:gridCol w:w="109"/>
        <w:gridCol w:w="109"/>
        <w:gridCol w:w="200"/>
        <w:gridCol w:w="430"/>
        <w:gridCol w:w="154"/>
      </w:tblGrid>
      <w:tr>
        <w:trPr/>
        <w:tc>
          <w:tcPr>
            <w:tcW w:w="202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Reconciliation of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(Gains)/losses on asset sales and asset impairments, net (Note 6,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Equity-indexed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expense/(benefit)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 on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(Gain)/loss on foreign currency revaluation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Settlement of terminated interest rate hedging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of Preferred Distribution Rate Reset Option (Note 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 in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on earnings from unconsolidated entities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(Gains)/losses on investments in unconsolidated entities, net (Note 7,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assets and liabilities, net of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receivable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accounts payable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in connection with acquisitions, net of cash acquired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unconsolidated entities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property, equipment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purchases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sales of assets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received from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borrowings/(repayments) under commercial paper program (Note 10)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repayments under senior secured hedged inventory facility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of GO Zone term loans (Note 10)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senior notes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 of common units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Series A preferred unitholders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Series B preferred unitholders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common unitholders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paid to noncontrolling interests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translation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increase/(decrease) in cash and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net of amounts refunded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Pr>
          <w:t>Index to Financial Statement</w:t>
        </w:r>
      </w:hyperlink>
      <w:hyperlink w:anchor="ib7291d9967f54b31a826c503fcfee0b8_154">
        <w:r>
          <w:rPr>
            <w:rStyle w:val="InternetLink"/>
          </w:rPr>
          <w: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7"/>
        <w:gridCol w:w="489"/>
        <w:gridCol w:w="492"/>
        <w:gridCol w:w="211"/>
        <w:gridCol w:w="616"/>
        <w:gridCol w:w="109"/>
        <w:gridCol w:w="109"/>
        <w:gridCol w:w="109"/>
        <w:gridCol w:w="109"/>
        <w:gridCol w:w="211"/>
        <w:gridCol w:w="466"/>
        <w:gridCol w:w="109"/>
        <w:gridCol w:w="109"/>
        <w:gridCol w:w="109"/>
        <w:gridCol w:w="109"/>
        <w:gridCol w:w="234"/>
        <w:gridCol w:w="685"/>
        <w:gridCol w:w="122"/>
        <w:gridCol w:w="109"/>
        <w:gridCol w:w="109"/>
        <w:gridCol w:w="109"/>
        <w:gridCol w:w="319"/>
        <w:gridCol w:w="1092"/>
        <w:gridCol w:w="166"/>
        <w:gridCol w:w="109"/>
        <w:gridCol w:w="109"/>
        <w:gridCol w:w="109"/>
        <w:gridCol w:w="270"/>
        <w:gridCol w:w="790"/>
        <w:gridCol w:w="141"/>
        <w:gridCol w:w="109"/>
        <w:gridCol w:w="109"/>
        <w:gridCol w:w="109"/>
        <w:gridCol w:w="211"/>
        <w:gridCol w:w="721"/>
        <w:gridCol w:w="159"/>
      </w:tblGrid>
      <w:tr>
        <w:trPr/>
        <w:tc>
          <w:tcPr>
            <w:tcW w:w="9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Contributions from noncontrolling interests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 joint venture formation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 joint venture formation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 transaction (Note 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Contributions from noncontrolling interests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19 for further discussion of our operating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non-economic general partner interest is held by PAA GP LLC (“PAA GP”), a Delaware limited liability company, whose sole member is Plains AAP, L.P. (“AAP”), a Delaware limited partnership. In addition to its ownership of PAA GP, as of December 31, 2023, AAP also owned a limited partner interest in us through its ownership of approximately 232.7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December 31, 2023, owned an approximate 84% limited partner interest in AAP. PAA GP Holdings LLC (“PAGP GP”) is the general partner of PAGP.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to the “PAGP Entities” include PAGP GP, PAGP, GP LLC, AAP and PAA GP. References to our “general partner,” as the context requires, include any or all of the PAGP Entities. References to the “Plains Entities” include us, our subsidiaries and the PAGP Entities.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the following notes and shall have the meanings indicated below:</w:t>
      </w:r>
    </w:p>
    <w:p>
      <w:pPr>
        <w:pStyle w:val="TextBody"/>
        <w:bidi w:val="0"/>
        <w:spacing w:before="0" w:after="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limited partnership</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and related notes present and discuss our consolidated financial position as of December 31, 2023 and 2022, and the consolidated results of our operations, cash flows, changes in partners’ capital, comprehensive income and changes in accumulated other comprehensive income/(loss) for the years ended December 31, 2023, 2022 and 2021. All significant intercompany balances and transactions have been eliminated in consolidation, and certain reclassifications have been made to information from previous years to conform to the current presentation.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Purchases and Related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Field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Transactions/Translation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2023, 2022 and 2021, the revaluation of foreign currency transactions and monetary assets and liabilities resulted in the recognition of a net loss of $8 million, a net loss of $41 million and a net gain of $7 million, respectively,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our policy, unless they may be covered by funds on deposit, outstanding checks are classified as trade accounts payable rather than negative cash. As of December 31, 2023 and 2022, trade accounts payable included $26 million and $25 million, respectively, of outstanding checks that were reclassified from cash and cash equivalents.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Noncontrolling Interests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2023, 2022 and 2021 (in millions):</w:t>
      </w:r>
    </w:p>
    <w:p>
      <w:pPr>
        <w:pStyle w:val="TextBody"/>
        <w:bidi w:val="0"/>
        <w:spacing w:before="0" w:after="0"/>
        <w:jc w:val="left"/>
        <w:rPr/>
      </w:pPr>
      <w:r>
        <w:rPr/>
      </w:r>
    </w:p>
    <w:tbl>
      <w:tblPr>
        <w:tblW w:w="5907" w:type="dxa"/>
        <w:jc w:val="center"/>
        <w:tblInd w:w="0" w:type="dxa"/>
        <w:tblLayout w:type="fixed"/>
        <w:tblCellMar>
          <w:top w:w="28" w:type="dxa"/>
          <w:left w:w="28" w:type="dxa"/>
          <w:bottom w:w="28" w:type="dxa"/>
          <w:right w:w="28" w:type="dxa"/>
        </w:tblCellMar>
      </w:tblPr>
      <w:tblGrid>
        <w:gridCol w:w="1033"/>
        <w:gridCol w:w="906"/>
        <w:gridCol w:w="911"/>
        <w:gridCol w:w="211"/>
        <w:gridCol w:w="466"/>
        <w:gridCol w:w="109"/>
        <w:gridCol w:w="109"/>
        <w:gridCol w:w="109"/>
        <w:gridCol w:w="109"/>
        <w:gridCol w:w="211"/>
        <w:gridCol w:w="466"/>
        <w:gridCol w:w="109"/>
        <w:gridCol w:w="109"/>
        <w:gridCol w:w="109"/>
        <w:gridCol w:w="109"/>
        <w:gridCol w:w="211"/>
        <w:gridCol w:w="46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settled </w:t>
            </w:r>
            <w:r>
              <w:rPr>
                <w:rFonts w:ascii="Times New Roman;sans-serif" w:hAnsi="Times New Roman;sans-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63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2022 amount primarily relates to the transfer of liabilities to the third party purchaser associated with the sale of Line 901 and the Sisquoc to Pentland portion of Line 903 pipeline. See Note 7 and Note 18 for additional information.</w:t>
      </w:r>
    </w:p>
    <w:p>
      <w:pPr>
        <w:pStyle w:val="TextBody"/>
        <w:bidi w:val="0"/>
        <w:spacing w:before="60" w:after="283"/>
        <w:ind w:left="0" w:right="0" w:hanging="27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Significant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respective footnotes for our accounting policies regarding (i) revenues and accounts receivable, (ii) net income per common unit, (iii) inventory, linefill and long-term inventory, (iv) property and equipment, (v) acquisitions, (vi) investments in unconsolidated entities, (vii) intangible assets, (viii) income allocation for partners’ capital presentation purposes, (ix) derivatives and risk management activities, (x) leases, (xi) income taxes, (xii) equity-indexed compensation and (xiii) legal and environmental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intend to provide the required disclosures prospectively for annual periods beginning after December 15,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intend to provide the required disclosures beginning with our annual report for the year ended December 31,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 (Subtopic 805-60): Recognition and Initial Measurement</w:t>
      </w:r>
      <w:r>
        <w:rPr>
          <w:rFonts w:ascii="Times New Roman;sans-serif" w:hAnsi="Times New Roman;sans-serif"/>
          <w:b w:val="false"/>
          <w:color w:val="000000"/>
          <w:sz w:val="20"/>
        </w:rPr>
        <w:t>, which requires a newly-formed joint venture to apply a new basis of accounting 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intend to adopt this guidance for joint venture formations on January 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This guidance requires that an acquirer recognize and measure 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our adoption did not have a material impact on our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GAAP to contracts, hedging relationships and other transactions that reference LIBOR or another reference rate expected to be discontinued because of reference rate reform. This guidance was effective prospectively upon issuance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color w:val="000000"/>
        </w:rPr>
        <w:t xml:space="preserve"> </w:t>
      </w:r>
      <w:r>
        <w:rPr>
          <w:rFonts w:ascii="Times New Roman;sans-serif" w:hAnsi="Times New Roman;sans-serif"/>
          <w:b w:val="false"/>
          <w:color w:val="000000"/>
          <w:sz w:val="20"/>
        </w:rPr>
        <w:t xml:space="preserve">which defers the sunset date of Topic 848 from December 31, 2022 to December 31, 2024. We will continue to apply applicable expedients and exceptions to contract modifications through December 31, 2024, as applicable.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revenues by segment and type of activity. These categories depict how the nature, amount, timing and uncertainty of revenues and cash flows are affected by economic factors.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Revenues from Contracts with Customers.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9161" w:type="dxa"/>
        <w:jc w:val="center"/>
        <w:tblInd w:w="0" w:type="dxa"/>
        <w:tblLayout w:type="fixed"/>
        <w:tblCellMar>
          <w:top w:w="28" w:type="dxa"/>
          <w:left w:w="28" w:type="dxa"/>
          <w:bottom w:w="28" w:type="dxa"/>
          <w:right w:w="28" w:type="dxa"/>
        </w:tblCellMar>
      </w:tblPr>
      <w:tblGrid>
        <w:gridCol w:w="1931"/>
        <w:gridCol w:w="1701"/>
        <w:gridCol w:w="1707"/>
        <w:gridCol w:w="211"/>
        <w:gridCol w:w="721"/>
        <w:gridCol w:w="109"/>
        <w:gridCol w:w="109"/>
        <w:gridCol w:w="109"/>
        <w:gridCol w:w="109"/>
        <w:gridCol w:w="211"/>
        <w:gridCol w:w="721"/>
        <w:gridCol w:w="10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41" w:type="dxa"/>
        <w:jc w:val="center"/>
        <w:tblInd w:w="0" w:type="dxa"/>
        <w:tblLayout w:type="fixed"/>
        <w:tblCellMar>
          <w:top w:w="28" w:type="dxa"/>
          <w:left w:w="28" w:type="dxa"/>
          <w:bottom w:w="28" w:type="dxa"/>
          <w:right w:w="28" w:type="dxa"/>
        </w:tblCellMar>
      </w:tblPr>
      <w:tblGrid>
        <w:gridCol w:w="1785"/>
        <w:gridCol w:w="1572"/>
        <w:gridCol w:w="1577"/>
        <w:gridCol w:w="211"/>
        <w:gridCol w:w="616"/>
        <w:gridCol w:w="109"/>
        <w:gridCol w:w="109"/>
        <w:gridCol w:w="109"/>
        <w:gridCol w:w="109"/>
        <w:gridCol w:w="211"/>
        <w:gridCol w:w="61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Sales Revenues.</w:t>
      </w:r>
      <w:r>
        <w:rPr>
          <w:color w:val="000000"/>
        </w:rPr>
        <w:t xml:space="preserve"> </w:t>
      </w:r>
      <w:r>
        <w:rPr>
          <w:rFonts w:ascii="Times New Roman;sans-serif" w:hAnsi="Times New Roman;sans-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Transportation Revenues.</w:t>
      </w:r>
      <w:r>
        <w:rPr>
          <w:color w:val="000000"/>
        </w:rPr>
        <w:t xml:space="preserve"> </w:t>
      </w:r>
      <w:r>
        <w:rPr>
          <w:rFonts w:ascii="Times New Roman;sans-serif" w:hAnsi="Times New Roman;sans-serif"/>
          <w:b w:val="false"/>
          <w:color w:val="000000"/>
          <w:sz w:val="20"/>
        </w:rPr>
        <w:t xml:space="preserve">Transportation revenues include revenues from transporting crude oil and NGL on pipelines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Terminalling, Storage and Other Revenues.</w:t>
      </w:r>
      <w:r>
        <w:rPr>
          <w:color w:val="000000"/>
        </w:rPr>
        <w:t xml:space="preserve"> </w:t>
      </w:r>
      <w:r>
        <w:rPr>
          <w:rFonts w:ascii="Times New Roman;sans-serif" w:hAnsi="Times New Roman;sans-serif"/>
          <w:b w:val="false"/>
          <w:color w:val="000000"/>
          <w:sz w:val="20"/>
        </w:rPr>
        <w:t xml:space="preserve">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Reconciliation to Total Revenues of Reportable Segments.</w:t>
      </w:r>
      <w:r>
        <w:rPr>
          <w:color w:val="000000"/>
        </w:rPr>
        <w:t xml:space="preserve">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pStyle w:val="TextBody"/>
        <w:bidi w:val="0"/>
        <w:spacing w:before="0" w:after="0"/>
        <w:ind w:left="0" w:right="0" w:firstLine="720"/>
        <w:jc w:val="left"/>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jc w:val="left"/>
        <w:rPr/>
      </w:pPr>
      <w:r>
        <w:rPr/>
      </w:r>
    </w:p>
    <w:tbl>
      <w:tblPr>
        <w:tblW w:w="7081"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11"/>
        <w:gridCol w:w="361"/>
        <w:gridCol w:w="109"/>
        <w:gridCol w:w="109"/>
        <w:gridCol w:w="109"/>
        <w:gridCol w:w="109"/>
        <w:gridCol w:w="211"/>
        <w:gridCol w:w="46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jc w:val="left"/>
        <w:rPr/>
      </w:pPr>
      <w:r>
        <w:rPr/>
      </w:r>
    </w:p>
    <w:tbl>
      <w:tblPr>
        <w:tblW w:w="4259" w:type="dxa"/>
        <w:jc w:val="center"/>
        <w:tblInd w:w="0" w:type="dxa"/>
        <w:tblLayout w:type="fixed"/>
        <w:tblCellMar>
          <w:top w:w="28" w:type="dxa"/>
          <w:left w:w="28" w:type="dxa"/>
          <w:bottom w:w="28" w:type="dxa"/>
          <w:right w:w="28" w:type="dxa"/>
        </w:tblCellMar>
      </w:tblPr>
      <w:tblGrid>
        <w:gridCol w:w="977"/>
        <w:gridCol w:w="859"/>
        <w:gridCol w:w="864"/>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Additions </w:t>
            </w:r>
            <w:r>
              <w:rPr>
                <w:rFonts w:ascii="Times New Roman;sans-serif" w:hAnsi="Times New Roman;sans-serif"/>
                <w:b w:val="false"/>
                <w:color w:val="000000"/>
                <w:sz w:val="13"/>
              </w:rPr>
              <w:t>(1)</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2023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52"/>
        <w:gridCol w:w="1094"/>
        <w:gridCol w:w="109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303"/>
        <w:gridCol w:w="670"/>
        <w:gridCol w:w="224"/>
      </w:tblGrid>
      <w:tr>
        <w:trPr/>
        <w:tc>
          <w:tcPr>
            <w:tcW w:w="125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Calculated as volumes committed under contracts multiplied by the current applicable tariff rate.</w:t>
      </w:r>
    </w:p>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 as discussed below;</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Trade Accounts Receivable and Other Receivables,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2023 and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Consolidated Balance Sheets (in millions):</w:t>
      </w:r>
    </w:p>
    <w:tbl>
      <w:tblPr>
        <w:tblW w:w="8723"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11"/>
        <w:gridCol w:w="616"/>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4—Net Income Per Common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After consideration of distributions to preferred unitholders,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for additional information regarding our Series A preferred units. See Note 17 for a complete discussion of our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the years ended December 31, 2023, 2022 and 2021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year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8636" w:type="dxa"/>
        <w:jc w:val="center"/>
        <w:tblInd w:w="0" w:type="dxa"/>
        <w:tblLayout w:type="fixed"/>
        <w:tblCellMar>
          <w:top w:w="28" w:type="dxa"/>
          <w:left w:w="28" w:type="dxa"/>
          <w:bottom w:w="28" w:type="dxa"/>
          <w:right w:w="28" w:type="dxa"/>
        </w:tblCellMar>
      </w:tblPr>
      <w:tblGrid>
        <w:gridCol w:w="1894"/>
        <w:gridCol w:w="1667"/>
        <w:gridCol w:w="1673"/>
        <w:gridCol w:w="211"/>
        <w:gridCol w:w="616"/>
        <w:gridCol w:w="109"/>
        <w:gridCol w:w="109"/>
        <w:gridCol w:w="109"/>
        <w:gridCol w:w="109"/>
        <w:gridCol w:w="211"/>
        <w:gridCol w:w="616"/>
        <w:gridCol w:w="109"/>
        <w:gridCol w:w="109"/>
        <w:gridCol w:w="109"/>
        <w:gridCol w:w="109"/>
        <w:gridCol w:w="211"/>
        <w:gridCol w:w="511"/>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Series A preferred unitholders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allocated to participating securities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5—Inventory, Linefill and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2023, 2022 or 2021.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2023, 2022 and 2021, we did not recognize any material impairments of linefill.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is stated at cost and consisted of the following (in millions):</w:t>
      </w:r>
    </w:p>
    <w:p>
      <w:pPr>
        <w:pStyle w:val="TextBody"/>
        <w:bidi w:val="0"/>
        <w:spacing w:before="0" w:after="0"/>
        <w:jc w:val="left"/>
        <w:rPr/>
      </w:pPr>
      <w:r>
        <w:rPr/>
      </w:r>
    </w:p>
    <w:tbl>
      <w:tblPr>
        <w:tblW w:w="9157" w:type="dxa"/>
        <w:jc w:val="center"/>
        <w:tblInd w:w="0" w:type="dxa"/>
        <w:tblLayout w:type="fixed"/>
        <w:tblCellMar>
          <w:top w:w="28" w:type="dxa"/>
          <w:left w:w="28" w:type="dxa"/>
          <w:bottom w:w="28" w:type="dxa"/>
          <w:right w:w="28" w:type="dxa"/>
        </w:tblCellMar>
      </w:tblPr>
      <w:tblGrid>
        <w:gridCol w:w="1830"/>
        <w:gridCol w:w="1606"/>
        <w:gridCol w:w="1619"/>
        <w:gridCol w:w="440"/>
        <w:gridCol w:w="440"/>
        <w:gridCol w:w="441"/>
        <w:gridCol w:w="109"/>
        <w:gridCol w:w="109"/>
        <w:gridCol w:w="109"/>
        <w:gridCol w:w="211"/>
        <w:gridCol w:w="721"/>
        <w:gridCol w:w="109"/>
        <w:gridCol w:w="109"/>
        <w:gridCol w:w="109"/>
        <w:gridCol w:w="109"/>
        <w:gridCol w:w="211"/>
        <w:gridCol w:w="72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Useful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pipeline systems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storage and terminal facilities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storage, terminal, fractionation and processing facilities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systems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 property and equipment and rolling stock</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other</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 gross</w:t>
            </w:r>
            <w:r>
              <w:rPr>
                <w:color w:val="000000"/>
              </w:rPr>
              <w:t xml:space="preserve"> </w:t>
            </w:r>
            <w:r>
              <w:rPr>
                <w:rFonts w:ascii="Times New Roman;sans-serif" w:hAnsi="Times New Roman;sans-serif"/>
                <w:b w:val="false"/>
                <w:color w:val="000000"/>
                <w:sz w:val="13"/>
              </w:rPr>
              <w:t>(1)</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our depreciation using the straight-line method, based on estimated useful lives and salvage values of our assets. Depreciation expense for the years ended December 31, 2023, 2022 and 2021 was $733 million, $707 million and $652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2022 and 2021, we incurred liabilities of $55 million, $46 million and $48 million, respectively, for construction in progress that had not been paid.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 (Held and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there is an indication of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recognize any material impairments during the year ended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7—Acquisitions, Divestitures and Other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Rattler Permian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“Gains/(losses) on investments in unconsolidated entities, net” on our Consolidated Statement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$4 million during the year ended December 31, 2023, and the future amortization expense through 2028 is estimated as follows (in millions):</w:t>
      </w:r>
    </w:p>
    <w:p>
      <w:pPr>
        <w:pStyle w:val="TextBody"/>
        <w:bidi w:val="0"/>
        <w:spacing w:before="0" w:after="0"/>
        <w:ind w:left="0" w:right="0" w:firstLine="72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Cactus II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“Gains/(losses)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pStyle w:val="TextBody"/>
        <w:bidi w:val="0"/>
        <w:spacing w:before="0" w:after="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$61 million and $13 million during the years ended December 31, 2023 and 2022, respectively, and the future amortization expense through 2027 is estimated as follows (in millions):</w:t>
      </w:r>
    </w:p>
    <w:p>
      <w:pPr>
        <w:pStyle w:val="TextBody"/>
        <w:bidi w:val="0"/>
        <w:spacing w:before="0" w:after="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also completed the following acquisitions: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the noncontrolling interest recognized and the fair value of Oryx Midstream’s assets acquired and liabilities assumed was recorded as an increase to our partners’ capital excluding noncontrolling interests.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amounts recognized in partners’ capital associated with this transaction (in millions):</w:t>
      </w:r>
    </w:p>
    <w:p>
      <w:pPr>
        <w:pStyle w:val="TextBody"/>
        <w:bidi w:val="0"/>
        <w:spacing w:before="0" w:after="0"/>
        <w:jc w:val="center"/>
        <w:rPr/>
      </w:pPr>
      <w:r>
        <w:rPr/>
      </w:r>
    </w:p>
    <w:tbl>
      <w:tblPr>
        <w:tblW w:w="6920" w:type="dxa"/>
        <w:jc w:val="center"/>
        <w:tblInd w:w="0" w:type="dxa"/>
        <w:tblLayout w:type="fixed"/>
        <w:tblCellMar>
          <w:top w:w="28" w:type="dxa"/>
          <w:left w:w="28" w:type="dxa"/>
          <w:bottom w:w="28" w:type="dxa"/>
          <w:right w:w="28" w:type="dxa"/>
        </w:tblCellMar>
      </w:tblPr>
      <w:tblGrid>
        <w:gridCol w:w="1569"/>
        <w:gridCol w:w="1381"/>
        <w:gridCol w:w="1384"/>
        <w:gridCol w:w="109"/>
        <w:gridCol w:w="109"/>
        <w:gridCol w:w="109"/>
        <w:gridCol w:w="109"/>
        <w:gridCol w:w="109"/>
        <w:gridCol w:w="109"/>
        <w:gridCol w:w="109"/>
        <w:gridCol w:w="109"/>
        <w:gridCol w:w="109"/>
        <w:gridCol w:w="345"/>
        <w:gridCol w:w="1008"/>
        <w:gridCol w:w="252"/>
      </w:tblGrid>
      <w:tr>
        <w:trPr/>
        <w:tc>
          <w:tcPr>
            <w:tcW w:w="156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excluding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12%,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pStyle w:val="TextBody"/>
        <w:bidi w:val="0"/>
        <w:spacing w:before="0" w:after="0"/>
        <w:ind w:left="0" w:right="0" w:firstLine="720"/>
        <w:jc w:val="left"/>
        <w:rPr/>
      </w:pPr>
      <w:r>
        <w:rPr/>
      </w:r>
    </w:p>
    <w:tbl>
      <w:tblPr>
        <w:tblW w:w="7972" w:type="dxa"/>
        <w:jc w:val="center"/>
        <w:tblInd w:w="0" w:type="dxa"/>
        <w:tblLayout w:type="fixed"/>
        <w:tblCellMar>
          <w:top w:w="28" w:type="dxa"/>
          <w:left w:w="28" w:type="dxa"/>
          <w:bottom w:w="28" w:type="dxa"/>
          <w:right w:w="28" w:type="dxa"/>
        </w:tblCellMar>
      </w:tblPr>
      <w:tblGrid>
        <w:gridCol w:w="1421"/>
        <w:gridCol w:w="1250"/>
        <w:gridCol w:w="1258"/>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$138 million, $142 million and $28 million during the years ended December 31, 2023, 2022 and 2021, respectively, and the future amortization expense through 2026 is estimated as follows (in millions):</w:t>
      </w:r>
    </w:p>
    <w:p>
      <w:pPr>
        <w:pStyle w:val="TextBody"/>
        <w:bidi w:val="0"/>
        <w:spacing w:before="0" w:after="0"/>
        <w:jc w:val="left"/>
        <w:rPr/>
      </w:pPr>
      <w:r>
        <w:rPr/>
      </w:r>
    </w:p>
    <w:tbl>
      <w:tblPr>
        <w:tblW w:w="2353"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of available cash from the Permian JV to us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us.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MSA, distributions will be allocated as follows (in millions):</w:t>
      </w:r>
    </w:p>
    <w:p>
      <w:pPr>
        <w:pStyle w:val="TextBody"/>
        <w:bidi w:val="0"/>
        <w:spacing w:before="0" w:after="0"/>
        <w:ind w:left="0" w:right="0" w:firstLine="720"/>
        <w:jc w:val="left"/>
        <w:rPr/>
      </w:pPr>
      <w:r>
        <w:rPr/>
      </w:r>
    </w:p>
    <w:tbl>
      <w:tblPr>
        <w:tblW w:w="4551" w:type="dxa"/>
        <w:jc w:val="center"/>
        <w:tblInd w:w="0" w:type="dxa"/>
        <w:tblLayout w:type="fixed"/>
        <w:tblCellMar>
          <w:top w:w="28" w:type="dxa"/>
          <w:left w:w="28" w:type="dxa"/>
          <w:bottom w:w="28" w:type="dxa"/>
          <w:right w:w="28" w:type="dxa"/>
        </w:tblCellMar>
      </w:tblPr>
      <w:tblGrid>
        <w:gridCol w:w="179"/>
        <w:gridCol w:w="158"/>
        <w:gridCol w:w="159"/>
        <w:gridCol w:w="109"/>
        <w:gridCol w:w="109"/>
        <w:gridCol w:w="109"/>
        <w:gridCol w:w="469"/>
        <w:gridCol w:w="469"/>
        <w:gridCol w:w="471"/>
        <w:gridCol w:w="109"/>
        <w:gridCol w:w="109"/>
        <w:gridCol w:w="109"/>
        <w:gridCol w:w="210"/>
        <w:gridCol w:w="210"/>
        <w:gridCol w:w="210"/>
        <w:gridCol w:w="210"/>
        <w:gridCol w:w="210"/>
        <w:gridCol w:w="210"/>
        <w:gridCol w:w="210"/>
        <w:gridCol w:w="210"/>
        <w:gridCol w:w="31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Available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Percentages</w:t>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Annualized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PAA</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Oryx</w:t>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Up to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 $428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$428 - $815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 is a portfolio company of Stonepeak Infrastructure Partners (“Stonepeak”). Affiliates of Stonepeak own approximately 8.9% of our outstanding Series A preferred units, which equates to less than 1% of our outstanding common units and Series A preferred units (our “common unit equivalents”) combined.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and Other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PAA and Oryx Midstream, and gives effect to the joint venture formation as if it had occurred on January 1, 2021.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2021; furthermore, this financial information is not intended to be a projection of future results (in millions, except per unit amounts):</w:t>
      </w:r>
    </w:p>
    <w:p>
      <w:pPr>
        <w:pStyle w:val="TextBody"/>
        <w:bidi w:val="0"/>
        <w:spacing w:before="0" w:after="0"/>
        <w:jc w:val="left"/>
        <w:rPr/>
      </w:pPr>
      <w:r>
        <w:rPr/>
      </w:r>
    </w:p>
    <w:tbl>
      <w:tblPr>
        <w:tblW w:w="5460" w:type="dxa"/>
        <w:jc w:val="center"/>
        <w:tblInd w:w="0" w:type="dxa"/>
        <w:tblLayout w:type="fixed"/>
        <w:tblCellMar>
          <w:top w:w="28" w:type="dxa"/>
          <w:left w:w="28" w:type="dxa"/>
          <w:bottom w:w="28" w:type="dxa"/>
          <w:right w:w="28" w:type="dxa"/>
        </w:tblCellMar>
      </w:tblPr>
      <w:tblGrid>
        <w:gridCol w:w="1416"/>
        <w:gridCol w:w="1247"/>
        <w:gridCol w:w="1252"/>
        <w:gridCol w:w="300"/>
        <w:gridCol w:w="1026"/>
        <w:gridCol w:w="219"/>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and asset impairments, net” on our Consolidated Statement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8—Investments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consisted of the following (in millions, except percentage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63"/>
        <w:gridCol w:w="1019"/>
        <w:gridCol w:w="1036"/>
        <w:gridCol w:w="109"/>
        <w:gridCol w:w="109"/>
        <w:gridCol w:w="109"/>
        <w:gridCol w:w="709"/>
        <w:gridCol w:w="709"/>
        <w:gridCol w:w="711"/>
        <w:gridCol w:w="109"/>
        <w:gridCol w:w="109"/>
        <w:gridCol w:w="109"/>
        <w:gridCol w:w="509"/>
        <w:gridCol w:w="509"/>
        <w:gridCol w:w="511"/>
        <w:gridCol w:w="109"/>
        <w:gridCol w:w="109"/>
        <w:gridCol w:w="109"/>
        <w:gridCol w:w="211"/>
        <w:gridCol w:w="616"/>
        <w:gridCol w:w="109"/>
        <w:gridCol w:w="109"/>
        <w:gridCol w:w="109"/>
        <w:gridCol w:w="109"/>
        <w:gridCol w:w="211"/>
        <w:gridCol w:w="616"/>
        <w:gridCol w:w="158"/>
      </w:tblGrid>
      <w:tr>
        <w:trPr/>
        <w:tc>
          <w:tcPr>
            <w:tcW w:w="12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 at 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Balance</w:t>
              <w:br/>
              <w:t>December 31,</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Entity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 (“BridgeTex”)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 (“Capline”)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Terminal and Dock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OMOG JV LLC (“OMOG”)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Wink to Webster Pipeline LLC (“W2W Pipeline”)</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financial results from these entities are reported in our Crude Oil segment.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 the third quarter of 2023, we acquired the remaining 43% interest in OMOG. We now reflect OMOG and its subsidiaries as consolidated subsidiaries in our Consolidated Financial Statements. See Note 7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Although we own less than 20% of W2W Pipeline, we use the equity method to account for the investment because we believe we have significant influence over the financial and operating decisions of the company.</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represents the difference between the fair value and historical book value of the assets contributed. This loss is reflected in “Gains/(losses)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acquired the remaining 50% interest in Advantage. Prior to the acquisition, our 50% interest in Advantage was accounted for as an equity method investment. See Note 7 for additional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fund our portion of development, construction or capital investment projects of our equity method investees through capital contributions. During the years ended December 31, 2023, 2022 and 2021, we made cash contributions of $29 million, $13 million and $82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Differences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exceeded our share of the underlying equity in the net assets of such entities by $229 million and $204 million at December 31, 2023 and 2022,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2023 and 2022 was attributable to goodwill related to our ownership interest in BridgeTex and Capline with the remaining basis difference primarily related to capitalized interest incurred during construction of the assets of our unconsolidated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Summarized Financial Information of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Combined summarized financial information for all of our unconsolidated entities is shown in the tables below (in millions). None of our unconsolidated entities have noncontrolling interests.</w:t>
      </w:r>
    </w:p>
    <w:p>
      <w:pPr>
        <w:pStyle w:val="TextBody"/>
        <w:bidi w:val="0"/>
        <w:spacing w:before="0" w:after="0"/>
        <w:ind w:left="0" w:right="0" w:firstLine="720"/>
        <w:jc w:val="left"/>
        <w:rPr/>
      </w:pPr>
      <w:r>
        <w:rPr/>
      </w:r>
    </w:p>
    <w:tbl>
      <w:tblPr>
        <w:tblW w:w="4103" w:type="dxa"/>
        <w:jc w:val="center"/>
        <w:tblInd w:w="0" w:type="dxa"/>
        <w:tblLayout w:type="fixed"/>
        <w:tblCellMar>
          <w:top w:w="28" w:type="dxa"/>
          <w:left w:w="28" w:type="dxa"/>
          <w:bottom w:w="28" w:type="dxa"/>
          <w:right w:w="28" w:type="dxa"/>
        </w:tblCellMar>
      </w:tblPr>
      <w:tblGrid>
        <w:gridCol w:w="672"/>
        <w:gridCol w:w="591"/>
        <w:gridCol w:w="596"/>
        <w:gridCol w:w="211"/>
        <w:gridCol w:w="616"/>
        <w:gridCol w:w="109"/>
        <w:gridCol w:w="109"/>
        <w:gridCol w:w="109"/>
        <w:gridCol w:w="109"/>
        <w:gridCol w:w="211"/>
        <w:gridCol w:w="61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082" w:type="dxa"/>
        <w:jc w:val="center"/>
        <w:tblInd w:w="0" w:type="dxa"/>
        <w:tblLayout w:type="fixed"/>
        <w:tblCellMar>
          <w:top w:w="28" w:type="dxa"/>
          <w:left w:w="28" w:type="dxa"/>
          <w:bottom w:w="28" w:type="dxa"/>
          <w:right w:w="28" w:type="dxa"/>
        </w:tblCellMar>
      </w:tblPr>
      <w:tblGrid>
        <w:gridCol w:w="570"/>
        <w:gridCol w:w="499"/>
        <w:gridCol w:w="506"/>
        <w:gridCol w:w="211"/>
        <w:gridCol w:w="616"/>
        <w:gridCol w:w="109"/>
        <w:gridCol w:w="109"/>
        <w:gridCol w:w="109"/>
        <w:gridCol w:w="109"/>
        <w:gridCol w:w="211"/>
        <w:gridCol w:w="616"/>
        <w:gridCol w:w="109"/>
        <w:gridCol w:w="109"/>
        <w:gridCol w:w="109"/>
        <w:gridCol w:w="109"/>
        <w:gridCol w:w="211"/>
        <w:gridCol w:w="61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9—Intangible Assets,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consisted of the following (in millions):</w:t>
      </w:r>
    </w:p>
    <w:p>
      <w:pPr>
        <w:pStyle w:val="TextBody"/>
        <w:bidi w:val="0"/>
        <w:spacing w:before="0" w:after="0"/>
        <w:ind w:left="0" w:right="0" w:firstLine="720"/>
        <w:jc w:val="left"/>
        <w:rPr/>
      </w:pPr>
      <w:r>
        <w:rPr/>
      </w:r>
    </w:p>
    <w:tbl>
      <w:tblPr>
        <w:tblW w:w="10270" w:type="dxa"/>
        <w:jc w:val="center"/>
        <w:tblInd w:w="0" w:type="dxa"/>
        <w:tblLayout w:type="fixed"/>
        <w:tblCellMar>
          <w:top w:w="28" w:type="dxa"/>
          <w:left w:w="28" w:type="dxa"/>
          <w:bottom w:w="28" w:type="dxa"/>
          <w:right w:w="28" w:type="dxa"/>
        </w:tblCellMar>
      </w:tblPr>
      <w:tblGrid>
        <w:gridCol w:w="404"/>
        <w:gridCol w:w="315"/>
        <w:gridCol w:w="317"/>
        <w:gridCol w:w="440"/>
        <w:gridCol w:w="440"/>
        <w:gridCol w:w="441"/>
        <w:gridCol w:w="109"/>
        <w:gridCol w:w="109"/>
        <w:gridCol w:w="109"/>
        <w:gridCol w:w="211"/>
        <w:gridCol w:w="616"/>
        <w:gridCol w:w="109"/>
        <w:gridCol w:w="109"/>
        <w:gridCol w:w="109"/>
        <w:gridCol w:w="109"/>
        <w:gridCol w:w="284"/>
        <w:gridCol w:w="649"/>
        <w:gridCol w:w="148"/>
        <w:gridCol w:w="109"/>
        <w:gridCol w:w="109"/>
        <w:gridCol w:w="109"/>
        <w:gridCol w:w="211"/>
        <w:gridCol w:w="616"/>
        <w:gridCol w:w="109"/>
        <w:gridCol w:w="109"/>
        <w:gridCol w:w="109"/>
        <w:gridCol w:w="109"/>
        <w:gridCol w:w="211"/>
        <w:gridCol w:w="616"/>
        <w:gridCol w:w="109"/>
        <w:gridCol w:w="109"/>
        <w:gridCol w:w="109"/>
        <w:gridCol w:w="109"/>
        <w:gridCol w:w="284"/>
        <w:gridCol w:w="649"/>
        <w:gridCol w:w="148"/>
        <w:gridCol w:w="109"/>
        <w:gridCol w:w="109"/>
        <w:gridCol w:w="109"/>
        <w:gridCol w:w="211"/>
        <w:gridCol w:w="61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relationships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agreements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Intangible assets </w:t>
            </w:r>
            <w:r>
              <w:rPr>
                <w:rFonts w:ascii="Times New Roman;sans-serif" w:hAnsi="Times New Roman;sans-serif"/>
                <w:b w:val="false"/>
                <w:color w:val="000000"/>
                <w:sz w:val="13"/>
              </w:rPr>
              <w:t>(1)</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 See Note 6 for a discussion of property and equipment.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that have finite lives are tested for impairment when events or circumstances indicate that the carrying value may not be recoverable. We did not recognize any impairments of finite-lived intangible assets during the three years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finite-lived intangible assets are amortized under the declining balance method. Amortization expense for finite-lived intangible assets for the years ended December 31, 2023, 2022 and 2021 was $308 million, $254 million and $122 million, respectively. We estimate that our amortization expense related to finite-lived intangible assets for the next five years will be as follows (in millions):</w:t>
      </w:r>
    </w:p>
    <w:p>
      <w:pPr>
        <w:pStyle w:val="TextBody"/>
        <w:bidi w:val="0"/>
        <w:spacing w:before="0" w:after="0"/>
        <w:jc w:val="left"/>
        <w:rPr/>
      </w:pPr>
      <w:r>
        <w:rPr/>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8847" w:type="dxa"/>
        <w:jc w:val="center"/>
        <w:tblInd w:w="0" w:type="dxa"/>
        <w:tblLayout w:type="fixed"/>
        <w:tblCellMar>
          <w:top w:w="28" w:type="dxa"/>
          <w:left w:w="28" w:type="dxa"/>
          <w:bottom w:w="28" w:type="dxa"/>
          <w:right w:w="28" w:type="dxa"/>
        </w:tblCellMar>
      </w:tblPr>
      <w:tblGrid>
        <w:gridCol w:w="2276"/>
        <w:gridCol w:w="2003"/>
        <w:gridCol w:w="2006"/>
        <w:gridCol w:w="247"/>
        <w:gridCol w:w="721"/>
        <w:gridCol w:w="127"/>
        <w:gridCol w:w="109"/>
        <w:gridCol w:w="109"/>
        <w:gridCol w:w="109"/>
        <w:gridCol w:w="245"/>
        <w:gridCol w:w="716"/>
        <w:gridCol w:w="179"/>
      </w:tblGrid>
      <w:tr>
        <w:trPr/>
        <w:tc>
          <w:tcPr>
            <w:tcW w:w="227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Commercial paper notes, bearing a weighted-average interest rate of 5.8% </w:t>
            </w:r>
            <w:r>
              <w:rPr>
                <w:rFonts w:ascii="Times New Roman;sans-serif" w:hAnsi="Times New Roman;sans-serif"/>
                <w:b w:val="false"/>
                <w:color w:val="000000"/>
                <w:sz w:val="13"/>
              </w:rPr>
              <w:t>(1)</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2.85% senior notes due January 2023</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3.60% senior notes due November 2024 </w:t>
            </w:r>
            <w:r>
              <w:rPr>
                <w:rFonts w:ascii="Times New Roman;sans-serif" w:hAnsi="Times New Roman;sans-serif"/>
                <w:b w:val="false"/>
                <w:color w:val="000000"/>
                <w:sz w:val="13"/>
              </w:rPr>
              <w:t>(2)</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4.65% senior notes due October 2025</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December 2026</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3.55% senior notes due December 2029</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3.80% senior notes due September 2030</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6.70% senior notes due May 2036</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6.65% senior notes due January 2037</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senior notes due June 2042</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4.30% senior notes due January 2043</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4.70% senior notes due June 2044</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senior notes due February 2045</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discounts and debt issuance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of unamortized discounts and debt issuance costs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(3)</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classified these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December 31, 2023, we classified our 3.60%, $750 million senior notes due November 2024 as long-term based on our ability and intent to refinance these notes on a long-term basis.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Our fixed-rate senior notes had a face value of approximately $7.3 billion and $8.4 billion at December 31, 2023 and 2022, respectively. We estimated the aggregate fair value of these notes to be approximately $6.9 billion and $7.6 billion at December 31, 2023 and 2022,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Commercial Paper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secured hedged inventory facility</w:t>
      </w:r>
      <w:r>
        <w:rPr>
          <w:rFonts w:ascii="Times New Roman;sans-serif" w:hAnsi="Times New Roman;sans-serif"/>
          <w:b w:val="false"/>
          <w:color w:val="000000"/>
          <w:sz w:val="20"/>
        </w:rPr>
        <w:t>. We have a credit agreement that provides for a senior secured hedged 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2023, we extended the maturity date of the facility to August 2026 for each existing lender.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unsecured revolving credit facility.</w:t>
      </w:r>
      <w:r>
        <w:rPr>
          <w:color w:val="000000"/>
        </w:rPr>
        <w:t xml:space="preserve"> </w:t>
      </w:r>
      <w:r>
        <w:rPr>
          <w:rFonts w:ascii="Times New Roman;sans-serif" w:hAnsi="Times New Roman;sans-serif"/>
          <w:b w:val="false"/>
          <w:color w:val="000000"/>
          <w:sz w:val="20"/>
        </w:rPr>
        <w:t>We have a credit agreement that provides for a senior unsecured 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2023, we extended the maturity date of the facility to August 2028 for each extending lender. The maturity date with respect to the non-extending lender (which represents a commitment of approximately $64 million out of total commitments of $1.35 billion from all lenders) remains August 2027.</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GO Zone term loans</w:t>
      </w:r>
      <w:r>
        <w:rPr>
          <w:rFonts w:ascii="Times New Roman;sans-serif" w:hAnsi="Times New Roman;sans-serif"/>
          <w:b w:val="false"/>
          <w:color w:val="000000"/>
          <w:sz w:val="20"/>
        </w:rPr>
        <w:t xml:space="preserve">. In August 2021, in connection with the sale of the Southern Pines natural gas storage facility, we repaid $200 million of term loans (the “Go Zone term loans”) that were initially assumed in connection with our acquisition of that facility. See Note 7 for additional information.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Senior Notes Repayments.</w:t>
      </w:r>
      <w:r>
        <w:rPr>
          <w:color w:val="000000"/>
        </w:rPr>
        <w:t> </w:t>
      </w:r>
      <w:r>
        <w:rPr>
          <w:rFonts w:ascii="Times New Roman;sans-serif" w:hAnsi="Times New Roman;sans-serif"/>
          <w:b w:val="false"/>
          <w:color w:val="000000"/>
          <w:sz w:val="20"/>
        </w:rPr>
        <w:t xml:space="preserve">During the three years ended December 31, 2023, we repaid the following senior unsecured notes in full (in millions): </w:t>
      </w:r>
    </w:p>
    <w:p>
      <w:pPr>
        <w:pStyle w:val="TextBody"/>
        <w:bidi w:val="0"/>
        <w:spacing w:before="0" w:after="0"/>
        <w:jc w:val="left"/>
        <w:rPr/>
      </w:pPr>
      <w:r>
        <w:rPr/>
      </w:r>
    </w:p>
    <w:tbl>
      <w:tblPr>
        <w:tblW w:w="7532"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435"/>
        <w:gridCol w:w="1435"/>
        <w:gridCol w:w="1449"/>
        <w:gridCol w:w="109"/>
        <w:gridCol w:w="109"/>
        <w:gridCol w:w="109"/>
        <w:gridCol w:w="439"/>
        <w:gridCol w:w="439"/>
        <w:gridCol w:w="44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3.65% Senior Notes due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repaid these senior notes with cash on hand and borrowings under our commercial paper program.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Maturities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maturity of our senior notes outstanding at December 31, 2023 was approximately 10 years. The following table presents the aggregate contractually scheduled maturities of such senior notes for the next five years and thereafter. The amounts presented exclude unamortized discounts and debt issuance costs.</w:t>
      </w:r>
    </w:p>
    <w:p>
      <w:pPr>
        <w:pStyle w:val="TextBody"/>
        <w:bidi w:val="0"/>
        <w:spacing w:before="0" w:after="0"/>
        <w:ind w:left="0" w:right="0" w:firstLine="720"/>
        <w:jc w:val="left"/>
        <w:rPr/>
      </w:pPr>
      <w:r>
        <w:rPr/>
      </w:r>
    </w:p>
    <w:tbl>
      <w:tblPr>
        <w:tblW w:w="2532" w:type="dxa"/>
        <w:jc w:val="center"/>
        <w:tblInd w:w="0" w:type="dxa"/>
        <w:tblLayout w:type="fixed"/>
        <w:tblCellMar>
          <w:top w:w="28" w:type="dxa"/>
          <w:left w:w="28" w:type="dxa"/>
          <w:bottom w:w="28" w:type="dxa"/>
          <w:right w:w="28" w:type="dxa"/>
        </w:tblCellMar>
      </w:tblPr>
      <w:tblGrid>
        <w:gridCol w:w="435"/>
        <w:gridCol w:w="382"/>
        <w:gridCol w:w="384"/>
        <w:gridCol w:w="109"/>
        <w:gridCol w:w="109"/>
        <w:gridCol w:w="109"/>
        <w:gridCol w:w="216"/>
        <w:gridCol w:w="631"/>
        <w:gridCol w:w="157"/>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Calendar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Payment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Covenants and 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grant liens on certain property;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indebtedness, including finance leases;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substantially all of our assets or enter into a merger or consolidation;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certain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certain burdensome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our senior unsecured revolving credit facility and senior secured hedged inventory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default under our credit agreements or indentures would permit the lenders to accelerate the maturity of the outstanding debt. As long as we are in compliance with the provisions contained in our credit agreements, our ability to make distributions of available cash is not restricted. As of December 31, 2023, we were in compliance with the covenants contained in our credit agreements and indentures.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credit facilities and commercial paper program for the years ended December 31, 2023, 2022 and 2021 were approximately $18.1 billion, $25.0 billion and $32.5 billion, respectively. Total repayments under our credit facilities and commercial paper program were approximately $17.7 billion, $25.0 billion and $33.2 billion for the years ended December 31, 2023, 2022 and 2021,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2023 and 2022, we had outstanding letters of credit of $205 million and $102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11—Partners’ Capital and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Series A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Series A preferred unit distribution was equal to $0.525 per unit ($2.10 per unit annualized). After the fifth anniversary of the January 28, 2016 issuance date (the “Issuance Date”) of the Series A preferred units, the holders of the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redeem all or any portion of the outstanding Series A preferred units (subject to certain redemption size limitations and limited to two redemption transactions) in exchange for cash, common units (valued at 95% of the volume-weighted average price of our common units for a trading period specified in our partnership agreement) or a combination of cash and common units at a redemption price equal to 110% of the Issue Price, plus any accrued and unpaid distributions. The holders may convert their Series A preferred units into common units, generally on a one-for-one basis and subject to customary anti-dilution adjustments, at any time, in whole or in part, subject to certain minimum conversion amounts (and not more often than once per quarter).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Series B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0.26121%, plus 4.11% per annum. The distribution rate for the quarterly distribution paid on February 15, 2024 was 9.75093% per annum ($24.92 per Series B preferred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for our preferred and common units: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919"/>
        <w:gridCol w:w="1687"/>
        <w:gridCol w:w="1690"/>
        <w:gridCol w:w="540"/>
        <w:gridCol w:w="541"/>
        <w:gridCol w:w="357"/>
        <w:gridCol w:w="109"/>
        <w:gridCol w:w="109"/>
        <w:gridCol w:w="109"/>
        <w:gridCol w:w="413"/>
        <w:gridCol w:w="413"/>
        <w:gridCol w:w="357"/>
        <w:gridCol w:w="109"/>
        <w:gridCol w:w="109"/>
        <w:gridCol w:w="109"/>
        <w:gridCol w:w="593"/>
        <w:gridCol w:w="593"/>
        <w:gridCol w:w="448"/>
      </w:tblGrid>
      <w:tr>
        <w:trPr/>
        <w:tc>
          <w:tcPr>
            <w:tcW w:w="191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br/>
              <w:t>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722,380,416 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(18,061,583)</w:t>
            </w:r>
          </w:p>
        </w:tc>
        <w:tc>
          <w:tcPr>
            <w:tcW w:w="4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672,707 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704,991,540 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(7,251,361)</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614,319 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2,654,251 </w:t>
            </w:r>
          </w:p>
        </w:tc>
        <w:tc>
          <w:tcPr>
            <w:tcW w:w="4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701,008,749 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Common Equity Repurchase Program. </w:t>
      </w:r>
      <w:r>
        <w:rPr>
          <w:rFonts w:ascii="Times New Roman;sans-serif" w:hAnsi="Times New Roman;sans-serif"/>
          <w:b w:val="false"/>
          <w:color w:val="000000"/>
          <w:sz w:val="20"/>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16 for additional information regarding our ownership of PAGP Class C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 ended December 31, 2023. During the years ended December 31, 2022 and 2021, we repurchased common units under the Program through open market purchases for a total purchase price of $74 million and $178 million, respectively, including commissions and fees. The repurchased common units were canceled immediately upon acquisition, as were the PAGP Class C shares held by us associated with the repurchased common units. At December 31, 2023, the remaining available capacity under the Program was $198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Allocation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4 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 to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Preferred Unit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 Distributions.</w:t>
      </w:r>
      <w:r>
        <w:rPr>
          <w:color w:val="000000"/>
        </w:rPr>
        <w:t xml:space="preserve"> </w:t>
      </w:r>
      <w:r>
        <w:rPr>
          <w:rFonts w:ascii="Times New Roman;sans-serif" w:hAnsi="Times New Roman;sans-serif"/>
          <w:b w:val="false"/>
          <w:color w:val="000000"/>
          <w:sz w:val="20"/>
        </w:rPr>
        <w:t>The following table details distributions paid to our Series A preferred unitholders during the years presented (in millions, except unit data):</w:t>
      </w:r>
    </w:p>
    <w:p>
      <w:pPr>
        <w:pStyle w:val="TextBody"/>
        <w:bidi w:val="0"/>
        <w:spacing w:before="0" w:after="0"/>
        <w:jc w:val="left"/>
        <w:rPr/>
      </w:pPr>
      <w:r>
        <w:rPr/>
      </w:r>
    </w:p>
    <w:tbl>
      <w:tblPr>
        <w:tblW w:w="5450"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370"/>
        <w:gridCol w:w="819"/>
        <w:gridCol w:w="191"/>
        <w:gridCol w:w="190"/>
        <w:gridCol w:w="190"/>
        <w:gridCol w:w="539"/>
        <w:gridCol w:w="539"/>
        <w:gridCol w:w="541"/>
        <w:gridCol w:w="109"/>
        <w:gridCol w:w="109"/>
        <w:gridCol w:w="109"/>
        <w:gridCol w:w="211"/>
        <w:gridCol w:w="511"/>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2024, we paid a cash distribution of $44 million to our Series A preferred unitholders. At December 31, 2023, such amount was accrued as distributions payable in “Other current liabilities” on our Consolidated Balance Sheet.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Series B Preferred Unit Distributions. </w:t>
      </w:r>
      <w:r>
        <w:rPr>
          <w:rFonts w:ascii="Times New Roman;sans-serif" w:hAnsi="Times New Roman;sans-serif"/>
          <w:b w:val="false"/>
          <w:color w:val="000000"/>
          <w:sz w:val="20"/>
        </w:rPr>
        <w:t>The following table details distributions paid to our Series B preferred unitholders during the years presented (in millions, except unit data):</w:t>
      </w:r>
    </w:p>
    <w:p>
      <w:pPr>
        <w:pStyle w:val="TextBody"/>
        <w:bidi w:val="0"/>
        <w:spacing w:before="0" w:after="0"/>
        <w:jc w:val="left"/>
        <w:rPr/>
      </w:pPr>
      <w:r>
        <w:rPr/>
      </w:r>
    </w:p>
    <w:tbl>
      <w:tblPr>
        <w:tblW w:w="4572"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427"/>
        <w:gridCol w:w="731"/>
        <w:gridCol w:w="222"/>
        <w:gridCol w:w="110"/>
        <w:gridCol w:w="110"/>
        <w:gridCol w:w="110"/>
        <w:gridCol w:w="110"/>
        <w:gridCol w:w="110"/>
        <w:gridCol w:w="110"/>
        <w:gridCol w:w="357"/>
        <w:gridCol w:w="1045"/>
        <w:gridCol w:w="26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we paid a cash distribution of $20 million ($24.92 per unit) to our Series B preferred unitholders. At December 31, 2023, approximately $10 million of accrued distributions payable to our Series B preferred unitholders was included in “Other current liabilities” on our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Unit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common unitholders during the years presented (in millions, except per unit data):</w:t>
      </w:r>
    </w:p>
    <w:p>
      <w:pPr>
        <w:pStyle w:val="TextBody"/>
        <w:bidi w:val="0"/>
        <w:spacing w:before="0" w:after="0"/>
        <w:jc w:val="left"/>
        <w:rPr/>
      </w:pPr>
      <w:r>
        <w:rPr/>
      </w:r>
    </w:p>
    <w:tbl>
      <w:tblPr>
        <w:tblW w:w="5900"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265"/>
        <w:gridCol w:w="906"/>
        <w:gridCol w:w="19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Distributions per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unit</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8, 2024, we declared a cash distribution of $0.3175 per unit on our outstanding common units. The total distribution of $223 million was paid on February 14, 2024 to unitholders of record at the close of business on January 31, 2024, for the period from October 1, 2023 through December 31, 2023. Of this amount, approximately $74 million was paid to AAP.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noncontrolling interests in our subsidiaries consisted of (i) a 35% interest in the Permian JV, (ii) a 30% interest in Cactus II and (iii) a 33% interest in Red River Pipeline Company LLC (“Red River”). The transactions resulting in the recognition of noncontrolling interests in the Permian JV and Cactus II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$2.6 billion and an increase to our partners’ capital excluding noncontrolling interests of approximately $595 million. See Note 7 for more details regarding this transaction.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governing documents for the Permian JV, with the exception of the initial 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during the years presented (in millions):</w:t>
      </w:r>
    </w:p>
    <w:p>
      <w:pPr>
        <w:pStyle w:val="TextBody"/>
        <w:bidi w:val="0"/>
        <w:spacing w:before="0" w:after="0"/>
        <w:jc w:val="left"/>
        <w:rPr/>
      </w:pPr>
      <w:r>
        <w:rPr/>
      </w:r>
    </w:p>
    <w:tbl>
      <w:tblPr>
        <w:tblW w:w="4241" w:type="dxa"/>
        <w:jc w:val="left"/>
        <w:tblInd w:w="0" w:type="dxa"/>
        <w:tblLayout w:type="fixed"/>
        <w:tblCellMar>
          <w:top w:w="28" w:type="dxa"/>
          <w:left w:w="28" w:type="dxa"/>
          <w:bottom w:w="28" w:type="dxa"/>
          <w:right w:w="28" w:type="dxa"/>
        </w:tblCellMar>
      </w:tblPr>
      <w:tblGrid>
        <w:gridCol w:w="451"/>
        <w:gridCol w:w="395"/>
        <w:gridCol w:w="398"/>
        <w:gridCol w:w="211"/>
        <w:gridCol w:w="466"/>
        <w:gridCol w:w="109"/>
        <w:gridCol w:w="109"/>
        <w:gridCol w:w="109"/>
        <w:gridCol w:w="109"/>
        <w:gridCol w:w="211"/>
        <w:gridCol w:w="466"/>
        <w:gridCol w:w="109"/>
        <w:gridCol w:w="109"/>
        <w:gridCol w:w="109"/>
        <w:gridCol w:w="109"/>
        <w:gridCol w:w="211"/>
        <w:gridCol w:w="40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JV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initial distribution from the Permian JV was paid during the first quarter of 2022, with approximately $54 million paid to noncontrolling interests.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December 31, 2023, net derivative positions related to these activities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long position of 6.3 million barrels associated with our crude oil purchases, which was unwound ratably during January 2024 to match monthly average pricing.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time spread position of 5.6 million barrels, which hedges a portion of our anticipated crude oil lease gathering purchases through January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crude oil basis spread position of 2.3 million barrels at multiple locations through December 2024. These derivatives allow us to lock in grade and location basis differentials.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position of 18.2 million barrels through March 2025 related to anticipated net sales of crude oil and NGL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2023.</w:t>
      </w:r>
    </w:p>
    <w:p>
      <w:pPr>
        <w:pStyle w:val="TextBody"/>
        <w:bidi w:val="0"/>
        <w:spacing w:before="0" w:after="0"/>
        <w:ind w:left="0" w:right="0" w:firstLine="720"/>
        <w:jc w:val="left"/>
        <w:rPr/>
      </w:pPr>
      <w:r>
        <w:rPr/>
      </w:r>
    </w:p>
    <w:tbl>
      <w:tblPr>
        <w:tblW w:w="5604" w:type="dxa"/>
        <w:jc w:val="center"/>
        <w:tblInd w:w="0" w:type="dxa"/>
        <w:tblLayout w:type="fixed"/>
        <w:tblCellMar>
          <w:top w:w="28" w:type="dxa"/>
          <w:left w:w="28" w:type="dxa"/>
          <w:bottom w:w="28" w:type="dxa"/>
          <w:right w:w="28" w:type="dxa"/>
        </w:tblCellMar>
      </w:tblPr>
      <w:tblGrid>
        <w:gridCol w:w="913"/>
        <w:gridCol w:w="800"/>
        <w:gridCol w:w="806"/>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b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78.2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7347" w:type="dxa"/>
        <w:jc w:val="center"/>
        <w:tblInd w:w="0" w:type="dxa"/>
        <w:tblLayout w:type="fixed"/>
        <w:tblCellMar>
          <w:top w:w="28" w:type="dxa"/>
          <w:left w:w="28" w:type="dxa"/>
          <w:bottom w:w="28" w:type="dxa"/>
          <w:right w:w="28" w:type="dxa"/>
        </w:tblCellMar>
      </w:tblPr>
      <w:tblGrid>
        <w:gridCol w:w="1535"/>
        <w:gridCol w:w="1352"/>
        <w:gridCol w:w="1358"/>
        <w:gridCol w:w="211"/>
        <w:gridCol w:w="436"/>
        <w:gridCol w:w="109"/>
        <w:gridCol w:w="109"/>
        <w:gridCol w:w="109"/>
        <w:gridCol w:w="109"/>
        <w:gridCol w:w="211"/>
        <w:gridCol w:w="466"/>
        <w:gridCol w:w="109"/>
        <w:gridCol w:w="109"/>
        <w:gridCol w:w="109"/>
        <w:gridCol w:w="109"/>
        <w:gridCol w:w="211"/>
        <w:gridCol w:w="54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ind w:left="0" w:right="0" w:firstLine="720"/>
        <w:jc w:val="left"/>
        <w:rPr/>
      </w:pPr>
      <w:r>
        <w:rPr/>
      </w:r>
    </w:p>
    <w:tbl>
      <w:tblPr>
        <w:tblW w:w="4209" w:type="dxa"/>
        <w:jc w:val="center"/>
        <w:tblInd w:w="0" w:type="dxa"/>
        <w:tblLayout w:type="fixed"/>
        <w:tblCellMar>
          <w:top w:w="28" w:type="dxa"/>
          <w:left w:w="28" w:type="dxa"/>
          <w:bottom w:w="28" w:type="dxa"/>
          <w:right w:w="28" w:type="dxa"/>
        </w:tblCellMar>
      </w:tblPr>
      <w:tblGrid>
        <w:gridCol w:w="804"/>
        <w:gridCol w:w="706"/>
        <w:gridCol w:w="710"/>
        <w:gridCol w:w="211"/>
        <w:gridCol w:w="436"/>
        <w:gridCol w:w="109"/>
        <w:gridCol w:w="109"/>
        <w:gridCol w:w="109"/>
        <w:gridCol w:w="109"/>
        <w:gridCol w:w="211"/>
        <w:gridCol w:w="5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broker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pStyle w:val="TextBody"/>
        <w:bidi w:val="0"/>
        <w:spacing w:before="0" w:after="0"/>
        <w:jc w:val="left"/>
        <w:rPr/>
      </w:pPr>
      <w:r>
        <w:rPr/>
      </w:r>
    </w:p>
    <w:tbl>
      <w:tblPr>
        <w:tblW w:w="1050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5"/>
        <w:gridCol w:w="438"/>
        <w:gridCol w:w="128"/>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December 31, 2023 (notional amounts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7"/>
        <w:gridCol w:w="648"/>
        <w:gridCol w:w="650"/>
        <w:gridCol w:w="109"/>
        <w:gridCol w:w="109"/>
        <w:gridCol w:w="109"/>
        <w:gridCol w:w="620"/>
        <w:gridCol w:w="620"/>
        <w:gridCol w:w="621"/>
        <w:gridCol w:w="109"/>
        <w:gridCol w:w="109"/>
        <w:gridCol w:w="109"/>
        <w:gridCol w:w="211"/>
        <w:gridCol w:w="466"/>
        <w:gridCol w:w="109"/>
        <w:gridCol w:w="109"/>
        <w:gridCol w:w="109"/>
        <w:gridCol w:w="109"/>
        <w:gridCol w:w="465"/>
        <w:gridCol w:w="465"/>
        <w:gridCol w:w="466"/>
        <w:gridCol w:w="109"/>
        <w:gridCol w:w="109"/>
        <w:gridCol w:w="109"/>
        <w:gridCol w:w="361"/>
        <w:gridCol w:w="259"/>
        <w:gridCol w:w="648"/>
        <w:gridCol w:w="109"/>
        <w:gridCol w:w="109"/>
        <w:gridCol w:w="109"/>
        <w:gridCol w:w="356"/>
        <w:gridCol w:w="356"/>
        <w:gridCol w:w="512"/>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and Types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Expected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 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Accounting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Treatment</w:t>
            </w:r>
          </w:p>
        </w:tc>
      </w:tr>
      <w:tr>
        <w:trPr/>
        <w:tc>
          <w:tcPr>
            <w:tcW w:w="2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terminated $200 million of notional interest hedging instruments previously expected to terminate in June 2023 for proceeds of $80 million, of which $73 million was recorded in AOCI. As of December 31, 2023, there was a net loss of $81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2023;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jc w:val="left"/>
        <w:rPr/>
      </w:pPr>
      <w:r>
        <w:rPr/>
      </w:r>
    </w:p>
    <w:tbl>
      <w:tblPr>
        <w:tblW w:w="5097" w:type="dxa"/>
        <w:jc w:val="center"/>
        <w:tblInd w:w="0" w:type="dxa"/>
        <w:tblLayout w:type="fixed"/>
        <w:tblCellMar>
          <w:top w:w="28" w:type="dxa"/>
          <w:left w:w="28" w:type="dxa"/>
          <w:bottom w:w="28" w:type="dxa"/>
          <w:right w:w="28" w:type="dxa"/>
        </w:tblCellMar>
      </w:tblPr>
      <w:tblGrid>
        <w:gridCol w:w="853"/>
        <w:gridCol w:w="749"/>
        <w:gridCol w:w="753"/>
        <w:gridCol w:w="211"/>
        <w:gridCol w:w="361"/>
        <w:gridCol w:w="109"/>
        <w:gridCol w:w="109"/>
        <w:gridCol w:w="109"/>
        <w:gridCol w:w="109"/>
        <w:gridCol w:w="211"/>
        <w:gridCol w:w="361"/>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net fair value of our interest rate hedges, which were included in “Other current assets” and “Other long-term assets, net” on our Consolidated Balance Sheet, totaled $51 million and $4 million, respectively. At December 31, 2022, the net fair value of these hedges totaled $75 million and $45 million, which were included in “Other current assets” and “Other long-term assets, net”,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Consolidated Balance Sheet. The fair value of the Preferred Distribution Rate Reset Option, which was included in “Other long-term liabilities and deferred credits” on our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Consolidated Statements of Operations. For the years ended December 31, 2023, 2022 and 2021, we recognized a gain of $58 million, a net loss of $189 million, and a net gain of $14 million, respectively. See Note 11 for additional information regarding the Preferred Distribution Rate Reset Option.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1292" w:type="dxa"/>
        <w:jc w:val="center"/>
        <w:tblInd w:w="0" w:type="dxa"/>
        <w:tblLayout w:type="fixed"/>
        <w:tblCellMar>
          <w:top w:w="28" w:type="dxa"/>
          <w:left w:w="28" w:type="dxa"/>
          <w:bottom w:w="28" w:type="dxa"/>
          <w:right w:w="28" w:type="dxa"/>
        </w:tblCellMar>
      </w:tblPr>
      <w:tblGrid>
        <w:gridCol w:w="919"/>
        <w:gridCol w:w="808"/>
        <w:gridCol w:w="809"/>
        <w:gridCol w:w="109"/>
        <w:gridCol w:w="109"/>
        <w:gridCol w:w="109"/>
        <w:gridCol w:w="231"/>
        <w:gridCol w:w="280"/>
        <w:gridCol w:w="120"/>
        <w:gridCol w:w="109"/>
        <w:gridCol w:w="109"/>
        <w:gridCol w:w="109"/>
        <w:gridCol w:w="211"/>
        <w:gridCol w:w="361"/>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54"/>
        <w:gridCol w:w="2580"/>
        <w:gridCol w:w="2595"/>
        <w:gridCol w:w="211"/>
        <w:gridCol w:w="533"/>
        <w:gridCol w:w="109"/>
        <w:gridCol w:w="109"/>
        <w:gridCol w:w="109"/>
        <w:gridCol w:w="109"/>
        <w:gridCol w:w="211"/>
        <w:gridCol w:w="529"/>
        <w:gridCol w:w="156"/>
      </w:tblGrid>
      <w:tr>
        <w:trPr/>
        <w:tc>
          <w:tcPr>
            <w:tcW w:w="295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57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lease cost, including both amounts recognized in income and amounts capitalized (in millions):</w:t>
      </w:r>
    </w:p>
    <w:p>
      <w:pPr>
        <w:pStyle w:val="TextBody"/>
        <w:bidi w:val="0"/>
        <w:spacing w:before="0" w:after="0"/>
        <w:ind w:left="0" w:right="0" w:firstLine="720"/>
        <w:jc w:val="left"/>
        <w:rPr/>
      </w:pPr>
      <w:r>
        <w:rPr/>
      </w:r>
    </w:p>
    <w:tbl>
      <w:tblPr>
        <w:tblW w:w="5183" w:type="dxa"/>
        <w:jc w:val="center"/>
        <w:tblInd w:w="0" w:type="dxa"/>
        <w:tblLayout w:type="fixed"/>
        <w:tblCellMar>
          <w:top w:w="28" w:type="dxa"/>
          <w:left w:w="28" w:type="dxa"/>
          <w:bottom w:w="28" w:type="dxa"/>
          <w:right w:w="28" w:type="dxa"/>
        </w:tblCellMar>
      </w:tblPr>
      <w:tblGrid>
        <w:gridCol w:w="649"/>
        <w:gridCol w:w="570"/>
        <w:gridCol w:w="580"/>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finance lease costs, variable lease costs and sublease income.</w:t>
      </w:r>
    </w:p>
    <w:p>
      <w:pPr>
        <w:pStyle w:val="TextBody"/>
        <w:bidi w:val="0"/>
        <w:spacing w:before="120" w:after="283"/>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related to cash flows arising from lease transactions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593"/>
        <w:gridCol w:w="2265"/>
        <w:gridCol w:w="2277"/>
        <w:gridCol w:w="109"/>
        <w:gridCol w:w="109"/>
        <w:gridCol w:w="109"/>
        <w:gridCol w:w="211"/>
        <w:gridCol w:w="361"/>
        <w:gridCol w:w="109"/>
        <w:gridCol w:w="109"/>
        <w:gridCol w:w="109"/>
        <w:gridCol w:w="109"/>
        <w:gridCol w:w="211"/>
        <w:gridCol w:w="361"/>
        <w:gridCol w:w="109"/>
        <w:gridCol w:w="109"/>
        <w:gridCol w:w="109"/>
        <w:gridCol w:w="109"/>
        <w:gridCol w:w="211"/>
        <w:gridCol w:w="361"/>
        <w:gridCol w:w="155"/>
      </w:tblGrid>
      <w:tr>
        <w:trPr/>
        <w:tc>
          <w:tcPr>
            <w:tcW w:w="259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lease liabilities arising from obtaining new right-of-use assets or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weighted-average remaining lease term and discount rate is presented in the table below:</w:t>
      </w:r>
    </w:p>
    <w:p>
      <w:pPr>
        <w:pStyle w:val="TextBody"/>
        <w:bidi w:val="0"/>
        <w:spacing w:before="0" w:after="0"/>
        <w:ind w:left="0" w:right="0" w:firstLine="720"/>
        <w:jc w:val="left"/>
        <w:rPr/>
      </w:pPr>
      <w:r>
        <w:rPr/>
      </w:r>
    </w:p>
    <w:tbl>
      <w:tblPr>
        <w:tblW w:w="6120" w:type="dxa"/>
        <w:jc w:val="center"/>
        <w:tblInd w:w="0" w:type="dxa"/>
        <w:tblLayout w:type="fixed"/>
        <w:tblCellMar>
          <w:top w:w="28" w:type="dxa"/>
          <w:left w:w="28" w:type="dxa"/>
          <w:bottom w:w="28" w:type="dxa"/>
          <w:right w:w="28" w:type="dxa"/>
        </w:tblCellMar>
      </w:tblPr>
      <w:tblGrid>
        <w:gridCol w:w="1516"/>
        <w:gridCol w:w="1331"/>
        <w:gridCol w:w="1337"/>
        <w:gridCol w:w="255"/>
        <w:gridCol w:w="256"/>
        <w:gridCol w:w="271"/>
        <w:gridCol w:w="109"/>
        <w:gridCol w:w="109"/>
        <w:gridCol w:w="109"/>
        <w:gridCol w:w="255"/>
        <w:gridCol w:w="256"/>
        <w:gridCol w:w="316"/>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and location of our operating and finance lease right-of-use assets and liabilities on our Consolidated Balance Sheets (in millions):</w:t>
      </w:r>
    </w:p>
    <w:p>
      <w:pPr>
        <w:pStyle w:val="TextBody"/>
        <w:bidi w:val="0"/>
        <w:spacing w:before="0" w:after="0"/>
        <w:ind w:left="0" w:right="0" w:firstLine="720"/>
        <w:jc w:val="left"/>
        <w:rPr/>
      </w:pPr>
      <w:r>
        <w:rPr/>
      </w:r>
    </w:p>
    <w:tbl>
      <w:tblPr>
        <w:tblW w:w="9617" w:type="dxa"/>
        <w:jc w:val="center"/>
        <w:tblInd w:w="0" w:type="dxa"/>
        <w:tblLayout w:type="fixed"/>
        <w:tblCellMar>
          <w:top w:w="28" w:type="dxa"/>
          <w:left w:w="28" w:type="dxa"/>
          <w:bottom w:w="28" w:type="dxa"/>
          <w:right w:w="28" w:type="dxa"/>
        </w:tblCellMar>
      </w:tblPr>
      <w:tblGrid>
        <w:gridCol w:w="1062"/>
        <w:gridCol w:w="929"/>
        <w:gridCol w:w="949"/>
        <w:gridCol w:w="109"/>
        <w:gridCol w:w="109"/>
        <w:gridCol w:w="109"/>
        <w:gridCol w:w="1358"/>
        <w:gridCol w:w="1358"/>
        <w:gridCol w:w="1363"/>
        <w:gridCol w:w="109"/>
        <w:gridCol w:w="109"/>
        <w:gridCol w:w="109"/>
        <w:gridCol w:w="211"/>
        <w:gridCol w:w="466"/>
        <w:gridCol w:w="109"/>
        <w:gridCol w:w="109"/>
        <w:gridCol w:w="109"/>
        <w:gridCol w:w="109"/>
        <w:gridCol w:w="211"/>
        <w:gridCol w:w="46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right-of-use assets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 liabilities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right-of-use assets of $28 million and $30 million and lease liabilities of $34 million and $35 million as of December 31, 2023 and 2022, respectively, associated with leased storage tanks owned by an equity method investee, in which we own a 50% interest.</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maturity of undiscounted cash flows for future minimum lease payments under noncancelable leases as of December 31, 2023 reconciled to our lease liabilities on our Consolidated Balance Sheet (amounts in millions):</w:t>
      </w:r>
    </w:p>
    <w:p>
      <w:pPr>
        <w:pStyle w:val="TextBody"/>
        <w:bidi w:val="0"/>
        <w:spacing w:before="0" w:after="0"/>
        <w:ind w:left="0" w:right="0" w:firstLine="720"/>
        <w:jc w:val="left"/>
        <w:rPr/>
      </w:pPr>
      <w:r>
        <w:rPr/>
      </w:r>
    </w:p>
    <w:tbl>
      <w:tblPr>
        <w:tblW w:w="5096" w:type="dxa"/>
        <w:jc w:val="center"/>
        <w:tblInd w:w="0" w:type="dxa"/>
        <w:tblLayout w:type="fixed"/>
        <w:tblCellMar>
          <w:top w:w="28" w:type="dxa"/>
          <w:left w:w="28" w:type="dxa"/>
          <w:bottom w:w="28" w:type="dxa"/>
          <w:right w:w="28" w:type="dxa"/>
        </w:tblCellMar>
      </w:tblPr>
      <w:tblGrid>
        <w:gridCol w:w="1096"/>
        <w:gridCol w:w="965"/>
        <w:gridCol w:w="968"/>
        <w:gridCol w:w="229"/>
        <w:gridCol w:w="507"/>
        <w:gridCol w:w="120"/>
        <w:gridCol w:w="109"/>
        <w:gridCol w:w="109"/>
        <w:gridCol w:w="109"/>
        <w:gridCol w:w="257"/>
        <w:gridCol w:w="440"/>
        <w:gridCol w:w="18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Finance </w:t>
            </w:r>
            <w:r>
              <w:rPr>
                <w:rFonts w:ascii="Times New Roman;sans-serif" w:hAnsi="Times New Roman;sans-serif"/>
                <w:b/>
                <w:color w:val="000000"/>
                <w:sz w:val="10"/>
              </w:rPr>
              <w:t>(2)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minimum lease payments</w:t>
            </w:r>
            <w:r>
              <w:rPr>
                <w:color w:val="000000"/>
              </w:rPr>
              <w:t xml:space="preserve">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future minimum payments for short-term and other immaterial leases not included on our Consolidated Balance Sheet.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payments of approximately $6 million for each of the years ending 2024 through 2028 and approximately $45 million thereafter associated with leased storage tanks owned by an equity method investee, in which we own a 50%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lease revenue for the periods indicated (in millions):</w:t>
      </w:r>
    </w:p>
    <w:p>
      <w:pPr>
        <w:pStyle w:val="TextBody"/>
        <w:bidi w:val="0"/>
        <w:spacing w:before="0" w:after="0"/>
        <w:ind w:left="0" w:right="0" w:firstLine="720"/>
        <w:jc w:val="left"/>
        <w:rPr/>
      </w:pPr>
      <w:r>
        <w:rPr/>
      </w:r>
    </w:p>
    <w:tbl>
      <w:tblPr>
        <w:tblW w:w="5349"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are included in “Services revenues” on our Consolidated Statements of Operations.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maturity of lease payments for operating lease agreements in effect as of December 31, 2023. This presentation includes minimum fixed lease payments and does not include an estimate of variable lease consideration. These agreements have remaining lease terms ranging from one year to 18 years. The following table presents the undiscounted cash flows expected to be received related to these agreements (in millions):</w:t>
      </w:r>
    </w:p>
    <w:p>
      <w:pPr>
        <w:pStyle w:val="TextBody"/>
        <w:bidi w:val="0"/>
        <w:spacing w:before="0" w:after="0"/>
        <w:ind w:left="0" w:right="0" w:firstLine="720"/>
        <w:jc w:val="left"/>
        <w:rPr/>
      </w:pPr>
      <w:r>
        <w:rPr/>
      </w:r>
    </w:p>
    <w:tbl>
      <w:tblPr>
        <w:tblW w:w="8580" w:type="dxa"/>
        <w:jc w:val="center"/>
        <w:tblInd w:w="0" w:type="dxa"/>
        <w:tblLayout w:type="fixed"/>
        <w:tblCellMar>
          <w:top w:w="28" w:type="dxa"/>
          <w:left w:w="28" w:type="dxa"/>
          <w:bottom w:w="28" w:type="dxa"/>
          <w:right w:w="28" w:type="dxa"/>
        </w:tblCellMar>
      </w:tblPr>
      <w:tblGrid>
        <w:gridCol w:w="944"/>
        <w:gridCol w:w="831"/>
        <w:gridCol w:w="834"/>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36"/>
        <w:gridCol w:w="522"/>
        <w:gridCol w:w="173"/>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2023 and 2022, we had not recognized any material amounts in connection with uncertainty in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Federal and State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MLP, we are not subject to U.S. federal income taxes; rather the tax effect of our operations is passed through to our unitholders. Although we are subject to state income taxes in some states, the impact to the years ended December 31, 2023, 2022, and 2021 was immaterial.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Federal and Provincial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Tax Components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income tax expense are as follows (in millions):</w:t>
      </w:r>
    </w:p>
    <w:p>
      <w:pPr>
        <w:pStyle w:val="TextBody"/>
        <w:bidi w:val="0"/>
        <w:spacing w:before="0" w:after="0"/>
        <w:ind w:left="0" w:right="0" w:firstLine="720"/>
        <w:jc w:val="left"/>
        <w:rPr/>
      </w:pPr>
      <w:r>
        <w:rPr/>
      </w:r>
    </w:p>
    <w:tbl>
      <w:tblPr>
        <w:tblW w:w="6627" w:type="dxa"/>
        <w:jc w:val="center"/>
        <w:tblInd w:w="0" w:type="dxa"/>
        <w:tblLayout w:type="fixed"/>
        <w:tblCellMar>
          <w:top w:w="28" w:type="dxa"/>
          <w:left w:w="28" w:type="dxa"/>
          <w:bottom w:w="28" w:type="dxa"/>
          <w:right w:w="28" w:type="dxa"/>
        </w:tblCellMar>
      </w:tblPr>
      <w:tblGrid>
        <w:gridCol w:w="1332"/>
        <w:gridCol w:w="1167"/>
        <w:gridCol w:w="1176"/>
        <w:gridCol w:w="211"/>
        <w:gridCol w:w="466"/>
        <w:gridCol w:w="109"/>
        <w:gridCol w:w="109"/>
        <w:gridCol w:w="109"/>
        <w:gridCol w:w="109"/>
        <w:gridCol w:w="211"/>
        <w:gridCol w:w="466"/>
        <w:gridCol w:w="109"/>
        <w:gridCol w:w="109"/>
        <w:gridCol w:w="109"/>
        <w:gridCol w:w="109"/>
        <w:gridCol w:w="211"/>
        <w:gridCol w:w="36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income tax expense based on the statutory federal income tax rate and our effective income tax expense is summarized as follows (in millions):</w:t>
      </w:r>
    </w:p>
    <w:p>
      <w:pPr>
        <w:pStyle w:val="TextBody"/>
        <w:bidi w:val="0"/>
        <w:spacing w:before="0" w:after="0"/>
        <w:ind w:left="0" w:right="0" w:firstLine="720"/>
        <w:jc w:val="left"/>
        <w:rPr/>
      </w:pPr>
      <w:r>
        <w:rPr/>
      </w:r>
    </w:p>
    <w:tbl>
      <w:tblPr>
        <w:tblW w:w="7155" w:type="dxa"/>
        <w:jc w:val="center"/>
        <w:tblInd w:w="0" w:type="dxa"/>
        <w:tblLayout w:type="fixed"/>
        <w:tblCellMar>
          <w:top w:w="28" w:type="dxa"/>
          <w:left w:w="28" w:type="dxa"/>
          <w:bottom w:w="28" w:type="dxa"/>
          <w:right w:w="28" w:type="dxa"/>
        </w:tblCellMar>
      </w:tblPr>
      <w:tblGrid>
        <w:gridCol w:w="1516"/>
        <w:gridCol w:w="1329"/>
        <w:gridCol w:w="1340"/>
        <w:gridCol w:w="229"/>
        <w:gridCol w:w="284"/>
        <w:gridCol w:w="287"/>
        <w:gridCol w:w="111"/>
        <w:gridCol w:w="111"/>
        <w:gridCol w:w="111"/>
        <w:gridCol w:w="229"/>
        <w:gridCol w:w="284"/>
        <w:gridCol w:w="287"/>
        <w:gridCol w:w="111"/>
        <w:gridCol w:w="111"/>
        <w:gridCol w:w="111"/>
        <w:gridCol w:w="224"/>
        <w:gridCol w:w="191"/>
        <w:gridCol w:w="289"/>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earnings not subject to Canadian tax</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corporate tax rate</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Canadian permanent differences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aggregated by the applicable tax paying entity and jurisdiction and result from the following (in millions):</w:t>
      </w:r>
    </w:p>
    <w:p>
      <w:pPr>
        <w:pStyle w:val="TextBody"/>
        <w:bidi w:val="0"/>
        <w:spacing w:before="0" w:after="0"/>
        <w:ind w:left="0" w:right="0" w:firstLine="720"/>
        <w:jc w:val="left"/>
        <w:rPr/>
      </w:pPr>
      <w:r>
        <w:rPr/>
      </w:r>
    </w:p>
    <w:tbl>
      <w:tblPr>
        <w:tblW w:w="7208" w:type="dxa"/>
        <w:jc w:val="center"/>
        <w:tblInd w:w="0" w:type="dxa"/>
        <w:tblLayout w:type="fixed"/>
        <w:tblCellMar>
          <w:top w:w="28" w:type="dxa"/>
          <w:left w:w="28" w:type="dxa"/>
          <w:bottom w:w="28" w:type="dxa"/>
          <w:right w:w="28" w:type="dxa"/>
        </w:tblCellMar>
      </w:tblPr>
      <w:tblGrid>
        <w:gridCol w:w="1856"/>
        <w:gridCol w:w="1625"/>
        <w:gridCol w:w="1633"/>
        <w:gridCol w:w="211"/>
        <w:gridCol w:w="541"/>
        <w:gridCol w:w="109"/>
        <w:gridCol w:w="109"/>
        <w:gridCol w:w="109"/>
        <w:gridCol w:w="109"/>
        <w:gridCol w:w="211"/>
        <w:gridCol w:w="541"/>
        <w:gridCol w:w="154"/>
      </w:tblGrid>
      <w:tr>
        <w:trPr/>
        <w:tc>
          <w:tcPr>
            <w:tcW w:w="185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 excess of tax values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classification of deferred tax assets/(liabilities):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tax returns for our Canadian entities are open to audit from 2017 through 2023. Our U.S. and state tax years are generally open to examination from 2020 to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 reference to tax years 2012 to 2018,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$165 million (based on the exchange rate as of December 31, 2023). Payment of a portion of the assessment is required in order to file a notice of objection to dispute the reassessment. Accordingly, we have remitted approximately $87 million (based on the exchange rate as of December 31, 2023)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2023, we believe that our tax position associated with these matters is “more likely than not” to be sustained and have not recognized any amounts for uncertainty in income taxes related to these notices.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15—Major Customers and Concentration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16—Related Party Transactions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Ownership of PAGP Class C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we owned 539,445,289 and 528,442,538, respectively, Class C shares of PAGP. Each Class C share represents a non-economic limited partner interest in PAGP. The Class C shares function as a “pass-through” voting mechanism through which we vote at the direction of and as proxy for our common unitholders (other than AAP) and Series A preferred unitholders in such director elections. The number of Class C shares that we own is equal to the number of outstanding common units and Series A preferred units that are entitled to vote, pro rata with the holders of PAGP Class A and Class B shares, for the election of eligible PAGP GP directors. Common units held by AAP and Series B preferred units are not entitled to vote in the election of directors.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Reimbursement of Our General Partner and its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2023, 2022 and 2021 were $546 million, $476 million and $467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Omnibus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Plains Entities entered into an Omnibus Agreement on November 15, 2016, which provides for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2023, 2022 and 2021 were not material;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PAGP to lend proceeds of any future indebtedness incurred by it to AAP, and AAP’s corresponding ability to lend such proceeds to us, in each case on substantially the same terms as incurred by PAGP.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$10 million as of December 31, 2023. Interest income/expense on the related party notes totaled $25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outstanding related party note receivable and related party note payable balances were as follows (in millions):</w:t>
      </w:r>
    </w:p>
    <w:p>
      <w:pPr>
        <w:pStyle w:val="TextBody"/>
        <w:bidi w:val="0"/>
        <w:spacing w:before="0" w:after="0"/>
        <w:jc w:val="left"/>
        <w:rPr/>
      </w:pPr>
      <w:r>
        <w:rPr/>
      </w:r>
    </w:p>
    <w:tbl>
      <w:tblPr>
        <w:tblW w:w="4071" w:type="dxa"/>
        <w:jc w:val="left"/>
        <w:tblInd w:w="0" w:type="dxa"/>
        <w:tblLayout w:type="fixed"/>
        <w:tblCellMar>
          <w:top w:w="28" w:type="dxa"/>
          <w:left w:w="28" w:type="dxa"/>
          <w:bottom w:w="28" w:type="dxa"/>
          <w:right w:w="28" w:type="dxa"/>
        </w:tblCellMar>
      </w:tblPr>
      <w:tblGrid>
        <w:gridCol w:w="983"/>
        <w:gridCol w:w="864"/>
        <w:gridCol w:w="867"/>
        <w:gridCol w:w="293"/>
        <w:gridCol w:w="648"/>
        <w:gridCol w:w="153"/>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receivable </w:t>
            </w:r>
            <w:r>
              <w:rPr>
                <w:rFonts w:ascii="Times New Roman;sans-serif" w:hAnsi="Times New Roman;sans-serif"/>
                <w:b w:val="false"/>
                <w:color w:val="000000"/>
                <w:sz w:val="13"/>
              </w:rPr>
              <w:t>(1)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payable </w:t>
            </w:r>
            <w:r>
              <w:rPr>
                <w:rFonts w:ascii="Times New Roman;sans-serif" w:hAnsi="Times New Roman;sans-serif"/>
                <w:b w:val="false"/>
                <w:color w:val="000000"/>
                <w:sz w:val="13"/>
              </w:rPr>
              <w:t>(1)</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Consolidated Balance Sheet because there is a legal right to offset and we intend to offset with the counterparty.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other related parties include (i) entities in which we hold investments and account for under the equity method of accounting (see Note 8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2023, no entities met the criteria to be recognized as a principal owner.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the board of directors of PAGP GP approved and adopted an amendment to PAGP GP’s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PAGP GP board without being subject to public election. The Amendment also eliminated all previously negotiated rights, including Kayne Anderson’s right, to appoint a PAGP GP board observer under certain circumstances. As a result of these changes, we no longer recognize Kayne Anderson and its affiliates as related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years ended December 31, 2023, we recognized sales and transportation revenues, purchased petroleum products and utilized transportation and storage services from our related parties. These transactions were conducted at posted tariff rates or prices that we believe approximate market.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Consolidated Statements of Operations from these transactions is included below (in millions):</w:t>
      </w:r>
    </w:p>
    <w:p>
      <w:pPr>
        <w:pStyle w:val="TextBody"/>
        <w:bidi w:val="0"/>
        <w:spacing w:before="0" w:after="0"/>
        <w:ind w:left="0" w:right="0" w:firstLine="720"/>
        <w:jc w:val="left"/>
        <w:rPr/>
      </w:pPr>
      <w:r>
        <w:rPr/>
      </w:r>
    </w:p>
    <w:tbl>
      <w:tblPr>
        <w:tblW w:w="6971"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Consolidated Balance Sheets were as follows (in millions):</w:t>
      </w:r>
    </w:p>
    <w:p>
      <w:pPr>
        <w:pStyle w:val="TextBody"/>
        <w:bidi w:val="0"/>
        <w:spacing w:before="0" w:after="0"/>
        <w:ind w:left="0" w:right="0" w:firstLine="720"/>
        <w:jc w:val="left"/>
        <w:rPr/>
      </w:pPr>
      <w:r>
        <w:rPr/>
      </w:r>
    </w:p>
    <w:tbl>
      <w:tblPr>
        <w:tblW w:w="7899" w:type="dxa"/>
        <w:jc w:val="center"/>
        <w:tblInd w:w="0" w:type="dxa"/>
        <w:tblLayout w:type="fixed"/>
        <w:tblCellMar>
          <w:top w:w="28" w:type="dxa"/>
          <w:left w:w="28" w:type="dxa"/>
          <w:bottom w:w="28" w:type="dxa"/>
          <w:right w:w="28" w:type="dxa"/>
        </w:tblCellMar>
      </w:tblPr>
      <w:tblGrid>
        <w:gridCol w:w="2230"/>
        <w:gridCol w:w="1962"/>
        <w:gridCol w:w="1973"/>
        <w:gridCol w:w="211"/>
        <w:gridCol w:w="361"/>
        <w:gridCol w:w="109"/>
        <w:gridCol w:w="109"/>
        <w:gridCol w:w="109"/>
        <w:gridCol w:w="109"/>
        <w:gridCol w:w="211"/>
        <w:gridCol w:w="36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 xml:space="preserve">(1) (2)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and amounts owed to us or advanced to us related to investment capital projects of equity method investees where we serve as construction manager.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17—Equity-Indexed Compensation Plans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awards authorized under our LTIPs as of December 31, 2023 (in millions):</w:t>
      </w:r>
    </w:p>
    <w:p>
      <w:pPr>
        <w:pStyle w:val="TextBody"/>
        <w:bidi w:val="0"/>
        <w:spacing w:before="0" w:after="0"/>
        <w:ind w:left="0" w:right="0" w:firstLine="720"/>
        <w:jc w:val="left"/>
        <w:rPr/>
      </w:pPr>
      <w:r>
        <w:rPr/>
      </w:r>
    </w:p>
    <w:tbl>
      <w:tblPr>
        <w:tblW w:w="8156" w:type="dxa"/>
        <w:jc w:val="center"/>
        <w:tblInd w:w="0" w:type="dxa"/>
        <w:tblLayout w:type="fixed"/>
        <w:tblCellMar>
          <w:top w:w="28" w:type="dxa"/>
          <w:left w:w="28" w:type="dxa"/>
          <w:bottom w:w="28" w:type="dxa"/>
          <w:right w:w="28" w:type="dxa"/>
        </w:tblCellMar>
      </w:tblPr>
      <w:tblGrid>
        <w:gridCol w:w="2257"/>
        <w:gridCol w:w="1997"/>
        <w:gridCol w:w="2015"/>
        <w:gridCol w:w="109"/>
        <w:gridCol w:w="109"/>
        <w:gridCol w:w="109"/>
        <w:gridCol w:w="456"/>
        <w:gridCol w:w="456"/>
        <w:gridCol w:w="648"/>
      </w:tblGrid>
      <w:tr>
        <w:trPr/>
        <w:tc>
          <w:tcPr>
            <w:tcW w:w="225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LTIP </w:t>
              <w:br/>
              <w:t>Awards Authorized</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2021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PNG Successor Long-Term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 2006 Long-Term Incentive Tracking Unit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Of the 43.5 million total awards authorized, 17.4 million awards are currently available for future grant. The remaining balance has already vested or is currently outstanding.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12.2 million LTIP awards were outstanding. Of the awards outstanding, 9.6 million include associated DERs. At December 31, 2023, certain of the outstanding LTIP awards were considered probable of vesting and such awards are expected to vest at various dates between May 2024 and August 2028. As of December 31, 2023, the outstanding awards that are considered probable of vesting have a remaining unrecognized fair value of approximately $73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commitments (some of which are leases) related to real property, equipment and operating facilities. We also incur costs associated with leased land, rights-of-way, permits and regulatory fees. Future noncancelable commitments related to these items at December 31, 2023 are summarized below (in millions): </w:t>
      </w:r>
    </w:p>
    <w:p>
      <w:pPr>
        <w:pStyle w:val="TextBody"/>
        <w:bidi w:val="0"/>
        <w:spacing w:before="0" w:after="0"/>
        <w:ind w:left="0" w:right="0" w:firstLine="720"/>
        <w:jc w:val="left"/>
        <w:rPr/>
      </w:pPr>
      <w:r>
        <w:rPr/>
      </w:r>
    </w:p>
    <w:tbl>
      <w:tblPr>
        <w:tblW w:w="9678" w:type="dxa"/>
        <w:jc w:val="center"/>
        <w:tblInd w:w="0" w:type="dxa"/>
        <w:tblLayout w:type="fixed"/>
        <w:tblCellMar>
          <w:top w:w="28" w:type="dxa"/>
          <w:left w:w="28" w:type="dxa"/>
          <w:bottom w:w="28" w:type="dxa"/>
          <w:right w:w="28" w:type="dxa"/>
        </w:tblCellMar>
      </w:tblPr>
      <w:tblGrid>
        <w:gridCol w:w="693"/>
        <w:gridCol w:w="609"/>
        <w:gridCol w:w="61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commitments </w:t>
            </w:r>
            <w:r>
              <w:rPr>
                <w:rFonts w:ascii="Times New Roman;sans-serif" w:hAnsi="Times New Roman;sans-serif"/>
                <w:b w:val="false"/>
                <w:color w:val="000000"/>
                <w:sz w:val="13"/>
              </w:rPr>
              <w:t>(2)</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both operating and finance leases as defined by FASB guidance. Leases are primarily for (i) railcars, (ii) office space, (iii) land, (iv) vehicles, (v) storage tanks and (vi) tractor trailers. See Note 13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Primarily includes storage, transportation and pipeline throughput agreements, as well as certain rights-of-way easements. Expense associated with our storage, transportation and pipeline throughput agreements was approximately $396 million, $336 million and $270 million for 2023, 2022 and 2021,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 General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estimated undiscounted reserve for environmental liabilities (excluding liabilities related to the Line 901 incident, as discussed further below) totaled $56 million, of which $10 million was classified as short-term and $46 million was classified as long-term. At December 31, 2022, our estimated undiscounted reserve for environmental liabilities (excluding liabilities related to the Line 901 incident) totaled $55 million, of which $10 million was classified as short-term and $45 million was classified as long-term. Such short-term liabilities are reflected in “Other current liabilities” and long-term liabilities are reflected in “Other long-term liabilities and deferred credits” on our Consolidated Balance Sheets. At both December 31, 2023 and 2022, we had recorded receivables (excluding receivables related to the Line 901 incident) totaling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the alleged diminished value of their properties due to the stigma of the oil spill. We are vigorously defending against these stigma damages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December 31,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formally responded to our reimbursement demands. We have initiated final and binding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December 31, 2023,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we recognized costs, net of amounts probable of recovery from insurance carriers, of $10 million, $95 million and $15 million, respectively. As of December 31, 2023 and 2022, we had a remaining undiscounted gross liability of approximately $94 million and $105 million, respectively, related to the Line 901 incident, which aggregate amounts are reflected in “Current liabilities” on our Consolidated Balance Sheet. As discussed above, we maintain insurance coverage, which is subject to certain exclusions and deductibles, in the event of such liabilities. As of December 31, 2023, our incurred costs for the Line 901 incident have exceeded our insurance coverage limit of $500 million related to our 2015 insurance program applicable to the Line 901 incident by $250 million. Through December 31,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December 31,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(“Segment amounts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Investment and acquisition capital expenditures, including investments in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These amounts combined represent total 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bidi w:val="0"/>
        <w:spacing w:before="0" w:after="0"/>
        <w:jc w:val="center"/>
        <w:rPr/>
      </w:pPr>
      <w:r>
        <w:rPr/>
      </w:r>
    </w:p>
    <w:tbl>
      <w:tblPr>
        <w:tblW w:w="8546" w:type="dxa"/>
        <w:jc w:val="center"/>
        <w:tblInd w:w="0" w:type="dxa"/>
        <w:tblLayout w:type="fixed"/>
        <w:tblCellMar>
          <w:top w:w="28" w:type="dxa"/>
          <w:left w:w="28" w:type="dxa"/>
          <w:bottom w:w="28" w:type="dxa"/>
          <w:right w:w="28" w:type="dxa"/>
        </w:tblCellMar>
      </w:tblPr>
      <w:tblGrid>
        <w:gridCol w:w="1826"/>
        <w:gridCol w:w="1600"/>
        <w:gridCol w:w="1613"/>
        <w:gridCol w:w="211"/>
        <w:gridCol w:w="616"/>
        <w:gridCol w:w="109"/>
        <w:gridCol w:w="109"/>
        <w:gridCol w:w="109"/>
        <w:gridCol w:w="109"/>
        <w:gridCol w:w="211"/>
        <w:gridCol w:w="616"/>
        <w:gridCol w:w="109"/>
        <w:gridCol w:w="109"/>
        <w:gridCol w:w="109"/>
        <w:gridCol w:w="109"/>
        <w:gridCol w:w="211"/>
        <w:gridCol w:w="616"/>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Transaction-related expenses </w:t>
            </w:r>
            <w:r>
              <w:rPr>
                <w:rFonts w:ascii="Times New Roman;sans-serif" w:hAnsi="Times New Roman;sans-serif"/>
                <w:b w:val="false"/>
                <w:color w:val="000000"/>
                <w:sz w:val="13"/>
              </w:rPr>
              <w:t>(9)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amounts attributable to noncontrolling interests </w:t>
            </w:r>
            <w:r>
              <w:rPr>
                <w:rFonts w:ascii="Times New Roman;sans-serif" w:hAnsi="Times New Roman;sans-serif"/>
                <w:b w:val="false"/>
                <w:color w:val="000000"/>
                <w:sz w:val="13"/>
              </w:rPr>
              <w:t>(10)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18 for additional information regarding the Line 901 incident.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 xml:space="preserve">Includes expenses associated with the Rattler Permian Transaction in 2023 and the Permian JV transaction in 2021. See Note 7 for additional discussion. An adjustment for these non-recurring expenses is included in the calculation of Segment Adjusted EBITDA for the years ended December 31, 2023 and 2021 as our CODM does not view such expenses as integral to understanding our core segment operating performance.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Reflects amounts attributable to noncontrolling interests in the Permian JV (beginning October 2021), Cactus II (beginning November 2022) and Red River.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b7291d9967f54b31a826c503fcfee0b8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b7291d9967f54b31a826c503fcfee0b8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operations in the United States and Canada. Set forth below are revenues and long-lived assets attributable to these geographic areas (in millions): </w:t>
      </w:r>
    </w:p>
    <w:p>
      <w:pPr>
        <w:pStyle w:val="TextBody"/>
        <w:bidi w:val="0"/>
        <w:spacing w:before="0" w:after="0"/>
        <w:jc w:val="left"/>
        <w:rPr/>
      </w:pPr>
      <w:r>
        <w:rPr/>
      </w:r>
    </w:p>
    <w:tbl>
      <w:tblPr>
        <w:tblW w:w="5349" w:type="dxa"/>
        <w:jc w:val="center"/>
        <w:tblInd w:w="0" w:type="dxa"/>
        <w:tblLayout w:type="fixed"/>
        <w:tblCellMar>
          <w:top w:w="28" w:type="dxa"/>
          <w:left w:w="28" w:type="dxa"/>
          <w:bottom w:w="28" w:type="dxa"/>
          <w:right w:w="28" w:type="dxa"/>
        </w:tblCellMar>
      </w:tblPr>
      <w:tblGrid>
        <w:gridCol w:w="434"/>
        <w:gridCol w:w="382"/>
        <w:gridCol w:w="38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are primarily attributed to each region based on where the services are provided or the product is shipped.</w:t>
      </w:r>
    </w:p>
    <w:p>
      <w:pPr>
        <w:pStyle w:val="TextBody"/>
        <w:bidi w:val="0"/>
        <w:spacing w:before="0" w:after="0"/>
        <w:ind w:left="0" w:right="0" w:hanging="360"/>
        <w:jc w:val="left"/>
        <w:rPr/>
      </w:pPr>
      <w:r>
        <w:rPr/>
      </w:r>
    </w:p>
    <w:tbl>
      <w:tblPr>
        <w:tblW w:w="4385"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Long-Lived Assets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long-term derivative assets and long-term deferred tax assets.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4.16</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 REGISTERED PURSUANT TO SECTION 12 OF THE SECURITIES EXCHANGE ACT OF 1934</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Plains All American Pipeline L.P. has one class of securities registered under Section 12 of the Securities Exchange Act of 1934, as amended (the “Exchange Act”): its common units representing limited partner interests, which are described in this Exhibit. The following definitions are used in this Exhibit:</w:t>
      </w:r>
    </w:p>
    <w:p>
      <w:pPr>
        <w:pStyle w:val="TextBody"/>
        <w:bidi w:val="0"/>
        <w:spacing w:before="0" w:after="0"/>
        <w:ind w:left="0" w:right="0" w:firstLine="36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"Partnership," "Plains," "PAA," "we," "us," "our," "ours" and similar terms refer to Plains All American Pipeline, L.P. and its subsidiaries;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"General partner," refers to, as the context requires, any or all of PAA GP Holdings LLC ("PAGP GP"), Plains GP Holdings, L.P. ("PAGP"), Plains AAP, L.P. ("AAP") and Plains All American GP LLC ("GP LLC").</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COMMON UNITS</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"Our Cash Distribution Policy."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common units are listed on the Nasdaq Global Select Market under the symbol "PAA." Any additional common units we issue will also be listed on Nasdaq.</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Voting</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Status as Limited Partner or Assignee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under "Description of Our Partnership Agreement—Limited Liability," the common units will be fully paid, and common unitholders will not be required to make additional capital contributions to 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Redemption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above mechanisms are subject to customary conversion rate adjustments for equity splits, equity dividends and reclassifications.</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OUR CASH DISTRIBUTION POLICY</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of Available Cash</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We will distribute to our unitholders, on a quarterly basis, all of our available cash in the manner described below.</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Available Cash.</w:t>
      </w:r>
      <w:r>
        <w:rPr>
          <w:color w:val="000000"/>
        </w:rPr>
        <w:t xml:space="preserve"> </w:t>
      </w:r>
      <w:r>
        <w:rPr>
          <w:rFonts w:ascii="Times New Roman;sans-serif" w:hAnsi="Times New Roman;sans-serif"/>
          <w:b w:val="false"/>
          <w:color w:val="000000"/>
          <w:sz w:val="20"/>
        </w:rPr>
        <w:t>Available cash generally means, for any quarter ending prior to liquidation, all cash and cash equivalents on hand at the end of that quarter less reserves established in the reasonable discretion of the general partner to:</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provide for the proper conduct of our business and the business of our operating partnerships (including reserves for future capital expenditures and for our anticipated future credit needs);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comply with applicable law or any loan agreement, security agreement, mortgage, debt instrument or other agreement or obligation; or</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funds for future distributions to our Series A and Series B preferred unitholders or distributions to our common unitholders for of any one or more of the next four quarters.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available cash also includes cash on hand resulting from borrowings made after the end of the quarter.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Operating Surplus and Capital Surplus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Cash distributions to our common unitholders will be characterized as either operating surplus or capital surplus. We distribute available cash from operating surplus differently than available cash from capital surplus. See "—Quarterly Distributions of Available Cash."</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Operating Surplus.</w:t>
      </w:r>
      <w:r>
        <w:rPr>
          <w:color w:val="000000"/>
        </w:rPr>
        <w:t xml:space="preserve"> </w:t>
      </w:r>
      <w:r>
        <w:rPr>
          <w:rFonts w:ascii="Times New Roman;sans-serif" w:hAnsi="Times New Roman;sans-serif"/>
          <w:b w:val="false"/>
          <w:color w:val="000000"/>
          <w:sz w:val="20"/>
        </w:rPr>
        <w:t>Operating surplus refers generally to:</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our cash balances on the closing date of our initial public offering; plus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$25 million; plus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all of our cash receipts from operations, excluding cash that is capital surplus; less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i/>
          <w:color w:val="000000"/>
          <w:sz w:val="20"/>
        </w:rPr>
        <w:t>Definition of Capital Surplus.</w:t>
      </w:r>
      <w:r>
        <w:rPr>
          <w:color w:val="000000"/>
        </w:rPr>
        <w:t xml:space="preserve"> </w:t>
      </w:r>
      <w:r>
        <w:rPr>
          <w:rFonts w:ascii="Times New Roman;sans-serif" w:hAnsi="Times New Roman;sans-serif"/>
          <w:b w:val="false"/>
          <w:color w:val="000000"/>
          <w:sz w:val="20"/>
        </w:rPr>
        <w:t>Capital surplus will generally be generated only by:</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borrowings other than working capital borrowings;</w: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sales of debt and equity securities;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sales or other dispositions of assets for cash, other than inventory, accounts receivable and other assets in the ordinary course of business.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Effect of Issuance of Additional Units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 issue additional common units or other equity securities for consideration and under terms and conditions approved by our general partner in its sole discretion and without the approval of our unitholders, other than current holders of our Series A preferred units and Series B preferred units in certain circumstances. We may fund acquisitions through the issuance of additional common units or other equity securities.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Quarterly Distributions of Available Cash</w:t>
      </w:r>
    </w:p>
    <w:p>
      <w:pPr>
        <w:pStyle w:val="TextBody"/>
        <w:bidi w:val="0"/>
        <w:spacing w:before="0" w:after="0"/>
        <w:jc w:val="left"/>
        <w:rPr/>
      </w:pPr>
      <w:r>
        <w:rPr/>
      </w:r>
    </w:p>
    <w:p>
      <w:pPr>
        <w:pStyle w:val="TextBody"/>
        <w:bidi w:val="0"/>
        <w:spacing w:lineRule="auto" w:line="276"/>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from Operating Surplus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Distributions from Capital Surplus</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sans-serif" w:hAnsi="Times New Roman;sans-serif"/>
          <w:b w:val="false"/>
          <w:color w:val="000000"/>
          <w:sz w:val="13"/>
        </w:rPr>
        <w:t>2</w:t>
      </w:r>
      <w:r>
        <w:rPr>
          <w:rFonts w:ascii="Times New Roman;sans-serif" w:hAnsi="Times New Roman;sans-serif"/>
          <w:b w:val="false"/>
          <w:color w:val="000000"/>
          <w:sz w:val="20"/>
        </w:rPr>
        <w:t>/3% of the outstanding Series B preferred units.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Distribution of Cash upon Liquidation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PARTNERSHIP AGREEMENT</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material provisions of our partnership agreement.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shd w:fill="FFFFFF" w:val="clear"/>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r>
        <w:rPr>
          <w:color w:val="000000"/>
        </w:rPr>
        <w:t xml:space="preserve"> </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Applicable Law; Forum, Venue and Jurisdiction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is governed by Delaware law. Our partnership agreement requires that any claims, suits, actions or proceedings: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brought in a derivative manner on our behalf;</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of breach of a fiduciary duty owed by any director, officer or other employee of us or our general partner, or owed by our general partner to us or the unitholders;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asserting a claim arising pursuant to any provision of the Delaware Revised Uniform Limited Partnership Act (the “Delaware Act”);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governed by the internal affairs doctrine,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Issuance of Additional Securities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Delaware law and the provisions of our partnership agreement, we may also issue additional partnership interests that, in the sole discretion of our general partner, may have special voting rights to which common units are not entitled.</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Amendments to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Withdrawal or Removal of Our General Partner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partnership agreement expressly permits the sale, in whole or in part, of the ownership of our general partner. Our general partner may also transfer, in whole or in part, the common units it owns.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Merger, Sale or Other Disposition of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Liquidation and Distribution of Proceeds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first, towards the payment of all of our creditors and the creation of a reserve for contingent liabilities;</w:t>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finally, to all partners in accordance with the positive balance in their respective capital accounts.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Change of Management Provisions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the following specific provisions that are intended to discourage a person or group from attempting to remove our general partner or otherwise change management:</w:t>
      </w:r>
    </w:p>
    <w:p>
      <w:pPr>
        <w:pStyle w:val="TextBody"/>
        <w:bidi w:val="0"/>
        <w:spacing w:before="0" w:after="0"/>
        <w:jc w:val="left"/>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generally, if a person acquires 20% or more of any class of units then outstanding other than from our general partner or its affiliates, the units owned by such person cannot be voted on any matter;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provisions limiting the ability of unitholders to call meetings or to acquire information about our operations, as well as other provisions limiting the unitholders' ability to influence the manner or direction of management.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Call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authorized to purchase insurance against liabilities asserted against and expenses incurred by persons for our activities, regardless of whether we would have the power to indemnify the person against liabilities under our partnership agreement.</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Liability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Assuming that a limited partner does not participate in the control of our business within the meaning of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addition</w:t>
      </w:r>
      <w:r>
        <w:rPr>
          <w:rFonts w:ascii="Times New Roman;sans-serif" w:hAnsi="Times New Roman;sans-serif"/>
          <w:b w:val="false"/>
          <w:color w:val="000000"/>
          <w:sz w:val="20"/>
          <w:shd w:fill="FFFFFF" w:val="clear"/>
        </w:rPr>
        <w:t>,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(As of 12/31/2023)</w:t>
      </w:r>
    </w:p>
    <w:tbl>
      <w:tblPr>
        <w:tblW w:w="6641" w:type="dxa"/>
        <w:jc w:val="center"/>
        <w:tblInd w:w="0" w:type="dxa"/>
        <w:tblLayout w:type="fixed"/>
        <w:tblCellMar>
          <w:top w:w="28" w:type="dxa"/>
          <w:left w:w="28" w:type="dxa"/>
          <w:bottom w:w="28" w:type="dxa"/>
          <w:right w:w="28" w:type="dxa"/>
        </w:tblCellMar>
      </w:tblPr>
      <w:tblGrid>
        <w:gridCol w:w="1482"/>
        <w:gridCol w:w="1302"/>
        <w:gridCol w:w="1311"/>
        <w:gridCol w:w="109"/>
        <w:gridCol w:w="109"/>
        <w:gridCol w:w="109"/>
        <w:gridCol w:w="648"/>
        <w:gridCol w:w="648"/>
        <w:gridCol w:w="923"/>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Logistics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Aurora Pipeline Company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Midstream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Kern-Southland Energy Link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Niobrara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Delaware Oil Transport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Wink Oil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Finance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Luxembourg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Midstream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Natural Gas Storage,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Service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PAA/Vulcan Gas Storage,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 Pipeline System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Emergency Relief Fund,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Capline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Gas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Bondholder,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Canada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Holdings Canada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Superior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81" w:type="dxa"/>
        <w:jc w:val="center"/>
        <w:tblInd w:w="0" w:type="dxa"/>
        <w:tblLayout w:type="fixed"/>
        <w:tblCellMar>
          <w:top w:w="28" w:type="dxa"/>
          <w:left w:w="28" w:type="dxa"/>
          <w:bottom w:w="28" w:type="dxa"/>
          <w:right w:w="28" w:type="dxa"/>
        </w:tblCellMar>
      </w:tblPr>
      <w:tblGrid>
        <w:gridCol w:w="1245"/>
        <w:gridCol w:w="1093"/>
        <w:gridCol w:w="1097"/>
        <w:gridCol w:w="109"/>
        <w:gridCol w:w="109"/>
        <w:gridCol w:w="109"/>
        <w:gridCol w:w="648"/>
        <w:gridCol w:w="648"/>
        <w:gridCol w:w="923"/>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MidCon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Montana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Products Terminals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Rail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South Texas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(Nova Scotia)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PNGS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POPB NM Crude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LPG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Pipeline Montana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James Rail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Hook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Corridor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333-138888, 333-155673, 333-162477, 333-214778, 333-221845, 333-259387, 333-259390 and 333-267725) and on Form S-8 (No. 333-91141, 333-74920, 333-122806, 333-141185, 333-193139, 333-193140 and 333-256507) of Plains All American Pipeline, L.P. of our report dated February 28, 2024 relating to the financial statements and the effectiveness of internal control over financial reporting, which appears in this Form 10-K.</w:t>
      </w:r>
    </w:p>
    <w:tbl>
      <w:tblPr>
        <w:tblW w:w="2790" w:type="dxa"/>
        <w:jc w:val="left"/>
        <w:tblInd w:w="0" w:type="dxa"/>
        <w:tblLayout w:type="fixed"/>
        <w:tblCellMar>
          <w:top w:w="28" w:type="dxa"/>
          <w:left w:w="28" w:type="dxa"/>
          <w:bottom w:w="28" w:type="dxa"/>
          <w:right w:w="28" w:type="dxa"/>
        </w:tblCellMar>
      </w:tblPr>
      <w:tblGrid>
        <w:gridCol w:w="890"/>
        <w:gridCol w:w="781"/>
        <w:gridCol w:w="1119"/>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129" w:type="dxa"/>
        <w:jc w:val="left"/>
        <w:tblInd w:w="0" w:type="dxa"/>
        <w:tblLayout w:type="fixed"/>
        <w:tblCellMar>
          <w:top w:w="28" w:type="dxa"/>
          <w:left w:w="28" w:type="dxa"/>
          <w:bottom w:w="28" w:type="dxa"/>
          <w:right w:w="28" w:type="dxa"/>
        </w:tblCellMar>
      </w:tblPr>
      <w:tblGrid>
        <w:gridCol w:w="681"/>
        <w:gridCol w:w="597"/>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Clawback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Plains All American Pipeline, L.P.</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Plains GP Holdings, L.P.</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Purpose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Amended and Restated Clawback Policy (“Policy) has been adopted by the Board of Directors (“Board”) of PAA GP Holdings LLC (the “Company”) to further align the interests of executive officers of the Company with the interests of the unitholders of Plains All American Pipeline, L.P. (“PAA”) and shareholders of Plains GP Holdings, L.P. (“PAGP”), and to incentivize appropriate behaviors and discourage excessive risk taking. References herein to the “Company” shall include PAA and/or PAGP.</w:t>
      </w:r>
    </w:p>
    <w:p>
      <w:pPr>
        <w:pStyle w:val="TextBody"/>
        <w:bidi w:val="0"/>
        <w:spacing w:lineRule="auto" w:line="417" w:before="0" w:after="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Administration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Board hereby delegates to the Compensation Committee (the “Committee”) responsibility for overseeing the implementation and administration of this Policy. The Committee has full and final authority to make all determinations under and take all actions with respect to this Policy as it deems necessary, appropriate or advisable for the administration of this Policy. Any determinations made by the Committee shall be final, conclusive and binding on all affected individuals. In connection with the administration of this Policy, the Committee may consult with the full Board or any other committee of the Board (such as the Audit Committee) as may be necessary or appropriate as to matters within the scope of such other committee’s responsibility and authority. The Committee may also consult with the Chief Financial Officer, Chief Accounting Officer, General Counsel or other officer of the Company, the Company’s independent auditor, or any other advisor, as needed to properly administer and interpret any provision of this Policy. The Committee may authorize and empower any officer or employee of the Company to take any and all actions necessary or appropriate to carry out the purpose and intent of this Policy (other than with respect to any recovery under this Policy involving such officer or employee). </w:t>
      </w:r>
    </w:p>
    <w:p>
      <w:pPr>
        <w:pStyle w:val="TextBody"/>
        <w:bidi w:val="0"/>
        <w:spacing w:lineRule="auto" w:line="417"/>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member of the Committee, of the Board and of any other committee of the Board who assists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 to indemnification of the members of the Board under applicable law or Company policy.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Definitions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purposes of this Policy, the following capitalized terms shall have the meanings set forth below:</w:t>
      </w:r>
    </w:p>
    <w:p>
      <w:pPr>
        <w:pStyle w:val="TextBody"/>
        <w:bidi w:val="0"/>
        <w:spacing w:lineRule="auto" w:line="417"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(a)"Clawback Period” shall mean, with respect to any Restatement, the three completed fiscal years immediately preceding the Restatement Date and any transition period (that results from a change in the Company’s fiscal year) of less than nine months within or immediately following those three completed fiscal years (a transition period of greater than nine months shall count as a completed fiscal year).</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rPr>
        <w:t xml:space="preserve">Covered Executive Officer” shall mean any current or former executive officer of the Company pursuant to Section 16 of the Securities Exchange Act of 1934, as amended (the “Exchange Act”), as determined from time to time by the Board of Directors. </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rPr>
        <w:t>Erroneously Awarded Compensation” shall mean, in the event of a Restatement, the amount of Incentive-Based Compensation received on or after October 2, 2023 that exceeds the amount of Incentive-Based Compensation that otherwise would have been received had it been determined based on the restated amounts in such Restatement, which amount must be computed without regard to any taxes paid by the relevant Covered Executive Officer. For Incentive-Based Compensation based on stock price or total shareholder return (“TSR”), where the amount of Erroneously Awarded Compensation is not subject to mathematical recalculation directly from the information in the Restatement, the amount of Erroneously Awarded Compensation must be based on a reasonable estimate by the Committee of the effect of the Restatement on the stock price or TSR upon which the Incentive-Based Compensation was received, and the Company must maintain documentation of the determination of that reasonable estimate and provide such documentation to the national stock exchange on which the Company’s common equity is listed.</w:t>
      </w:r>
    </w:p>
    <w:p>
      <w:pPr>
        <w:pStyle w:val="TextBody"/>
        <w:bidi w:val="0"/>
        <w:spacing w:lineRule="auto" w:line="417"/>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 xml:space="preserve">Financial Reporting Measure” shall mean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stock price, TSR, revenues, net income, operating income, segment profitability, financial ratios, EBITDA, funds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from operations, liquidity measures, return measures and earnings measures. A Financial Reporting Measure need not be presented in the Company’s financial statements or included in a filing with the SEC to qualify as a Financial Reporting Measure.</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rPr>
        <w:t>Incentive-based Compensation” shall mean any compensation that is granted, earned or vested based wholly or in part upon the attainment of a Financial Reporting Measure. Incentive-Based Compensation is deemed received for purposes of this Policy in the fiscal period during which the specified Financial Reporting Measure is attained, even if the payment or grant of the Incentive-Based Compensation occurs after the end of that period.</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rPr>
        <w:t>Performance-Based Compensation” shall mean any short-term or long-term cash or equity compensation paid or awarded to a Covered Executive Officer, the amount, payment and/or vesting of which is based wholly or in part on achieving a specified performance measure or satisfying individual performance goals or objectives. “Performance measures” shall mean any objective financial or operating metric (such as EBITDA, DCF, total recordable incident rate, etc.) that is used to determine a Covered Executive Officer’s Performance-Based Compensation.</w:t>
      </w:r>
    </w:p>
    <w:p>
      <w:pPr>
        <w:pStyle w:val="TextBody"/>
        <w:bidi w:val="0"/>
        <w:spacing w:lineRule="auto" w:line="417"/>
        <w:ind w:left="0" w:right="0" w:hanging="36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rPr>
        <w:t xml:space="preserve">Restatement” shall mean an accounting restatement due to the Company’s material noncompliance with any financial reporting requirement under U.S. securities laws, including any required accounting restatement to (i) correct an error in previously issued financial statements that is material to the previously issued financial statements (often referred to as a “Big R” restatement), or (ii) correct an error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restatements due to a retrospective: (i) change in accounting principle, (ii) revision to reportable segment information due to a change in the structure of the Company’s internal organization, (iii) reclassification due to a discontinued operation,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(iv) application of a change in reporting entity, such as from a reorganization of entities under common control, (v) adjustment of provisional amounts in connection with a prior business combination, or (vi) revision for stock or unit splits.</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rPr>
        <w:t>Restatement Date” shall mean the earlier to occur of (i) the date that the Board or the Committee concludes, or reasonably should have concluded, that the Company is required to prepare a Restatement, or (ii) the date a court, regulator, or other legally authorized body directs the Company to prepare a Restatement.</w:t>
      </w:r>
    </w:p>
    <w:p>
      <w:pPr>
        <w:pStyle w:val="TextBody"/>
        <w:bidi w:val="0"/>
        <w:spacing w:lineRule="auto" w:line="417" w:before="0" w:after="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Clawback Based on Restatement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the event the Company is required to prepare a Restatement, the Company shall promptly recover the amount of any Erroneously Awarded Compensation received by any Covered Executive Officer during the Clawback Period. The Company’s obligation to recover Erroneously Awarded Compensation is not dependent on if or when a Restatement is filed. Furthermore, the recovery of Erroneously Awarded Compensation from a Covered Executive Officer shall not require the finding of any misconduct or fault by such Covered Executive Officer.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of Section 4 of this Policy shall apply to any Incentive-Based Compensation that is received by a Covered Executive Officer on or after October 2, 2023 even if such Incentive-Based Compensation was approved, awarded, granted or paid to the Covered Executive Officer prior to such date.</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not be obligated to recover Erroneously Awarded Compensation pursuant to this Policy if the Committee determines that recovery would be impracticable solely for one of the following reasons:</w: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national stock exchange on which the Company’s common equity is listed. </w:t>
      </w:r>
    </w:p>
    <w:p>
      <w:pPr>
        <w:pStyle w:val="TextBody"/>
        <w:bidi w:val="0"/>
        <w:spacing w:lineRule="auto" w:line="417"/>
        <w:jc w:val="both"/>
        <w:rPr>
          <w:rFonts w:ascii="Times New Roman;sans-serif" w:hAnsi="Times New Roman;sans-serif"/>
          <w:b w:val="false"/>
          <w:color w:val="000000"/>
          <w:sz w:val="24"/>
        </w:rPr>
      </w:pPr>
      <w:r>
        <w:rPr>
          <w:rFonts w:ascii="Times New Roman;sans-serif" w:hAnsi="Times New Roman;sans-serif"/>
          <w:b w:val="false"/>
          <w:color w:val="000000"/>
          <w:sz w:val="24"/>
        </w:rPr>
        <w:t>(b) Recovery would likely cause an otherwise tax-qualified retirement plan, under which benefits are broadly available to employees of the Company, to fail to meet the requirement of 26 U.S.C. 401(a)(13) or 26 U.S.C. 411(a) and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Clawback Based on Detrimental Conduct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the Committee determines that in connection with a Covered Executive Officer’s employment, such officer (a) committed a significant legal or compliance violation, including violation of a Company policy or PAA’s Code of Business Conduct (which prohibits, among other things, illegal discrimination or harassment), or (b) committed acts or omissions that resulted in a conviction of or guilty plea to a felony under the laws of the United States or any State thereof (or Canada or any province thereof) or any misdemeanor involving moral turpitude, in either case that resulted in significant financial, reputational or other harm to PAA or PAGP, the Committee may direct the Company to seek recovery and/or cancellation of all or a portion of any Performance-Based Compensation and any time-based equity compensation awarded or paid to the executive officer during the three-year period ending on the date the Committee made such determination (or if the Covered Executive Officer is or was not an employee on such date, the three-year period ending on the date such Covered Executive Officer ceased to be an employee). In addition, the Committee may conclude that any unpaid or unvested Performance-Based Compensation has not been earned and must be forfeited and that any unvested time-based equity compensation must be forfeited. The Committee may also recommend that the Company take any other action, including any disciplinary action permitted for a violation of a Company policy. The Committee may direct the Company to seek recovery or forfeiture of Performance-Based Compensation or unvested time-based equity compensation even if the misconduct did not result in an award or payment greater than would have been awarded absent the misconduct.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determining whether to direct the Company to seek recovery or forfeiture and the amount, if any, by which any payment or award should be reduced, the Committee may consider such facts and circumstances as it deems to be relevant, including the seriousness of the detrimental conduct, whether the executive officer was unjustly enriched, and whether seeking the recovery would prejudice the Company’s interest in any way, including in a proceeding or investigation.</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of Section 5 of this Policy are in addition to, and not intended to override or conflict in any way with, the obligations of the Company described elsewhere in this Policy. </w:t>
      </w:r>
    </w:p>
    <w:p>
      <w:pPr>
        <w:pStyle w:val="TextBody"/>
        <w:bidi w:val="0"/>
        <w:spacing w:lineRule="auto" w:line="417"/>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Recovery Methods; Other Recoupment Rights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Company may seek recovery of funds under this Policy in any manner it chooses, including by seeking reimbursement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Covered Executive Officer of all or part of the compensation awarded or paid, by electing to withhold unpaid compensation, by set-off, or by rescinding or cancelling unvested equity awards.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Before the Company seeks recovery pursuant to this Policy, it shall make a written demand for repayment from the Covered Executive Officer and, if such officer does not within a reasonable period of time tender repayment in response to such demand, and the Company determines that he or she is unlikely to do so, the Company may seek a court order against the Covered Executive Officer for such repayment.</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right of recovery under this Policy is in addition to, and not in lieu of, any other remedies or rights of recoupment that may be available to the Company under applicable law or pursuant to the terms of any employment agreement, equity award agreement or similar agreement and any other legal remedies available to the Company.</w:t>
      </w:r>
    </w:p>
    <w:p>
      <w:pPr>
        <w:pStyle w:val="TextBody"/>
        <w:bidi w:val="0"/>
        <w:spacing w:lineRule="auto" w:line="417"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applicable Covered Executive Officer shall be required to reimburse the Company for any and all expenses reasonably incurred (including legal fees) by the Company in recovering amounts under this Policy. </w:t>
      </w:r>
    </w:p>
    <w:p>
      <w:pPr>
        <w:pStyle w:val="TextBody"/>
        <w:bidi w:val="0"/>
        <w:spacing w:lineRule="auto" w:line="417" w:before="0" w:after="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No Indemnification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Company shall not indemnify any Covered Executive Officer against the loss of any Erroneously Awarded Compensation or other compensation recovered, forfeited or cancelled under this Policy.</w:t>
      </w:r>
    </w:p>
    <w:p>
      <w:pPr>
        <w:pStyle w:val="TextBody"/>
        <w:bidi w:val="0"/>
        <w:spacing w:lineRule="auto" w:line="417" w:before="0" w:after="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Disclosures and Recordkeeping.</w:t>
      </w:r>
      <w:r>
        <w:rPr>
          <w:color w:val="000000"/>
        </w:rPr>
        <w:t xml:space="preserve"> </w:t>
      </w:r>
      <w:r>
        <w:rPr>
          <w:rFonts w:ascii="Times New Roman;sans-serif" w:hAnsi="Times New Roman;sans-serif"/>
          <w:b w:val="false"/>
          <w:color w:val="000000"/>
          <w:sz w:val="24"/>
        </w:rPr>
        <w:t xml:space="preserve">The Company shall make all disclosures and filings with respect to this Policy and maintain all documents and records that are required by the applicable rules and forms of the Securities and Exchange Commission (including, without limitation, Rule 10D-1 under the Exchange Act) and any applicable stock exchange listing standards. </w:t>
      </w:r>
    </w:p>
    <w:p>
      <w:pPr>
        <w:pStyle w:val="TextBody"/>
        <w:bidi w:val="0"/>
        <w:spacing w:lineRule="auto" w:line="417" w:before="0" w:after="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Governing Law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validity, construction and effect of this Policy and any determinations relating to this Policy shall be construed in accordance with the laws of the State of Delaware without regard to its conflicts of law principles. </w:t>
      </w:r>
    </w:p>
    <w:p>
      <w:pPr>
        <w:pStyle w:val="TextBody"/>
        <w:bidi w:val="0"/>
        <w:spacing w:lineRule="auto" w:line="417" w:before="0" w:after="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Successors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Policy shall be binding and enforceable against all Covered Executive Officers and their beneficiaries, heirs, executors, administrators or other legal representatives.</w:t>
      </w:r>
    </w:p>
    <w:p>
      <w:pPr>
        <w:pStyle w:val="TextBody"/>
        <w:bidi w:val="0"/>
        <w:spacing w:before="0" w:after="0"/>
        <w:jc w:val="both"/>
        <w:rPr/>
      </w:pPr>
      <w:r>
        <w:rPr/>
      </w:r>
    </w:p>
    <w:p>
      <w:pPr>
        <w:pStyle w:val="TextBody"/>
        <w:bidi w:val="0"/>
        <w:spacing w:lineRule="auto" w:line="417" w:before="120" w:after="283"/>
        <w:jc w:val="right"/>
        <w:rPr/>
      </w:pPr>
      <w:r>
        <w:rPr>
          <w:rFonts w:ascii="Times New Roman;sans-serif" w:hAnsi="Times New Roman;sans-serif"/>
          <w:b w:val="false"/>
          <w:i/>
          <w:color w:val="000000"/>
          <w:sz w:val="24"/>
        </w:rPr>
        <w:t>Adoption Date:</w:t>
      </w:r>
      <w:r>
        <w:rPr>
          <w:color w:val="000000"/>
        </w:rPr>
        <w:t xml:space="preserve"> </w:t>
      </w:r>
      <w:r>
        <w:rPr>
          <w:rFonts w:ascii="Times New Roman;sans-serif" w:hAnsi="Times New Roman;sans-serif"/>
          <w:b w:val="false"/>
          <w:i/>
          <w:color w:val="000000"/>
          <w:sz w:val="24"/>
        </w:rPr>
        <w:t>November 16, 2023</w:t>
      </w:r>
    </w:p>
    <w:p>
      <w:pPr>
        <w:pStyle w:val="TextBody"/>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070423/000110465916132668/a16-14925_1ex2d1.htm" TargetMode="External"/><Relationship Id="rId9" Type="http://schemas.openxmlformats.org/officeDocument/2006/relationships/hyperlink" Target="https://www.sec.gov/Archives/edgar/data/1070423/000110465921091443/tm2121935d1_ex2-1.htm" TargetMode="External"/><Relationship Id="rId10" Type="http://schemas.openxmlformats.org/officeDocument/2006/relationships/hyperlink" Target="http://www.sec.gov/Archives/edgar/data/1070423/000110465917061889/a17-22685_5ex3d1.htm" TargetMode="External"/><Relationship Id="rId11" Type="http://schemas.openxmlformats.org/officeDocument/2006/relationships/hyperlink" Target="http://www.sec.gov/Archives/edgar/data/1070423/000104746904016502/a2135501zex-3_2.htm" TargetMode="External"/><Relationship Id="rId12" Type="http://schemas.openxmlformats.org/officeDocument/2006/relationships/hyperlink" Target="http://www.sec.gov/Archives/edgar/data/1070423/000110465911010359/a11-2319_1ex3d9.htm" TargetMode="External"/><Relationship Id="rId13" Type="http://schemas.openxmlformats.org/officeDocument/2006/relationships/hyperlink" Target="http://www.sec.gov/Archives/edgar/data/1070423/000110465911010359/a11-2319_1ex3d10.htm" TargetMode="External"/><Relationship Id="rId14" Type="http://schemas.openxmlformats.org/officeDocument/2006/relationships/hyperlink" Target="http://www.sec.gov/Archives/edgar/data/1070423/000110465914014322/a13-25941_1ex3d7.htm" TargetMode="External"/><Relationship Id="rId15" Type="http://schemas.openxmlformats.org/officeDocument/2006/relationships/hyperlink" Target="http://www.sec.gov/Archives/edgar/data/1070423/000110465914014322/a13-25941_1ex3d8.htm" TargetMode="External"/><Relationship Id="rId16" Type="http://schemas.openxmlformats.org/officeDocument/2006/relationships/hyperlink" Target="http://www.sec.gov/Archives/edgar/data/1070423/000107042320000004/paa201910-kexhibit37.htm" TargetMode="External"/><Relationship Id="rId17" Type="http://schemas.openxmlformats.org/officeDocument/2006/relationships/hyperlink" Target="http://www.sec.gov/Archives/edgar/data/1070423/000104746904016502/a2135501zex-3_3.htm" TargetMode="External"/><Relationship Id="rId18" Type="http://schemas.openxmlformats.org/officeDocument/2006/relationships/hyperlink" Target="http://www.sec.gov/Archives/edgar/data/1070423/000110465914014322/a13-25941_1ex3d10.htm" TargetMode="External"/><Relationship Id="rId19" Type="http://schemas.openxmlformats.org/officeDocument/2006/relationships/hyperlink" Target="http://www.sec.gov/Archives/edgar/data/1070423/000110465916158355/a16-21841_1ex3d3.htm" TargetMode="External"/><Relationship Id="rId20" Type="http://schemas.openxmlformats.org/officeDocument/2006/relationships/hyperlink" Target="http://www.sec.gov/Archives/edgar/data/1070423/000110465916158355/a16-21841_1ex3d4.htm" TargetMode="External"/><Relationship Id="rId21" Type="http://schemas.openxmlformats.org/officeDocument/2006/relationships/hyperlink" Target="http://www.sec.gov/Archives/edgar/data/1070423/000110465918060011/a18-36196_1ex3d1.htm" TargetMode="External"/><Relationship Id="rId22" Type="http://schemas.openxmlformats.org/officeDocument/2006/relationships/hyperlink" Target="http://www.sec.gov/Archives/edgar/data/1070423/000110465919032810/a19-10856_1ex3d1.htm" TargetMode="External"/><Relationship Id="rId23" Type="http://schemas.openxmlformats.org/officeDocument/2006/relationships/hyperlink" Target="https://www.sec.gov/Archives/edgar/data/1070423/000110465923093997/tm2324104d2_ex3-1.htm" TargetMode="External"/><Relationship Id="rId24" Type="http://schemas.openxmlformats.org/officeDocument/2006/relationships/hyperlink" Target="http://www.sec.gov/Archives/edgar/data/1070423/000095012907001096/h43224exv3w10.htm" TargetMode="External"/><Relationship Id="rId25" Type="http://schemas.openxmlformats.org/officeDocument/2006/relationships/hyperlink" Target="http://www.sec.gov/Archives/edgar/data/1070423/000095012907001096/h43224exv3w11.htm" TargetMode="External"/><Relationship Id="rId26" Type="http://schemas.openxmlformats.org/officeDocument/2006/relationships/hyperlink" Target="http://www.sec.gov/Archives/edgar/data/1070423/000095012908000071/h52770exv3w3.htm" TargetMode="External"/><Relationship Id="rId27" Type="http://schemas.openxmlformats.org/officeDocument/2006/relationships/hyperlink" Target="http://www.sec.gov/Archives/edgar/data/1581990/000104746913007875/a2216069zex-3_1.htm" TargetMode="External"/><Relationship Id="rId28" Type="http://schemas.openxmlformats.org/officeDocument/2006/relationships/hyperlink" Target="http://www.sec.gov/Archives/edgar/data/1581990/000110465916158356/a16-21845_1ex3d2.htm" TargetMode="External"/><Relationship Id="rId29" Type="http://schemas.openxmlformats.org/officeDocument/2006/relationships/hyperlink" Target="http://www.sec.gov/Archives/edgar/data/1581990/000158199020000012/exhibit31.htm" TargetMode="External"/><Relationship Id="rId30" Type="http://schemas.openxmlformats.org/officeDocument/2006/relationships/hyperlink" Target="http://www.sec.gov/Archives/edgar/data/1581990/000104746913007875/a2216069zex-3_3.htm" TargetMode="External"/><Relationship Id="rId31" Type="http://schemas.openxmlformats.org/officeDocument/2006/relationships/hyperlink" Target="https://www.sec.gov/Archives/edgar/data/1070423/000107042322000006/paa202110-kexhibite69.htm" TargetMode="External"/><Relationship Id="rId32" Type="http://schemas.openxmlformats.org/officeDocument/2006/relationships/hyperlink" Target="http://www.sec.gov/Archives/edgar/data/1070423/000089924302002834/dex41.txt" TargetMode="External"/><Relationship Id="rId33" Type="http://schemas.openxmlformats.org/officeDocument/2006/relationships/hyperlink" Target="http://www.sec.gov/Archives/edgar/data/1070423/000110465906034368/a06-11663_1ex4d1.htm" TargetMode="External"/><Relationship Id="rId34" Type="http://schemas.openxmlformats.org/officeDocument/2006/relationships/hyperlink" Target="http://www.sec.gov/Archives/edgar/data/1070423/000095012906009235/h40667exv4w2.htm" TargetMode="External"/><Relationship Id="rId35" Type="http://schemas.openxmlformats.org/officeDocument/2006/relationships/hyperlink" Target="http://www.sec.gov/Archives/edgar/data/1070423/000119312512132295/d321017dex43.htm" TargetMode="External"/><Relationship Id="rId36" Type="http://schemas.openxmlformats.org/officeDocument/2006/relationships/hyperlink" Target="http://www.sec.gov/Archives/edgar/data/1070423/000119312512499932/d453762dex43.htm" TargetMode="External"/><Relationship Id="rId37" Type="http://schemas.openxmlformats.org/officeDocument/2006/relationships/hyperlink" Target="http://www.sec.gov/Archives/edgar/data/1070423/000119312514164183/d713938dex41.htm" TargetMode="External"/><Relationship Id="rId38" Type="http://schemas.openxmlformats.org/officeDocument/2006/relationships/hyperlink" Target="http://www.sec.gov/Archives/edgar/data/1070423/000119312514338289/d787160dex41.htm" TargetMode="External"/><Relationship Id="rId39" Type="http://schemas.openxmlformats.org/officeDocument/2006/relationships/hyperlink" Target="http://www.sec.gov/Archives/edgar/data/1070423/000119312514440007/d833885dex43.htm" TargetMode="External"/><Relationship Id="rId40" Type="http://schemas.openxmlformats.org/officeDocument/2006/relationships/hyperlink" Target="http://www.sec.gov/Archives/edgar/data/1070423/000119312515302829/d45393dex41.htm" TargetMode="External"/><Relationship Id="rId41" Type="http://schemas.openxmlformats.org/officeDocument/2006/relationships/hyperlink" Target="http://www.sec.gov/Archives/edgar/data/1070423/000110465916159593/a16-22232_1ex4d1.htm" TargetMode="External"/><Relationship Id="rId42" Type="http://schemas.openxmlformats.org/officeDocument/2006/relationships/hyperlink" Target="http://www.sec.gov/Archives/edgar/data/1070423/000141057819001281/tv529555_ex4-1.htm" TargetMode="External"/><Relationship Id="rId43" Type="http://schemas.openxmlformats.org/officeDocument/2006/relationships/hyperlink" Target="http://www.sec.gov/Archives/edgar/data/1070423/000110465920072270/tm2022235d1_ex4-1.htm" TargetMode="External"/><Relationship Id="rId44" Type="http://schemas.openxmlformats.org/officeDocument/2006/relationships/hyperlink" Target="http://www.sec.gov/Archives/edgar/data/1070423/000095012309050401/h68193exv4w1.htm" TargetMode="External"/><Relationship Id="rId45" Type="http://schemas.openxmlformats.org/officeDocument/2006/relationships/hyperlink" Target="http://www.sec.gov/Archives/edgar/data/1070423/000110465916093299/a16-3362_1ex4d1.htm" TargetMode="External"/><Relationship Id="rId46" Type="http://schemas.openxmlformats.org/officeDocument/2006/relationships/hyperlink" Target="http://www.sec.gov/Archives/edgar/data/1070423/000110465916158355/a16-21841_1ex10d4.htm" TargetMode="External"/><Relationship Id="rId47" Type="http://schemas.openxmlformats.org/officeDocument/2006/relationships/hyperlink" Target="https://www.sec.gov/Archives/edgar/data/1070423/000110465921109829/tm2125729d3_ex10-1.htm" TargetMode="External"/><Relationship Id="rId48" Type="http://schemas.openxmlformats.org/officeDocument/2006/relationships/hyperlink" Target="https://www.sec.gov/Archives/edgar/data/1070423/000110465922094478/tm2224524d1_ex10-1.htm" TargetMode="External"/><Relationship Id="rId49" Type="http://schemas.openxmlformats.org/officeDocument/2006/relationships/hyperlink" Target="https://www.sec.gov/Archives/edgar/data/1070423/000110465921109829/tm2125729d3_ex10-2.htm" TargetMode="External"/><Relationship Id="rId50" Type="http://schemas.openxmlformats.org/officeDocument/2006/relationships/hyperlink" Target="https://www.sec.gov/Archives/edgar/data/1070423/000110465922094478/tm2224524d1_ex10-2.htm" TargetMode="External"/><Relationship Id="rId51" Type="http://schemas.openxmlformats.org/officeDocument/2006/relationships/hyperlink" Target="http://www.sec.gov/Archives/edgar/data/1070423/000095012908000071/h52770exv10w2.htm" TargetMode="External"/><Relationship Id="rId52" Type="http://schemas.openxmlformats.org/officeDocument/2006/relationships/hyperlink" Target="http://www.sec.gov/Archives/edgar/data/1070423/000110465916158355/a16-21841_1ex10d1.htm" TargetMode="External"/><Relationship Id="rId53" Type="http://schemas.openxmlformats.org/officeDocument/2006/relationships/hyperlink" Target="http://www.sec.gov/Archives/edgar/data/1070423/000110465916158355/a16-21841_1ex10d2.htm" TargetMode="External"/><Relationship Id="rId54" Type="http://schemas.openxmlformats.org/officeDocument/2006/relationships/hyperlink" Target="http://www.sec.gov/Archives/edgar/data/1070423/000089924301501783/dex101.txt" TargetMode="External"/><Relationship Id="rId55" Type="http://schemas.openxmlformats.org/officeDocument/2006/relationships/hyperlink" Target="http://www.sec.gov/Archives/edgar/data/1070423/000104746909001897/a2190434zex-10_49.htm" TargetMode="External"/><Relationship Id="rId56" Type="http://schemas.openxmlformats.org/officeDocument/2006/relationships/hyperlink" Target="http://www.sec.gov/Archives/edgar/data/1070423/000110465911010359/a11-2319_1ex10d31.htm" TargetMode="External"/><Relationship Id="rId57" Type="http://schemas.openxmlformats.org/officeDocument/2006/relationships/hyperlink" Target="http://www.sec.gov/Archives/edgar/data/1070423/000110465913078056/a13-22862_1ex10d2.htm" TargetMode="External"/><Relationship Id="rId58" Type="http://schemas.openxmlformats.org/officeDocument/2006/relationships/hyperlink" Target="http://www.sec.gov/Archives/edgar/data/1070423/000107042318000015/paaq32018exhibit106.htm" TargetMode="External"/><Relationship Id="rId59" Type="http://schemas.openxmlformats.org/officeDocument/2006/relationships/hyperlink" Target="http://www.sec.gov/Archives/edgar/data/1070423/000107042320000004/paa201910-kexhibit1031.htm" TargetMode="External"/><Relationship Id="rId60" Type="http://schemas.openxmlformats.org/officeDocument/2006/relationships/hyperlink" Target="https://www.sec.gov/Archives/edgar/data/1070423/000107042322000006/paa202110-kexhibit1012.htm" TargetMode="External"/><Relationship Id="rId61" Type="http://schemas.openxmlformats.org/officeDocument/2006/relationships/hyperlink" Target="http://www.sec.gov/Archives/edgar/data/1070423/000089924301501783/dex102.txt" TargetMode="External"/><Relationship Id="rId62" Type="http://schemas.openxmlformats.org/officeDocument/2006/relationships/hyperlink" Target="http://www.sec.gov/Archives/edgar/data/1070423/000104746909001897/a2190434zex-10_50.htm" TargetMode="External"/><Relationship Id="rId63" Type="http://schemas.openxmlformats.org/officeDocument/2006/relationships/hyperlink" Target="http://www.sec.gov/Archives/edgar/data/1070423/000107042319000013/paaq32019exhibit101.htm" TargetMode="External"/><Relationship Id="rId64" Type="http://schemas.openxmlformats.org/officeDocument/2006/relationships/hyperlink" Target="http://www.sec.gov/Archives/edgar/data/1070423/000110465911010359/a11-2319_1ex10d32.htm" TargetMode="External"/><Relationship Id="rId65" Type="http://schemas.openxmlformats.org/officeDocument/2006/relationships/hyperlink" Target="http://www.sec.gov/Archives/edgar/data/1070423/000110465913078056/a13-22862_1ex10d3.htm" TargetMode="External"/><Relationship Id="rId66" Type="http://schemas.openxmlformats.org/officeDocument/2006/relationships/hyperlink" Target="http://www.sec.gov/Archives/edgar/data/1070423/000110465916100030/a15-24557_1ex10d53.htm" TargetMode="External"/><Relationship Id="rId67" Type="http://schemas.openxmlformats.org/officeDocument/2006/relationships/hyperlink" Target="http://www.sec.gov/Archives/edgar/data/1070423/000107042318000015/paaq32018exhibit107.htm" TargetMode="External"/><Relationship Id="rId68" Type="http://schemas.openxmlformats.org/officeDocument/2006/relationships/hyperlink" Target="http://www.sec.gov/Archives/edgar/data/1070423/000107042318000015/paaq32018exhibit108.htm" TargetMode="External"/><Relationship Id="rId69" Type="http://schemas.openxmlformats.org/officeDocument/2006/relationships/hyperlink" Target="http://www.sec.gov/Archives/edgar/data/1070423/000110465913093006/a13-26950_1ex4d4.htm" TargetMode="External"/><Relationship Id="rId70" Type="http://schemas.openxmlformats.org/officeDocument/2006/relationships/hyperlink" Target="http://www.sec.gov/Archives/edgar/data/1481506/000095012310047963/h72950exv10w2.htm" TargetMode="External"/><Relationship Id="rId71" Type="http://schemas.openxmlformats.org/officeDocument/2006/relationships/hyperlink" Target="http://www.sec.gov/Archives/edgar/data/1581990/000110465913078057/a13-22338_2ex10d3.htm" TargetMode="External"/><Relationship Id="rId72" Type="http://schemas.openxmlformats.org/officeDocument/2006/relationships/hyperlink" Target="http://www.sec.gov/Archives/edgar/data/1070423/000107042319000013/paaq32019exhibit102.htm" TargetMode="External"/><Relationship Id="rId73" Type="http://schemas.openxmlformats.org/officeDocument/2006/relationships/hyperlink" Target="http://www.sec.gov/Archives/edgar/data/1070423/000107042320000031/paaq3202010-qexhibit102.htm" TargetMode="External"/><Relationship Id="rId74" Type="http://schemas.openxmlformats.org/officeDocument/2006/relationships/hyperlink" Target="https://www.sec.gov/Archives/edgar/data/1070423/000107042321000008/paa202010-kexhibit1053.htm" TargetMode="External"/><Relationship Id="rId75" Type="http://schemas.openxmlformats.org/officeDocument/2006/relationships/hyperlink" Target="https://www.sec.gov/Archives/edgar/data/1070423/000107042322000012/paaq12022exhibit101.htm" TargetMode="External"/><Relationship Id="rId76" Type="http://schemas.openxmlformats.org/officeDocument/2006/relationships/hyperlink" Target="https://www.sec.gov/Archives/edgar/data/1070423/000107042321000028/paaq3202110-qexhibit103.htm" TargetMode="External"/><Relationship Id="rId77" Type="http://schemas.openxmlformats.org/officeDocument/2006/relationships/hyperlink" Target="https://www.sec.gov/Archives/edgar/data/1070423/000107042321000028/paaq3202110-qexhibit104.htm" TargetMode="External"/><Relationship Id="rId78" Type="http://schemas.openxmlformats.org/officeDocument/2006/relationships/hyperlink" Target="https://www.sec.gov/Archives/edgar/data/1070423/000107042322000026/paaq3202210-qexhibit104.htm" TargetMode="External"/><Relationship Id="rId79" Type="http://schemas.openxmlformats.org/officeDocument/2006/relationships/hyperlink" Target="https://www.sec.gov/Archives/edgar/data/1070423/000107042323000024/paaq32023exhibit101.htm" TargetMode="External"/><Relationship Id="rId80" Type="http://schemas.openxmlformats.org/officeDocument/2006/relationships/hyperlink" Target="https://www.sec.gov/Archives/edgar/data/1070423/000107042323000024/paaq32023exhibit101.htm" TargetMode="External"/><Relationship Id="rId81" Type="http://schemas.openxmlformats.org/officeDocument/2006/relationships/hyperlink" Target="https://www.sec.gov/Archives/edgar/data/1070423/000107042323000024/paaq32023exhibit101.htm" TargetMode="External"/><Relationship Id="rId82" Type="http://schemas.openxmlformats.org/officeDocument/2006/relationships/hyperlink" Target="https://www.sec.gov/Archives/edgar/data/1070423/000107042323000024/paaq32023exhibit102.htm" TargetMode="External"/><Relationship Id="rId83" Type="http://schemas.openxmlformats.org/officeDocument/2006/relationships/hyperlink" Target="https://www.sec.gov/Archives/edgar/data/1070423/000107042323000024/paaq32023exhibit102.htm" TargetMode="External"/><Relationship Id="rId84" Type="http://schemas.openxmlformats.org/officeDocument/2006/relationships/hyperlink" Target="https://www.sec.gov/Archives/edgar/data/1070423/000107042323000024/paaq32023exhibit102.htm" TargetMode="External"/><Relationship Id="rId85" Type="http://schemas.openxmlformats.org/officeDocument/2006/relationships/hyperlink" Target="https://www.sec.gov/Archives/edgar/data/1070423/000107042323000024/paaq32023exhibit102.htm" TargetMode="External"/><Relationship Id="rId86" Type="http://schemas.openxmlformats.org/officeDocument/2006/relationships/hyperlink" Target="https://www.sec.gov/Archives/edgar/data/1070423/000107042323000024/paaq32023exhibit102.htm" TargetMode="External"/><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105459</Words>
  <Characters>583601</Characters>
  <CharactersWithSpaces>684073</CharactersWithSpaces>
  <Paragraphs>7003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