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November 6, 2026</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41"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41"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4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8"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6"/>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A Shares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PAGP</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216"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November 6, 2026, the Registrant issued a press release reporting its third-quarter 2026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4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Press Release dated November 6, 2026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PLAINS GP HOLDINGS, L.P.</w:t>
      </w:r>
    </w:p>
    <w:p>
      <w:pPr>
        <w:spacing w:after="0" w:line="296" w:lineRule="exact"/>
        <w:rPr>
          <w:sz w:val="20"/>
          <w:szCs w:val="20"/>
          <w:color w:val="auto"/>
        </w:rPr>
      </w:pPr>
    </w:p>
    <w:p>
      <w:pPr>
        <w:ind w:left="5160"/>
        <w:spacing w:after="0"/>
        <w:tabs>
          <w:tab w:leader="none" w:pos="5600" w:val="left"/>
        </w:tabs>
        <w:rPr>
          <w:sz w:val="20"/>
          <w:szCs w:val="20"/>
          <w:color w:val="auto"/>
        </w:rPr>
      </w:pPr>
      <w:r>
        <w:rPr>
          <w:rFonts w:ascii="Times New Roman" w:cs="Times New Roman" w:eastAsia="Times New Roman" w:hAnsi="Times New Roman"/>
          <w:sz w:val="17"/>
          <w:szCs w:val="17"/>
          <w:color w:val="auto"/>
        </w:rPr>
        <w:t>By:</w:t>
        <w:tab/>
        <w:t>PAA GP Holdings LLC, its general partner</w:t>
      </w:r>
    </w:p>
    <w:p>
      <w:pPr>
        <w:spacing w:after="0" w:line="296" w:lineRule="exact"/>
        <w:rPr>
          <w:sz w:val="20"/>
          <w:szCs w:val="20"/>
          <w:color w:val="auto"/>
        </w:rPr>
      </w:pPr>
    </w:p>
    <w:p>
      <w:pPr>
        <w:ind w:left="640"/>
        <w:spacing w:after="0"/>
        <w:tabs>
          <w:tab w:leader="none" w:pos="5140" w:val="left"/>
          <w:tab w:leader="none" w:pos="5600" w:val="left"/>
        </w:tabs>
        <w:rPr>
          <w:sz w:val="20"/>
          <w:szCs w:val="20"/>
          <w:color w:val="auto"/>
        </w:rPr>
      </w:pPr>
      <w:r>
        <w:rPr>
          <w:rFonts w:ascii="Times New Roman" w:cs="Times New Roman" w:eastAsia="Times New Roman" w:hAnsi="Times New Roman"/>
          <w:sz w:val="17"/>
          <w:szCs w:val="17"/>
          <w:color w:val="auto"/>
        </w:rPr>
        <w:t>Date: November 6, 2026</w:t>
      </w:r>
      <w:r>
        <w:rPr>
          <w:sz w:val="20"/>
          <w:szCs w:val="20"/>
          <w:color w:val="auto"/>
        </w:rPr>
        <w:tab/>
      </w:r>
      <w:r>
        <w:rPr>
          <w:rFonts w:ascii="Times New Roman" w:cs="Times New Roman" w:eastAsia="Times New Roman" w:hAnsi="Times New Roman"/>
          <w:sz w:val="17"/>
          <w:szCs w:val="17"/>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17780</wp:posOffset>
            </wp:positionV>
            <wp:extent cx="3646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6170" cy="8255"/>
                    </a:xfrm>
                    <a:prstGeom prst="rect">
                      <a:avLst/>
                    </a:prstGeom>
                    <a:noFill/>
                  </pic:spPr>
                </pic:pic>
              </a:graphicData>
            </a:graphic>
          </wp:anchor>
        </w:drawing>
      </w:r>
    </w:p>
    <w:p>
      <w:pPr>
        <w:spacing w:after="0" w:line="30" w:lineRule="exact"/>
        <w:rPr>
          <w:sz w:val="20"/>
          <w:szCs w:val="20"/>
          <w:color w:val="auto"/>
        </w:rPr>
      </w:pPr>
    </w:p>
    <w:p>
      <w:pPr>
        <w:ind w:left="5620"/>
        <w:spacing w:after="0"/>
        <w:tabs>
          <w:tab w:leader="none" w:pos="64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Al Swanson</w:t>
      </w:r>
    </w:p>
    <w:p>
      <w:pPr>
        <w:spacing w:after="0" w:line="33" w:lineRule="exact"/>
        <w:rPr>
          <w:sz w:val="20"/>
          <w:szCs w:val="20"/>
          <w:color w:val="auto"/>
        </w:rPr>
      </w:pPr>
    </w:p>
    <w:p>
      <w:pPr>
        <w:ind w:left="5620"/>
        <w:spacing w:after="0"/>
        <w:tabs>
          <w:tab w:leader="none" w:pos="64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020"/>
          </w:cols>
          <w:pgMar w:left="320" w:top="946"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430530</wp:posOffset>
            </wp:positionV>
            <wp:extent cx="2362835" cy="910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62835"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Plains All American Reports Third-Quarter 2026 Results</w:t>
      </w:r>
    </w:p>
    <w:p>
      <w:pPr>
        <w:spacing w:after="0" w:line="24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Houston, TX – November 6, 2026 – Plains All American Pipeline, L.P. (Nasdaq: PAA) and Plains GP Holdings (Nasdaq: PAGP) today reported third-quarter 2026 results and provided the following highlights: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Third-Quarter 2026 Results</w:t>
      </w:r>
    </w:p>
    <w:p>
      <w:pPr>
        <w:spacing w:after="0" w:line="144"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Third-quarter Net income attributable to PAA of $363 million and Net cash provided by operating activities of $669 million</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strong third-quarter Adjusted EBITDA attributable to PAA of $711 million</w:t>
      </w:r>
    </w:p>
    <w:p>
      <w:pPr>
        <w:spacing w:after="0" w:line="127"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leverage ratio at quarter-end was ~3.6x reflecting the issuance of $1.5 billion of Junior Subordinated notes and redemption of $2.3 billion of Series A and Series B Preferred Units (includes all announced transactions); recent balance sheet optimization is expected to generate ~$60 million ($0.09/unit) of distributable cash flow accretion to common unitholders annually</w:t>
      </w:r>
    </w:p>
    <w:p>
      <w:pPr>
        <w:spacing w:after="0" w:line="8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a quarterly cash distribution of $0.4175 per unit ($1.67 per unit annualized), representing a current distribution yield of ~7%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 and Recent Announcements</w:t>
      </w:r>
    </w:p>
    <w:p>
      <w:pPr>
        <w:spacing w:after="0" w:line="132" w:lineRule="exact"/>
        <w:rPr>
          <w:sz w:val="20"/>
          <w:szCs w:val="20"/>
          <w:color w:val="auto"/>
        </w:rPr>
      </w:pPr>
    </w:p>
    <w:p>
      <w:pPr>
        <w:ind w:left="620" w:right="5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Permian JV gathering system adding ~270,000 dedicated acres in the Midland Basin supported by 10-year agreements with a large integrated producer with estimated gross volumes of ~225mbbl/d commencing in the fourth quarter of 2027 with opportunity for future growth</w:t>
      </w:r>
    </w:p>
    <w:p>
      <w:pPr>
        <w:spacing w:after="0" w:line="73" w:lineRule="exact"/>
        <w:rPr>
          <w:rFonts w:ascii="Times New Roman" w:cs="Times New Roman" w:eastAsia="Times New Roman" w:hAnsi="Times New Roman"/>
          <w:sz w:val="17"/>
          <w:szCs w:val="17"/>
          <w:color w:val="auto"/>
        </w:rPr>
      </w:pPr>
    </w:p>
    <w:p>
      <w:pPr>
        <w:ind w:left="620" w:right="40" w:hanging="307"/>
        <w:spacing w:after="0" w:line="28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the previously announced acquisition of a Powder River Basin gathering system and related assets (“Silver Creek”) from subsidiaries of Tailwater Capital and The Energy &amp; Minerals Group on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for aggregate cash consideration of approximately $585 million</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track to deliver full-year 2026 Adjusted EBITDA guidance attributable to PAA of $2.880 billion +/- $50 million</w:t>
      </w:r>
    </w:p>
    <w:p>
      <w:pPr>
        <w:spacing w:after="0" w:line="12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Crude Oil growth estimated ~$370 million in 2026 versus 2025, or ~16% (includes full year contribution from Cactus III acquisition)</w:t>
      </w:r>
    </w:p>
    <w:p>
      <w:pPr>
        <w:spacing w:after="0" w:line="140"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on three key initiatives for the year: closed the NGL sale in May 2026, captured $50 million of synergies on the Cactus III acquisition and on track to deliver $50 million of efficiencies across the organization in 2026</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“Our company delivered solid operational performance year-to-date with continued execution across the organization on our key initiatives for the year. We are driving efficient growth through multiple avenues including a further expansion of our Permian gathering footprint to service additional acreage in the Midland Basin with a large integrated producer. The recent acquisition of Silver Creek provides Plains with immediate scale in the Powder River Basin, where we expect significant production growth over the coming years, and enhanced integration with our existing downstream assets. The recent junior subordinated notes offering and corresponding redemption of preferred securities is expected to generate distributable cash flow accretion to common unitholders. Finally, the oil macro environment remains volatile, yet constructive, and we see multiple tailwinds for our business as we build momentum into 2027. We remain focused on a disciplined growth strategy, maintaining financial flexibility and increasing return of capital to our unitholders,” said Willie Chiang, Chairman, CEO and President.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Reporting Considerations</w:t>
      </w:r>
    </w:p>
    <w:p>
      <w:pPr>
        <w:spacing w:after="0" w:line="244" w:lineRule="exact"/>
        <w:rPr>
          <w:sz w:val="20"/>
          <w:szCs w:val="20"/>
          <w:color w:val="auto"/>
        </w:rPr>
      </w:pPr>
    </w:p>
    <w:p>
      <w:pPr>
        <w:ind w:right="280"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Sale of Canadian NGL Business</w:t>
      </w:r>
      <w:r>
        <w:rPr>
          <w:rFonts w:ascii="Times New Roman" w:cs="Times New Roman" w:eastAsia="Times New Roman" w:hAnsi="Times New Roman"/>
          <w:sz w:val="17"/>
          <w:szCs w:val="17"/>
          <w:color w:val="auto"/>
        </w:rPr>
        <w:t>. On May 12, 2026, we completed the sale of our NGL business in Canada (the “Canadian NGL Business”) to Keyera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 (“Keyera”), pursuant to a definitive share purchase agreement (as amended to date, the “SPA”) entered into on June 17, 2025. We determined that the operations of the Canadian NGL Business met the criteria for classification as held for sale and for discontinued operations reporting. Results throughout this release specify if they are presented from continuing operations (which exclude results related to the Canadian NGL Business) and/or discontinued operations.</w:t>
      </w:r>
    </w:p>
    <w:p>
      <w:pPr>
        <w:spacing w:after="0" w:line="193"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During the third quarter of 2026, we reorganized our historical operating and reportable segments, Crude Oil and NGL, into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segment. The change in our segment reflects changes in our business structure and the manner in which our management views and evaluates the business. This was driven by several factors, including (i) the completion of initiatives to (a) divest NGL assets (including the sale of the Canadian NGL Business in May 2026), (b) enhance the connectivity of our core asset base, and (c) streamline operations and management with a focused emphasis on our consolidated crude oil business, and (ii) management of commercial opportunities and operations across North America with a focus on optimization of profit, without regard to market or geographic location. All segment data and related disclosures for earlier periods presented herein have been recast to reflect the new segment reporting structure.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unit and per unit data)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5"/>
        </w:trPr>
        <w:tc>
          <w:tcPr>
            <w:tcW w:w="52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GAAP Results </w:t>
            </w:r>
            <w:r>
              <w:rPr>
                <w:rFonts w:ascii="Times New Roman" w:cs="Times New Roman" w:eastAsia="Times New Roman" w:hAnsi="Times New Roman"/>
                <w:sz w:val="17"/>
                <w:szCs w:val="17"/>
                <w:b w:val="1"/>
                <w:bCs w:val="1"/>
                <w:i w:val="1"/>
                <w:iCs w:val="1"/>
                <w:color w:val="auto"/>
                <w:vertAlign w:val="superscript"/>
              </w:rPr>
              <w:t>(1)</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25"/>
        </w:trPr>
        <w:tc>
          <w:tcPr>
            <w:tcW w:w="5280" w:type="dxa"/>
            <w:vAlign w:val="bottom"/>
            <w:gridSpan w:val="4"/>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(2)</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3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Diluted net income/(loss) per common unit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0" w:type="dxa"/>
            <w:vAlign w:val="bottom"/>
          </w:tcPr>
          <w:p>
            <w:pPr>
              <w:spacing w:after="0"/>
              <w:rPr>
                <w:sz w:val="1"/>
                <w:szCs w:val="1"/>
                <w:color w:val="auto"/>
              </w:rPr>
            </w:pPr>
          </w:p>
        </w:tc>
      </w:tr>
      <w:tr>
        <w:trPr>
          <w:trHeight w:val="233"/>
        </w:trPr>
        <w:tc>
          <w:tcPr>
            <w:tcW w:w="5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3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3"/>
        </w:trPr>
        <w:tc>
          <w:tcPr>
            <w:tcW w:w="5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0.4175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 (3)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25"/>
        </w:trPr>
        <w:tc>
          <w:tcPr>
            <w:tcW w:w="5280" w:type="dxa"/>
            <w:vAlign w:val="bottom"/>
            <w:gridSpan w:val="4"/>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Adjusted net income attributable to PAA </w:t>
            </w:r>
            <w:r>
              <w:rPr>
                <w:rFonts w:ascii="Times New Roman" w:cs="Times New Roman" w:eastAsia="Times New Roman" w:hAnsi="Times New Roman"/>
                <w:sz w:val="22"/>
                <w:szCs w:val="22"/>
                <w:color w:val="auto"/>
                <w:vertAlign w:val="superscript"/>
              </w:rPr>
              <w:t>(2)</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3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Diluted adjusted net income/(loss) per common unit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3"/>
        </w:trPr>
        <w:tc>
          <w:tcPr>
            <w:tcW w:w="5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33"/>
        </w:trPr>
        <w:tc>
          <w:tcPr>
            <w:tcW w:w="5280" w:type="dxa"/>
            <w:vAlign w:val="bottom"/>
            <w:gridSpan w:val="4"/>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33"/>
        </w:trPr>
        <w:tc>
          <w:tcPr>
            <w:tcW w:w="5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33"/>
        </w:trPr>
        <w:tc>
          <w:tcPr>
            <w:tcW w:w="5280" w:type="dxa"/>
            <w:vAlign w:val="bottom"/>
            <w:gridSpan w:val="4"/>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4,728</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80" w:type="dxa"/>
            <w:vAlign w:val="bottom"/>
            <w:gridSpan w:val="4"/>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80" w:type="dxa"/>
            <w:vAlign w:val="bottom"/>
            <w:gridSpan w:val="4"/>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152 %</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4,764</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528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80" w:type="dxa"/>
            <w:vAlign w:val="bottom"/>
            <w:gridSpan w:val="4"/>
            <w:shd w:val="clear" w:color="auto" w:fill="CCEEFF"/>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Assets &amp; Liabilities) </w:t>
            </w:r>
            <w:r>
              <w:rPr>
                <w:rFonts w:ascii="Times New Roman" w:cs="Times New Roman" w:eastAsia="Times New Roman" w:hAnsi="Times New Roman"/>
                <w:sz w:val="22"/>
                <w:szCs w:val="22"/>
                <w:color w:val="auto"/>
                <w:vertAlign w:val="superscript"/>
              </w:rPr>
              <w:t>(4)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that variance as a percentage is not meaningful.</w:t>
      </w:r>
    </w:p>
    <w:p>
      <w:pPr>
        <w:spacing w:after="0" w:line="26"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the applicable periods presented. See the tables attached hereto for additional information.</w:t>
      </w:r>
    </w:p>
    <w:p>
      <w:pPr>
        <w:spacing w:after="0" w:line="58" w:lineRule="exact"/>
        <w:rPr>
          <w:rFonts w:ascii="Times New Roman" w:cs="Times New Roman" w:eastAsia="Times New Roman" w:hAnsi="Times New Roman"/>
          <w:sz w:val="19"/>
          <w:szCs w:val="19"/>
          <w:color w:val="auto"/>
          <w:vertAlign w:val="superscript"/>
        </w:rPr>
      </w:pPr>
    </w:p>
    <w:p>
      <w:pPr>
        <w:ind w:left="300" w:hanging="297"/>
        <w:spacing w:after="0" w:line="191" w:lineRule="auto"/>
        <w:tabs>
          <w:tab w:leader="none" w:pos="3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amounts attributable to noncontrolling interests in the Plains Oryx Permian Basin LLC (the “Permian JV”), Cactus II Pipeline LLC and Red River Pipeline LLC joint ventures.</w:t>
      </w:r>
    </w:p>
    <w:p>
      <w:pPr>
        <w:spacing w:after="0" w:line="50" w:lineRule="exact"/>
        <w:rPr>
          <w:rFonts w:ascii="Times New Roman" w:cs="Times New Roman" w:eastAsia="Times New Roman" w:hAnsi="Times New Roman"/>
          <w:sz w:val="19"/>
          <w:szCs w:val="19"/>
          <w:color w:val="auto"/>
          <w:vertAlign w:val="superscript"/>
        </w:rPr>
      </w:pPr>
    </w:p>
    <w:p>
      <w:pPr>
        <w:ind w:left="320" w:right="40" w:hanging="317"/>
        <w:spacing w:after="0" w:line="224" w:lineRule="auto"/>
        <w:tabs>
          <w:tab w:leader="none" w:pos="31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48" w:lineRule="exact"/>
        <w:rPr>
          <w:rFonts w:ascii="Times New Roman" w:cs="Times New Roman" w:eastAsia="Times New Roman" w:hAnsi="Times New Roman"/>
          <w:sz w:val="19"/>
          <w:szCs w:val="19"/>
          <w:color w:val="auto"/>
          <w:vertAlign w:val="superscript"/>
        </w:rPr>
      </w:pPr>
    </w:p>
    <w:p>
      <w:pPr>
        <w:ind w:left="320" w:right="200" w:hanging="317"/>
        <w:spacing w:after="0" w:line="222" w:lineRule="auto"/>
        <w:tabs>
          <w:tab w:leader="none" w:pos="31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nine months ended September 30, 2026, includes a net cash inflow of approximately $3.527 billion for proceeds (net of cash divested) from the sale of the Canadian NGL Business. For the nine months ended September 30, 2025, includes a net cash outflow of $865 million for bolt-on acquisitions.</w:t>
      </w:r>
    </w:p>
    <w:p>
      <w:pPr>
        <w:ind w:left="5440" w:hanging="93"/>
        <w:spacing w:after="0"/>
        <w:tabs>
          <w:tab w:leader="none" w:pos="54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Third-quarter 2026 Adjusted EBITDA attributable to PAA increased 6% versus comparable 2025 results. Favorable results in the 2026 period from (i) contributions from the Cactus III acquisition completed in the fourth quarter of 2025, (ii) volume growth across our pipeline systems largely driven by increased production in the Permian Basin region and (iii) market opportunities and optimization initiatives were partially offset by (iv) the impact from certain Permian long-haul contract rates resetting to market in 2025, (v) higher operating costs driven by environmental remediation expenses and property tax expense and (vi) contributions in the 2025 period from the Canadian NGL Business, which was sold in May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November 6, 2026 to discuss third-quarter performance and related items.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https://edge.media-server.com/mmc/p/v5tv2qp6.</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96"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248" w:lineRule="exact"/>
        <w:rPr>
          <w:sz w:val="20"/>
          <w:szCs w:val="20"/>
          <w:color w:val="auto"/>
        </w:rPr>
      </w:pPr>
    </w:p>
    <w:p>
      <w:pPr>
        <w:ind w:right="120" w:firstLine="620"/>
        <w:spacing w:after="0" w:line="259" w:lineRule="auto"/>
        <w:rPr>
          <w:sz w:val="20"/>
          <w:szCs w:val="20"/>
          <w:color w:val="auto"/>
        </w:rPr>
      </w:pPr>
      <w:r>
        <w:rPr>
          <w:rFonts w:ascii="Times New Roman" w:cs="Times New Roman" w:eastAsia="Times New Roman" w:hAnsi="Times New Roman"/>
          <w:sz w:val="17"/>
          <w:szCs w:val="17"/>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and losses on and impairments of investments in unconsolidated entities, net and (vi) interest income on promissory notes by and among certain Plains entities, and adjusted for (vii) certain selected items impacting comparability. Adjusted EBITDA attributable to PAA excludes the portion of Adjusted EBITDA that is attributable to noncontrolling interests. Adjusted EBITDA from discontinued operations reflects Adjusted EBITDA amounts attributable to the Canadian NGL Business, while Adjusted EBITDA from continuing operations reflects Adjusted EBITDA attributable to PAA, excluding amounts attributable to discontinued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100" w:firstLine="620"/>
        <w:spacing w:after="0" w:line="260" w:lineRule="auto"/>
        <w:rPr>
          <w:sz w:val="20"/>
          <w:szCs w:val="20"/>
          <w:color w:val="auto"/>
        </w:rPr>
      </w:pPr>
      <w:r>
        <w:rPr>
          <w:rFonts w:ascii="Times New Roman" w:cs="Times New Roman" w:eastAsia="Times New Roman" w:hAnsi="Times New Roman"/>
          <w:sz w:val="17"/>
          <w:szCs w:val="17"/>
          <w:color w:val="auto"/>
        </w:rPr>
        <w:t>From June 17, 2025, the date we entered into the SPA with Keyera to sell the Canadian NGL Business, through the closing of the divestiture on May 12, 2026, management reviewed such business as a component of our overall company performance and ability to fund distributions to our unitholders in the near term. As such, certain Non-GAAP financial performance measures, such as Adjusted EBITDA, Adjusted EBITDA attributable to PAA, Implied DCF, and certain Non-GAAP financial liquidity measures, such as Adjusted Free Cash Flow and Adjusted Free Cash Flow (Excluding Changes in Assets &amp; Liabilities), are presented on a consolidated basis (e.g., the aggregate of continuing operations and discontinued operations) to provide relevant and useful information regarding our historical performance and results of operations and to assist in reconciling results presented in historical periods.</w:t>
      </w:r>
    </w:p>
    <w:p>
      <w:pPr>
        <w:spacing w:after="0" w:line="202"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4"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248" w:lineRule="exact"/>
        <w:rPr>
          <w:sz w:val="20"/>
          <w:szCs w:val="20"/>
          <w:color w:val="auto"/>
        </w:rPr>
      </w:pPr>
    </w:p>
    <w:p>
      <w:pPr>
        <w:ind w:right="12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In addition, we exclude impacts related to the Canadian NGL Business divestiture.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5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15,173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r>
      <w:tr>
        <w:trPr>
          <w:trHeight w:val="142"/>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14,030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10,585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w:t>
            </w:r>
          </w:p>
        </w:tc>
      </w:tr>
      <w:tr>
        <w:trPr>
          <w:trHeight w:val="222"/>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17"/>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5"/>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32,618</w:t>
            </w:r>
          </w:p>
        </w:tc>
      </w:tr>
      <w:tr>
        <w:trPr>
          <w:trHeight w:val="142"/>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142"/>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22"/>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on/(impairment of) investments in unconsolidated entities,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20"/>
        </w:trPr>
        <w:tc>
          <w:tcPr>
            <w:tcW w:w="6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20"/>
        </w:trPr>
        <w:tc>
          <w:tcPr>
            <w:tcW w:w="63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22"/>
        </w:trPr>
        <w:tc>
          <w:tcPr>
            <w:tcW w:w="38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2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benefit/(expense) from continuing operations</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2"/>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benefit/(expense) from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145"/>
        </w:trPr>
        <w:tc>
          <w:tcPr>
            <w:tcW w:w="38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145"/>
        </w:trPr>
        <w:tc>
          <w:tcPr>
            <w:tcW w:w="38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22"/>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21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7"/>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20"/>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2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217"/>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45"/>
        </w:trPr>
        <w:tc>
          <w:tcPr>
            <w:tcW w:w="38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17"/>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17"/>
        </w:trPr>
        <w:tc>
          <w:tcPr>
            <w:tcW w:w="6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38"/>
        </w:trPr>
        <w:tc>
          <w:tcPr>
            <w:tcW w:w="6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30" w:lineRule="exact"/>
        <w:rPr>
          <w:sz w:val="20"/>
          <w:szCs w:val="20"/>
          <w:color w:val="auto"/>
        </w:rPr>
      </w:pPr>
    </w:p>
    <w:p>
      <w:pPr>
        <w:ind w:left="320" w:right="600" w:hanging="317"/>
        <w:spacing w:after="0" w:line="220" w:lineRule="auto"/>
        <w:tabs>
          <w:tab w:leader="none" w:pos="30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nine months ended September 30, 2026, General and administrative expenses include approximately $33 million related to the acceleration of certain expenses primarily during the second quarter of 2026 resulting from exit costs associated with the Canadian NGL Business.</w:t>
      </w:r>
    </w:p>
    <w:p>
      <w:pPr>
        <w:spacing w:after="0" w:line="46" w:lineRule="exact"/>
        <w:rPr>
          <w:rFonts w:ascii="Times New Roman" w:cs="Times New Roman" w:eastAsia="Times New Roman" w:hAnsi="Times New Roman"/>
          <w:sz w:val="20"/>
          <w:szCs w:val="20"/>
          <w:color w:val="auto"/>
          <w:vertAlign w:val="superscript"/>
        </w:rPr>
      </w:pPr>
    </w:p>
    <w:p>
      <w:pPr>
        <w:ind w:left="320" w:hanging="317"/>
        <w:spacing w:after="0" w:line="218" w:lineRule="auto"/>
        <w:tabs>
          <w:tab w:leader="none" w:pos="30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“Interest expense, net” and “Other income, net” each include $15 million and $56 million for the three and nine months ended September 30, 2026, respectively, and $23 million and $65 million for the three and nine months ended September 30, 2025, respectively, related to interest on such related party promissory notes. These amounts offset and do not impact Net Income or Non-GAAP metrics such as Adjusted EBITDA, Implied DCF and Adjusted Free Cash Flow.</w:t>
      </w:r>
    </w:p>
    <w:p>
      <w:pPr>
        <w:spacing w:after="0" w:line="1"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3"/>
        </w:trPr>
        <w:tc>
          <w:tcPr>
            <w:tcW w:w="874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Current assets (including Cash and cash equivalents of $879 and $328, respectively)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4,733</w:t>
            </w:r>
          </w:p>
        </w:tc>
      </w:tr>
      <w:tr>
        <w:trPr>
          <w:trHeight w:val="23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r>
      <w:tr>
        <w:trPr>
          <w:trHeight w:val="23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r>
      <w:tr>
        <w:trPr>
          <w:trHeight w:val="23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r>
      <w:tr>
        <w:trPr>
          <w:trHeight w:val="23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3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3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3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w:t>
            </w:r>
          </w:p>
        </w:tc>
      </w:tr>
      <w:tr>
        <w:trPr>
          <w:trHeight w:val="233"/>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50"/>
        </w:trPr>
        <w:tc>
          <w:tcPr>
            <w:tcW w:w="8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3"/>
        </w:trPr>
        <w:tc>
          <w:tcPr>
            <w:tcW w:w="874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Current liabilities </w:t>
            </w:r>
            <w:r>
              <w:rPr>
                <w:rFonts w:ascii="Times New Roman" w:cs="Times New Roman" w:eastAsia="Times New Roman" w:hAnsi="Times New Roman"/>
                <w:sz w:val="22"/>
                <w:szCs w:val="22"/>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4,931</w:t>
            </w:r>
          </w:p>
        </w:tc>
      </w:tr>
      <w:tr>
        <w:trPr>
          <w:trHeight w:val="233"/>
        </w:trPr>
        <w:tc>
          <w:tcPr>
            <w:tcW w:w="874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Long-term debt </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10,696</w:t>
            </w:r>
          </w:p>
        </w:tc>
      </w:tr>
      <w:tr>
        <w:trPr>
          <w:trHeight w:val="23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3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33"/>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25"/>
        </w:trPr>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17,089</w:t>
            </w:r>
          </w:p>
        </w:tc>
      </w:tr>
      <w:tr>
        <w:trPr>
          <w:trHeight w:val="23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3"/>
        </w:trPr>
        <w:tc>
          <w:tcPr>
            <w:tcW w:w="8740" w:type="dxa"/>
            <w:vAlign w:val="bottom"/>
            <w:gridSpan w:val="2"/>
            <w:shd w:val="clear" w:color="auto" w:fill="CCEEFF"/>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Series A preferred unitholders </w:t>
            </w:r>
            <w:r>
              <w:rPr>
                <w:rFonts w:ascii="Times New Roman" w:cs="Times New Roman" w:eastAsia="Times New Roman" w:hAnsi="Times New Roman"/>
                <w:sz w:val="22"/>
                <w:szCs w:val="22"/>
                <w:color w:val="auto"/>
                <w:vertAlign w:val="superscript"/>
              </w:rPr>
              <w:t>(4)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r>
      <w:tr>
        <w:trPr>
          <w:trHeight w:val="233"/>
        </w:trPr>
        <w:tc>
          <w:tcPr>
            <w:tcW w:w="8740" w:type="dxa"/>
            <w:vAlign w:val="bottom"/>
            <w:gridSpan w:val="2"/>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Series B preferred unitholders </w:t>
            </w:r>
            <w:r>
              <w:rPr>
                <w:rFonts w:ascii="Times New Roman" w:cs="Times New Roman" w:eastAsia="Times New Roman" w:hAnsi="Times New Roman"/>
                <w:sz w:val="22"/>
                <w:szCs w:val="22"/>
                <w:color w:val="auto"/>
                <w:vertAlign w:val="superscript"/>
              </w:rPr>
              <w:t>(5)</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unitholders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7,801</w:t>
            </w:r>
          </w:p>
        </w:tc>
      </w:tr>
      <w:tr>
        <w:trPr>
          <w:trHeight w:val="233"/>
        </w:trPr>
        <w:tc>
          <w:tcPr>
            <w:tcW w:w="8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3,244</w:t>
            </w:r>
          </w:p>
        </w:tc>
      </w:tr>
      <w:tr>
        <w:trPr>
          <w:trHeight w:val="225"/>
        </w:trPr>
        <w:tc>
          <w:tcPr>
            <w:tcW w:w="8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13,080</w:t>
            </w:r>
          </w:p>
        </w:tc>
      </w:tr>
      <w:tr>
        <w:trPr>
          <w:trHeight w:val="225"/>
        </w:trPr>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30,169</w:t>
            </w:r>
          </w:p>
        </w:tc>
      </w:tr>
      <w:tr>
        <w:trPr>
          <w:trHeight w:val="20"/>
        </w:trPr>
        <w:tc>
          <w:tcPr>
            <w:tcW w:w="3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95"/>
        </w:trPr>
        <w:tc>
          <w:tcPr>
            <w:tcW w:w="388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135"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assets of discontinued operations of $479 million as of December 31, 2025.</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$125 million and $382 million as of September 30, 2026 and December 31, 2025, respectively.</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“Debt Capitalization Ratios” table below for detail.</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14, 2026, we repurchased all 58.4 million Series A preferred units for a purchase price of approximately $1.687 billion.</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0" w:lineRule="auto"/>
        <w:tabs>
          <w:tab w:leader="none" w:pos="3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On October 9, 2026, we repurchased all 0.8 million Series B preferred units for a purchase price of approximately $800 million.</w:t>
      </w:r>
    </w:p>
    <w:p>
      <w:pPr>
        <w:ind w:left="5440" w:hanging="93"/>
        <w:spacing w:after="0"/>
        <w:tabs>
          <w:tab w:leader="none" w:pos="54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DEBT CAPITALIZATION RATIOS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percentages)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1"/>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564</w:t>
            </w:r>
          </w:p>
        </w:tc>
      </w:tr>
      <w:tr>
        <w:trPr>
          <w:trHeight w:val="23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3"/>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Senior notes, net</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8,375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9,118</w:t>
            </w:r>
          </w:p>
        </w:tc>
      </w:tr>
      <w:tr>
        <w:trPr>
          <w:trHeight w:val="233"/>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Junior subordinated notes, net</w:t>
            </w:r>
          </w:p>
        </w:tc>
        <w:tc>
          <w:tcPr>
            <w:tcW w:w="18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480" w:type="dxa"/>
            <w:vAlign w:val="bottom"/>
            <w:gridSpan w:val="2"/>
            <w:shd w:val="clear" w:color="auto" w:fill="CCEEFF"/>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Other long-term debt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1,580</w:t>
            </w:r>
          </w:p>
        </w:tc>
      </w:tr>
      <w:tr>
        <w:trPr>
          <w:trHeight w:val="225"/>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10,698</w:t>
            </w:r>
          </w:p>
        </w:tc>
      </w:tr>
      <w:tr>
        <w:trPr>
          <w:trHeight w:val="250"/>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11,262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10,698</w:t>
            </w:r>
          </w:p>
        </w:tc>
      </w:tr>
      <w:tr>
        <w:trPr>
          <w:trHeight w:val="23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9,462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9,836</w:t>
            </w:r>
          </w:p>
        </w:tc>
      </w:tr>
      <w:tr>
        <w:trPr>
          <w:trHeight w:val="225"/>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19,373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20,534</w:t>
            </w:r>
          </w:p>
        </w:tc>
      </w:tr>
      <w:tr>
        <w:trPr>
          <w:trHeight w:val="225"/>
        </w:trPr>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19,382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21,098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3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155"/>
        </w:trPr>
        <w:tc>
          <w:tcPr>
            <w:tcW w:w="3880" w:type="dxa"/>
            <w:vAlign w:val="bottom"/>
            <w:tcBorders>
              <w:bottom w:val="single" w:sz="8" w:color="auto"/>
            </w:tcBorders>
          </w:tcPr>
          <w:p>
            <w:pPr>
              <w:spacing w:after="0"/>
              <w:rPr>
                <w:sz w:val="13"/>
                <w:szCs w:val="13"/>
                <w:color w:val="auto"/>
              </w:rPr>
            </w:pP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vertAlign w:val="superscript"/>
        </w:rPr>
        <w:t>(1)</w:t>
      </w:r>
      <w:r>
        <w:rPr>
          <w:sz w:val="20"/>
          <w:szCs w:val="20"/>
          <w:color w:val="auto"/>
        </w:rPr>
        <w:tab/>
      </w:r>
      <w:r>
        <w:rPr>
          <w:rFonts w:ascii="Times New Roman" w:cs="Times New Roman" w:eastAsia="Times New Roman" w:hAnsi="Times New Roman"/>
          <w:sz w:val="16"/>
          <w:szCs w:val="16"/>
          <w:color w:val="auto"/>
        </w:rPr>
        <w:t>As of December 31, 2025, includes $2 million attributable to discontinued operations.</w:t>
      </w: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32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INCOME/(LOSS) PER COMMON UNIT </w:t>
      </w:r>
      <w:r>
        <w:rPr>
          <w:rFonts w:ascii="Times New Roman" w:cs="Times New Roman" w:eastAsia="Times New Roman" w:hAnsi="Times New Roman"/>
          <w:sz w:val="17"/>
          <w:szCs w:val="17"/>
          <w:color w:val="auto"/>
        </w:rPr>
        <w:t>(in millions,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Income/(Loss) per Common Unit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3"/>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continuing operations, net of tax</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r>
      <w:tr>
        <w:trPr>
          <w:trHeight w:val="233"/>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5"/>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from continuing operations attributable to PAA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3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3"/>
        </w:trPr>
        <w:tc>
          <w:tcPr>
            <w:tcW w:w="6380" w:type="dxa"/>
            <w:vAlign w:val="bottom"/>
            <w:gridSpan w:val="2"/>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3"/>
        </w:trPr>
        <w:tc>
          <w:tcPr>
            <w:tcW w:w="6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61"/>
        </w:trPr>
        <w:tc>
          <w:tcPr>
            <w:tcW w:w="638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7"/>
                <w:szCs w:val="17"/>
                <w:color w:val="auto"/>
              </w:rPr>
              <w:t>Net income/(loss) from continuing operations allocated to common unitholders - Basic</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3"/>
        </w:trPr>
        <w:tc>
          <w:tcPr>
            <w:tcW w:w="6380" w:type="dxa"/>
            <w:vAlign w:val="bottom"/>
            <w:gridSpan w:val="2"/>
          </w:tcPr>
          <w:p>
            <w:pPr>
              <w:ind w:left="380"/>
              <w:spacing w:after="0" w:line="232" w:lineRule="exact"/>
              <w:rPr>
                <w:sz w:val="20"/>
                <w:szCs w:val="20"/>
                <w:color w:val="auto"/>
              </w:rPr>
            </w:pPr>
            <w:r>
              <w:rPr>
                <w:rFonts w:ascii="Times New Roman" w:cs="Times New Roman" w:eastAsia="Times New Roman" w:hAnsi="Times New Roman"/>
                <w:sz w:val="17"/>
                <w:szCs w:val="17"/>
                <w:color w:val="auto"/>
              </w:rPr>
              <w:t xml:space="preserve">and Diluted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1"/>
        </w:trPr>
        <w:tc>
          <w:tcPr>
            <w:tcW w:w="638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Net income from discontinued operations allocated to common unitholders - Basic and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3"/>
        </w:trPr>
        <w:tc>
          <w:tcPr>
            <w:tcW w:w="6380" w:type="dxa"/>
            <w:vAlign w:val="bottom"/>
            <w:gridSpan w:val="2"/>
            <w:shd w:val="clear" w:color="auto" w:fill="CCEEFF"/>
          </w:tcPr>
          <w:p>
            <w:pPr>
              <w:ind w:left="38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45"/>
        </w:trPr>
        <w:tc>
          <w:tcPr>
            <w:tcW w:w="38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 allocated to common unitholders - Basic and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3"/>
        </w:trPr>
        <w:tc>
          <w:tcPr>
            <w:tcW w:w="638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(4) (5)</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45"/>
        </w:trPr>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3"/>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r>
      <w:tr>
        <w:trPr>
          <w:trHeight w:val="233"/>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r>
      <w:tr>
        <w:trPr>
          <w:trHeight w:val="225"/>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130" w:lineRule="exact"/>
        <w:rPr>
          <w:sz w:val="20"/>
          <w:szCs w:val="20"/>
          <w:color w:val="auto"/>
        </w:rPr>
      </w:pPr>
    </w:p>
    <w:p>
      <w:pPr>
        <w:jc w:val="both"/>
        <w:ind w:left="320" w:right="120" w:hanging="317"/>
        <w:spacing w:after="0" w:line="230"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repurchased approximately 12.7 million Series A preferred units on January 31, 2025, and we repurchased all remaining outstanding 58.4 million Series A preferred units on September 14, 2026. The difference between the cash we paid for the repurchase of such units and their carrying value on our balance sheet is considered a return to Series A preferred unitholders for the calculation of net income/(loss) from continuing operations allocated to common unitholders.</w:t>
      </w:r>
    </w:p>
    <w:p>
      <w:pPr>
        <w:spacing w:after="0" w:line="34" w:lineRule="exact"/>
        <w:rPr>
          <w:rFonts w:ascii="Times New Roman" w:cs="Times New Roman" w:eastAsia="Times New Roman" w:hAnsi="Times New Roman"/>
          <w:sz w:val="20"/>
          <w:szCs w:val="20"/>
          <w:color w:val="auto"/>
          <w:vertAlign w:val="superscript"/>
        </w:rPr>
      </w:pPr>
    </w:p>
    <w:p>
      <w:pPr>
        <w:ind w:left="320" w:right="120" w:hanging="317"/>
        <w:spacing w:after="0" w:line="246" w:lineRule="auto"/>
        <w:tabs>
          <w:tab w:leader="none" w:pos="30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net income/(loss)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9" w:lineRule="exact"/>
        <w:rPr>
          <w:rFonts w:ascii="Times New Roman" w:cs="Times New Roman" w:eastAsia="Times New Roman" w:hAnsi="Times New Roman"/>
          <w:sz w:val="19"/>
          <w:szCs w:val="19"/>
          <w:color w:val="auto"/>
          <w:vertAlign w:val="superscript"/>
        </w:rPr>
      </w:pPr>
    </w:p>
    <w:p>
      <w:pPr>
        <w:ind w:left="320" w:right="160" w:hanging="317"/>
        <w:spacing w:after="0" w:line="228"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income from discontinued operations allocated to common unitholders is “Income from discontinued operations, net of tax” as presented on our Condensed Consolidated Statements of Operations.</w:t>
      </w:r>
    </w:p>
    <w:p>
      <w:pPr>
        <w:spacing w:after="0" w:line="33" w:lineRule="exact"/>
        <w:rPr>
          <w:rFonts w:ascii="Times New Roman" w:cs="Times New Roman" w:eastAsia="Times New Roman" w:hAnsi="Times New Roman"/>
          <w:sz w:val="20"/>
          <w:szCs w:val="20"/>
          <w:color w:val="auto"/>
          <w:vertAlign w:val="superscript"/>
        </w:rPr>
      </w:pPr>
    </w:p>
    <w:p>
      <w:pPr>
        <w:ind w:left="320" w:right="60" w:hanging="317"/>
        <w:spacing w:after="0" w:line="220"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income/(loss) per common unit from continuing operations for each of the three and nine months ended September 30, 2026 and 2025 as the effect was antidilutive.</w:t>
      </w:r>
    </w:p>
    <w:p>
      <w:pPr>
        <w:spacing w:after="0" w:line="46" w:lineRule="exact"/>
        <w:rPr>
          <w:rFonts w:ascii="Times New Roman" w:cs="Times New Roman" w:eastAsia="Times New Roman" w:hAnsi="Times New Roman"/>
          <w:sz w:val="20"/>
          <w:szCs w:val="20"/>
          <w:color w:val="auto"/>
          <w:vertAlign w:val="superscript"/>
        </w:rPr>
      </w:pPr>
    </w:p>
    <w:p>
      <w:pPr>
        <w:ind w:left="320" w:right="60" w:hanging="317"/>
        <w:spacing w:after="0" w:line="220" w:lineRule="auto"/>
        <w:tabs>
          <w:tab w:leader="none" w:pos="30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 w:lineRule="exact"/>
        <w:rPr>
          <w:rFonts w:ascii="Times New Roman" w:cs="Times New Roman" w:eastAsia="Times New Roman" w:hAnsi="Times New Roman"/>
          <w:sz w:val="19"/>
          <w:szCs w:val="19"/>
          <w:color w:val="auto"/>
          <w:vertAlign w:val="superscript"/>
        </w:rPr>
      </w:pPr>
    </w:p>
    <w:p>
      <w:pPr>
        <w:ind w:left="5440" w:hanging="93"/>
        <w:spacing w:after="0"/>
        <w:tabs>
          <w:tab w:leader="none" w:pos="54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4"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r>
      <w:tr>
        <w:trPr>
          <w:trHeight w:val="23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3"/>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r>
      <w:tr>
        <w:trPr>
          <w:trHeight w:val="233"/>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Gains/(losses) on asset sales, asset impairments and other,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 (benefit)/expense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3"/>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(Gain)/loss on foreign currency revaluation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3"/>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33"/>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on)/impairment of investments in unconsolidated entities,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3"/>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5"/>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r>
      <w:tr>
        <w:trPr>
          <w:trHeight w:val="233"/>
        </w:trPr>
        <w:tc>
          <w:tcPr>
            <w:tcW w:w="8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discontinued operations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25"/>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3"/>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continuing operations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provided by/(used in) investing activities - discontinued operations</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25"/>
        </w:trPr>
        <w:tc>
          <w:tcPr>
            <w:tcW w:w="872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7"/>
                <w:szCs w:val="17"/>
                <w:color w:val="auto"/>
              </w:rPr>
              <w:t xml:space="preserve">Net cash provided by/(used in) investing activities </w:t>
            </w:r>
            <w:r>
              <w:rPr>
                <w:rFonts w:ascii="Times New Roman" w:cs="Times New Roman" w:eastAsia="Times New Roman" w:hAnsi="Times New Roman"/>
                <w:sz w:val="22"/>
                <w:szCs w:val="22"/>
                <w:color w:val="auto"/>
                <w:vertAlign w:val="superscript"/>
              </w:rPr>
              <w:t>(1)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r>
      <w:tr>
        <w:trPr>
          <w:trHeight w:val="207"/>
        </w:trPr>
        <w:tc>
          <w:tcPr>
            <w:tcW w:w="3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8720" w:type="dxa"/>
            <w:vAlign w:val="bottom"/>
            <w:gridSpan w:val="2"/>
            <w:shd w:val="clear" w:color="auto" w:fill="CCEEFF"/>
          </w:tcPr>
          <w:p>
            <w:pPr>
              <w:ind w:left="220"/>
              <w:spacing w:after="0" w:line="232" w:lineRule="exact"/>
              <w:rPr>
                <w:sz w:val="20"/>
                <w:szCs w:val="20"/>
                <w:color w:val="auto"/>
              </w:rPr>
            </w:pPr>
            <w:r>
              <w:rPr>
                <w:rFonts w:ascii="Times New Roman" w:cs="Times New Roman" w:eastAsia="Times New Roman" w:hAnsi="Times New Roman"/>
                <w:sz w:val="17"/>
                <w:szCs w:val="17"/>
                <w:color w:val="auto"/>
              </w:rPr>
              <w:t xml:space="preserve">Net cash provided by/(used in) financing activities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3"/>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2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30" w:lineRule="exact"/>
        <w:rPr>
          <w:sz w:val="20"/>
          <w:szCs w:val="20"/>
          <w:color w:val="auto"/>
        </w:rPr>
      </w:pPr>
    </w:p>
    <w:p>
      <w:pPr>
        <w:jc w:val="both"/>
        <w:ind w:left="320" w:right="300" w:hanging="317"/>
        <w:spacing w:after="0" w:line="230" w:lineRule="auto"/>
        <w:tabs>
          <w:tab w:leader="none" w:pos="3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For the nine months ended September 30, 2025, “Net cash provided by/(used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spacing w:after="0" w:line="34" w:lineRule="exact"/>
        <w:rPr>
          <w:rFonts w:ascii="Times New Roman" w:cs="Times New Roman" w:eastAsia="Times New Roman" w:hAnsi="Times New Roman"/>
          <w:sz w:val="20"/>
          <w:szCs w:val="20"/>
          <w:color w:val="auto"/>
          <w:vertAlign w:val="superscript"/>
        </w:rPr>
      </w:pPr>
    </w:p>
    <w:p>
      <w:pPr>
        <w:ind w:left="320" w:right="240" w:hanging="317"/>
        <w:spacing w:after="0" w:line="228" w:lineRule="auto"/>
        <w:tabs>
          <w:tab w:leader="none" w:pos="3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nine months ended September 30, 2026, includes a net cash inflow of approximately $3.527 billion for proceeds (net of cash divested) from the sale of the Canadian NGL Business. For the nine months ended September 30, 2025, includes a net cash outflow of $865 million for bolt-on acquisitions.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7"/>
                <w:szCs w:val="17"/>
                <w:b w:val="1"/>
                <w:bCs w:val="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5"/>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1"/>
                <w:szCs w:val="11"/>
                <w:color w:val="auto"/>
              </w:rPr>
            </w:pPr>
          </w:p>
        </w:tc>
        <w:tc>
          <w:tcPr>
            <w:tcW w:w="1740" w:type="dxa"/>
            <w:vAlign w:val="bottom"/>
            <w:gridSpan w:val="5"/>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80" w:type="dxa"/>
            <w:vAlign w:val="bottom"/>
          </w:tcPr>
          <w:p>
            <w:pPr>
              <w:spacing w:after="0"/>
              <w:rPr>
                <w:sz w:val="11"/>
                <w:szCs w:val="11"/>
                <w:color w:val="auto"/>
              </w:rPr>
            </w:pPr>
          </w:p>
        </w:tc>
        <w:tc>
          <w:tcPr>
            <w:tcW w:w="1680" w:type="dxa"/>
            <w:vAlign w:val="bottom"/>
            <w:gridSpan w:val="5"/>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1"/>
                <w:szCs w:val="11"/>
                <w:color w:val="auto"/>
              </w:rPr>
            </w:pPr>
          </w:p>
        </w:tc>
        <w:tc>
          <w:tcPr>
            <w:tcW w:w="1620" w:type="dxa"/>
            <w:vAlign w:val="bottom"/>
            <w:gridSpan w:val="4"/>
          </w:tcPr>
          <w:p>
            <w:pPr>
              <w:jc w:val="right"/>
              <w:ind w:right="238"/>
              <w:spacing w:after="0" w:line="13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6"/>
                <w:szCs w:val="16"/>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3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161"/>
        </w:trPr>
        <w:tc>
          <w:tcPr>
            <w:tcW w:w="3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Total Investment and Maintenance capital</w:t>
            </w: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4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0" w:type="dxa"/>
            <w:vAlign w:val="bottom"/>
          </w:tcPr>
          <w:p>
            <w:pPr>
              <w:spacing w:after="0"/>
              <w:rPr>
                <w:sz w:val="1"/>
                <w:szCs w:val="1"/>
                <w:color w:val="auto"/>
              </w:rPr>
            </w:pPr>
          </w:p>
        </w:tc>
      </w:tr>
      <w:tr>
        <w:trPr>
          <w:trHeight w:val="227"/>
        </w:trPr>
        <w:tc>
          <w:tcPr>
            <w:tcW w:w="3680" w:type="dxa"/>
            <w:vAlign w:val="bottom"/>
            <w:tcBorders>
              <w:bottom w:val="single" w:sz="8" w:color="CCEEFF"/>
            </w:tcBorders>
            <w:shd w:val="clear" w:color="auto" w:fill="CCEEFF"/>
          </w:tcPr>
          <w:p>
            <w:pPr>
              <w:ind w:left="180"/>
              <w:spacing w:after="0" w:line="207" w:lineRule="exact"/>
              <w:rPr>
                <w:sz w:val="20"/>
                <w:szCs w:val="20"/>
                <w:color w:val="auto"/>
              </w:rPr>
            </w:pPr>
            <w:r>
              <w:rPr>
                <w:rFonts w:ascii="Times New Roman" w:cs="Times New Roman" w:eastAsia="Times New Roman" w:hAnsi="Times New Roman"/>
                <w:sz w:val="17"/>
                <w:szCs w:val="17"/>
                <w:color w:val="auto"/>
              </w:rPr>
              <w:t xml:space="preserve">expenditures </w:t>
            </w:r>
            <w:r>
              <w:rPr>
                <w:rFonts w:ascii="Times New Roman" w:cs="Times New Roman" w:eastAsia="Times New Roman" w:hAnsi="Times New Roman"/>
                <w:sz w:val="22"/>
                <w:szCs w:val="22"/>
                <w:color w:val="auto"/>
                <w:vertAlign w:val="superscript"/>
              </w:rPr>
              <w:t>(3)</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the applicable periods presented.</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Excludes expenditures attributable to noncontrolling interests.</w:t>
      </w:r>
    </w:p>
    <w:p>
      <w:pPr>
        <w:spacing w:after="0" w:line="61" w:lineRule="exact"/>
        <w:rPr>
          <w:rFonts w:ascii="Times New Roman" w:cs="Times New Roman" w:eastAsia="Times New Roman" w:hAnsi="Times New Roman"/>
          <w:sz w:val="20"/>
          <w:szCs w:val="20"/>
          <w:color w:val="auto"/>
          <w:vertAlign w:val="superscript"/>
        </w:rPr>
      </w:pPr>
    </w:p>
    <w:p>
      <w:pPr>
        <w:ind w:left="300" w:hanging="297"/>
        <w:spacing w:after="0" w:line="189" w:lineRule="auto"/>
        <w:tabs>
          <w:tab w:leader="none" w:pos="30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See the “Discontinued Operations Detail” section for amounts attributable to discontinued operations.</w:t>
      </w:r>
    </w:p>
    <w:p>
      <w:pPr>
        <w:ind w:left="5440" w:hanging="93"/>
        <w:spacing w:after="0"/>
        <w:tabs>
          <w:tab w:leader="none" w:pos="54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Income/(Loss) Per Common Unit </w:t>
      </w:r>
      <w:r>
        <w:rPr>
          <w:rFonts w:ascii="Times New Roman" w:cs="Times New Roman" w:eastAsia="Times New Roman" w:hAnsi="Times New Roman"/>
          <w:sz w:val="22"/>
          <w:szCs w:val="22"/>
          <w:b w:val="1"/>
          <w:bCs w:val="1"/>
          <w:color w:val="auto"/>
          <w:vertAlign w:val="superscript"/>
        </w:rPr>
        <w:t>(1) (2)</w:t>
      </w:r>
      <w:r>
        <w:rPr>
          <w:rFonts w:ascii="Times New Roman" w:cs="Times New Roman" w:eastAsia="Times New Roman" w:hAnsi="Times New Roman"/>
          <w:sz w:val="17"/>
          <w:szCs w:val="17"/>
          <w:b w:val="1"/>
          <w:bCs w:val="1"/>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2"/>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Income/(Loss) per Common Unit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Pr>
          <w:p>
            <w:pPr>
              <w:spacing w:after="0"/>
              <w:rPr>
                <w:sz w:val="20"/>
                <w:szCs w:val="20"/>
                <w:color w:val="auto"/>
              </w:rPr>
            </w:pP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w:t>
            </w:r>
          </w:p>
        </w:tc>
      </w:tr>
      <w:tr>
        <w:trPr>
          <w:trHeight w:val="233"/>
        </w:trPr>
        <w:tc>
          <w:tcPr>
            <w:tcW w:w="6380" w:type="dxa"/>
            <w:vAlign w:val="bottom"/>
            <w:gridSpan w:val="2"/>
            <w:shd w:val="clear" w:color="auto" w:fill="CCEEFF"/>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80" w:type="dxa"/>
            <w:vAlign w:val="bottom"/>
          </w:tcPr>
          <w:p>
            <w:pPr>
              <w:spacing w:after="0"/>
              <w:rPr>
                <w:sz w:val="19"/>
                <w:szCs w:val="19"/>
                <w:color w:val="auto"/>
              </w:rPr>
            </w:pP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3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3"/>
        </w:trPr>
        <w:tc>
          <w:tcPr>
            <w:tcW w:w="6380" w:type="dxa"/>
            <w:vAlign w:val="bottom"/>
            <w:gridSpan w:val="2"/>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income/(loss) allocated to common unitholders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638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(5) (6)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income/(loss) per common unit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spacing w:after="0"/>
              <w:rPr>
                <w:sz w:val="20"/>
                <w:szCs w:val="20"/>
                <w:color w:val="auto"/>
              </w:rPr>
            </w:pPr>
          </w:p>
        </w:tc>
        <w:tc>
          <w:tcPr>
            <w:tcW w:w="7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4"/>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122" w:lineRule="exact"/>
        <w:rPr>
          <w:sz w:val="20"/>
          <w:szCs w:val="20"/>
          <w:color w:val="auto"/>
        </w:rPr>
      </w:pPr>
    </w:p>
    <w:p>
      <w:pPr>
        <w:ind w:left="320" w:hanging="317"/>
        <w:spacing w:after="0" w:line="227" w:lineRule="auto"/>
        <w:tabs>
          <w:tab w:leader="none" w:pos="30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net income/(loss)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4"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the applicable periods presented.</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2" w:lineRule="exact"/>
        <w:rPr>
          <w:rFonts w:ascii="Times New Roman" w:cs="Times New Roman" w:eastAsia="Times New Roman" w:hAnsi="Times New Roman"/>
          <w:sz w:val="18"/>
          <w:szCs w:val="18"/>
          <w:color w:val="auto"/>
          <w:vertAlign w:val="superscript"/>
        </w:rPr>
      </w:pPr>
    </w:p>
    <w:p>
      <w:pPr>
        <w:ind w:left="320" w:right="20" w:hanging="317"/>
        <w:spacing w:after="0" w:line="222" w:lineRule="auto"/>
        <w:tabs>
          <w:tab w:leader="none" w:pos="30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and we repurchased all remaining outstanding 58.4 million Series A preferred units on September 14, 2026. The difference between the cash we paid for the repurchase of such units and their carrying value on our balance sheet is considered a return to Series A preferred unitholders for the calculation of adjusted net income/(loss) allocated to common unitholders.</w:t>
      </w:r>
    </w:p>
    <w:p>
      <w:pPr>
        <w:spacing w:after="0" w:line="42" w:lineRule="exact"/>
        <w:rPr>
          <w:rFonts w:ascii="Times New Roman" w:cs="Times New Roman" w:eastAsia="Times New Roman" w:hAnsi="Times New Roman"/>
          <w:sz w:val="18"/>
          <w:szCs w:val="18"/>
          <w:color w:val="auto"/>
          <w:vertAlign w:val="superscript"/>
        </w:rPr>
      </w:pPr>
    </w:p>
    <w:p>
      <w:pPr>
        <w:ind w:left="320" w:right="500" w:hanging="317"/>
        <w:spacing w:after="0" w:line="226" w:lineRule="auto"/>
        <w:tabs>
          <w:tab w:leader="none" w:pos="30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income/(loss) per common unit for each of the three and nine months ended September 30, 2026 and 2025 as the effect was antidilutive.</w:t>
      </w:r>
    </w:p>
    <w:p>
      <w:pPr>
        <w:spacing w:after="0" w:line="41" w:lineRule="exact"/>
        <w:rPr>
          <w:rFonts w:ascii="Times New Roman" w:cs="Times New Roman" w:eastAsia="Times New Roman" w:hAnsi="Times New Roman"/>
          <w:sz w:val="18"/>
          <w:szCs w:val="18"/>
          <w:color w:val="auto"/>
          <w:vertAlign w:val="superscript"/>
        </w:rPr>
      </w:pPr>
    </w:p>
    <w:p>
      <w:pPr>
        <w:ind w:left="320" w:hanging="317"/>
        <w:spacing w:after="0" w:line="227" w:lineRule="auto"/>
        <w:tabs>
          <w:tab w:leader="none" w:pos="30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Income/(Loss) Per Common Unit to Adjusted Net Income/(Loss) Per Common Unit Reconciliation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r>
      <w:tr>
        <w:trPr>
          <w:trHeight w:val="182"/>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1.25</w:t>
            </w:r>
          </w:p>
        </w:tc>
      </w:tr>
      <w:tr>
        <w:trPr>
          <w:trHeight w:val="233"/>
        </w:trPr>
        <w:tc>
          <w:tcPr>
            <w:tcW w:w="6380" w:type="dxa"/>
            <w:vAlign w:val="bottom"/>
            <w:tcBorders>
              <w:bottom w:val="single" w:sz="8" w:color="CCEEFF"/>
            </w:tcBorders>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7"/>
                <w:szCs w:val="17"/>
                <w:color w:val="auto"/>
              </w:rPr>
              <w:t>(0.11)</w:t>
            </w: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income/(loss) per common unit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09"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the applicable periods presented.</w:t>
      </w:r>
    </w:p>
    <w:p>
      <w:pPr>
        <w:spacing w:after="0" w:line="35" w:lineRule="exact"/>
        <w:rPr>
          <w:rFonts w:ascii="Times New Roman" w:cs="Times New Roman" w:eastAsia="Times New Roman" w:hAnsi="Times New Roman"/>
          <w:sz w:val="9"/>
          <w:szCs w:val="9"/>
          <w:color w:val="auto"/>
        </w:rPr>
      </w:pPr>
    </w:p>
    <w:p>
      <w:pPr>
        <w:ind w:left="300" w:hanging="297"/>
        <w:spacing w:after="0"/>
        <w:tabs>
          <w:tab w:leader="none" w:pos="3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Net Income/(Loss) Per Common Unit” tables for additional information.</w:t>
      </w: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2120" w:type="dxa"/>
            <w:vAlign w:val="bottom"/>
            <w:gridSpan w:val="4"/>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Net Income </w:t>
            </w:r>
            <w:r>
              <w:rPr>
                <w:rFonts w:ascii="Times New Roman" w:cs="Times New Roman" w:eastAsia="Times New Roman" w:hAnsi="Times New Roman"/>
                <w:sz w:val="19"/>
                <w:szCs w:val="19"/>
                <w:color w:val="auto"/>
                <w:vertAlign w:val="superscript"/>
              </w:rPr>
              <w:t>(1)</w:t>
            </w: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w:t>
            </w:r>
          </w:p>
        </w:tc>
        <w:tc>
          <w:tcPr>
            <w:tcW w:w="0" w:type="dxa"/>
            <w:vAlign w:val="bottom"/>
          </w:tcPr>
          <w:p>
            <w:pPr>
              <w:spacing w:after="0"/>
              <w:rPr>
                <w:sz w:val="1"/>
                <w:szCs w:val="1"/>
                <w:color w:val="auto"/>
              </w:rPr>
            </w:pPr>
          </w:p>
        </w:tc>
      </w:tr>
      <w:tr>
        <w:trPr>
          <w:trHeight w:val="220"/>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xml:space="preserve">Interest expense, net of certain items </w:t>
            </w:r>
            <w:r>
              <w:rPr>
                <w:rFonts w:ascii="Times New Roman" w:cs="Times New Roman" w:eastAsia="Times New Roman" w:hAnsi="Times New Roman"/>
                <w:sz w:val="19"/>
                <w:szCs w:val="19"/>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200"/>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 expense from continuing operations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99"/>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 expense from discontinued operations</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from continuing operations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w:t>
            </w:r>
          </w:p>
        </w:tc>
        <w:tc>
          <w:tcPr>
            <w:tcW w:w="0" w:type="dxa"/>
            <w:vAlign w:val="bottom"/>
          </w:tcPr>
          <w:p>
            <w:pPr>
              <w:spacing w:after="0"/>
              <w:rPr>
                <w:sz w:val="1"/>
                <w:szCs w:val="1"/>
                <w:color w:val="auto"/>
              </w:rPr>
            </w:pPr>
          </w:p>
        </w:tc>
      </w:tr>
      <w:tr>
        <w:trPr>
          <w:trHeight w:val="199"/>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from discontinued operations</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(Gains)/losses on asset sales, asset impairments and other, net from continuing operations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99"/>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(Gains)/losses on asset sales and other, net from discontinued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on)/impairment of investments in unconsolidated entities, net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20"/>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xml:space="preserve">Depreciation and amortization of unconsolidated entities </w:t>
            </w:r>
            <w:r>
              <w:rPr>
                <w:rFonts w:ascii="Times New Roman" w:cs="Times New Roman" w:eastAsia="Times New Roman" w:hAnsi="Times New Roman"/>
                <w:sz w:val="19"/>
                <w:szCs w:val="19"/>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xml:space="preserve">Selected items impacting comparability - Adjusted EBITDA </w:t>
            </w:r>
            <w:r>
              <w:rPr>
                <w:rFonts w:ascii="Times New Roman" w:cs="Times New Roman" w:eastAsia="Times New Roman" w:hAnsi="Times New Roman"/>
                <w:sz w:val="19"/>
                <w:szCs w:val="19"/>
                <w:color w:val="auto"/>
                <w:vertAlign w:val="superscript"/>
              </w:rPr>
              <w:t>(1) (4)</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9"/>
                <w:szCs w:val="19"/>
                <w:color w:val="auto"/>
                <w:vertAlign w:val="superscript"/>
              </w:rPr>
              <w:t>(1)</w:t>
            </w: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847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2,499</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Adjusted EBITDA attributable to noncontrolling interests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0" w:type="dxa"/>
            <w:vAlign w:val="bottom"/>
          </w:tcPr>
          <w:p>
            <w:pPr>
              <w:spacing w:after="0"/>
              <w:rPr>
                <w:sz w:val="1"/>
                <w:szCs w:val="1"/>
                <w:color w:val="auto"/>
              </w:rPr>
            </w:pPr>
          </w:p>
        </w:tc>
      </w:tr>
      <w:tr>
        <w:trPr>
          <w:trHeight w:val="213"/>
        </w:trPr>
        <w:tc>
          <w:tcPr>
            <w:tcW w:w="6380" w:type="dxa"/>
            <w:vAlign w:val="bottom"/>
          </w:tcPr>
          <w:p>
            <w:pPr>
              <w:ind w:left="40"/>
              <w:spacing w:after="0" w:line="213" w:lineRule="exact"/>
              <w:rPr>
                <w:sz w:val="20"/>
                <w:szCs w:val="20"/>
                <w:color w:val="auto"/>
              </w:rPr>
            </w:pPr>
            <w:r>
              <w:rPr>
                <w:rFonts w:ascii="Times New Roman" w:cs="Times New Roman" w:eastAsia="Times New Roman" w:hAnsi="Times New Roman"/>
                <w:sz w:val="15"/>
                <w:szCs w:val="15"/>
                <w:color w:val="auto"/>
              </w:rPr>
              <w:t xml:space="preserve">Adjusted EBITDA attributable to PAA </w:t>
            </w:r>
            <w:r>
              <w:rPr>
                <w:rFonts w:ascii="Times New Roman" w:cs="Times New Roman" w:eastAsia="Times New Roman" w:hAnsi="Times New Roman"/>
                <w:sz w:val="19"/>
                <w:szCs w:val="19"/>
                <w:color w:val="auto"/>
                <w:vertAlign w:val="superscript"/>
              </w:rPr>
              <w:t>(1)</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711</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2,095</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9"/>
                <w:szCs w:val="19"/>
                <w:color w:val="auto"/>
                <w:vertAlign w:val="superscript"/>
              </w:rPr>
              <w:t>(1)</w:t>
            </w: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847</w:t>
            </w:r>
          </w:p>
        </w:tc>
        <w:tc>
          <w:tcPr>
            <w:tcW w:w="8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00" w:type="dxa"/>
            <w:vAlign w:val="bottom"/>
          </w:tcPr>
          <w:p>
            <w:pPr>
              <w:spacing w:after="0"/>
              <w:rPr>
                <w:sz w:val="19"/>
                <w:szCs w:val="19"/>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2,577</w:t>
            </w:r>
          </w:p>
        </w:tc>
        <w:tc>
          <w:tcPr>
            <w:tcW w:w="10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2,499</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xml:space="preserve">Interest expense, net of certain non-cash and other items </w:t>
            </w:r>
            <w:r>
              <w:rPr>
                <w:rFonts w:ascii="Times New Roman" w:cs="Times New Roman" w:eastAsia="Times New Roman" w:hAnsi="Times New Roman"/>
                <w:sz w:val="19"/>
                <w:szCs w:val="19"/>
                <w:color w:val="auto"/>
                <w:vertAlign w:val="superscript"/>
              </w:rPr>
              <w:t>(5)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199"/>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Maintenance capital from continuing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Maintenance capital from discontinued operations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220"/>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xml:space="preserve">Investment capital of noncontrolling interests </w:t>
            </w:r>
            <w:r>
              <w:rPr>
                <w:rFonts w:ascii="Times New Roman" w:cs="Times New Roman" w:eastAsia="Times New Roman" w:hAnsi="Times New Roman"/>
                <w:sz w:val="19"/>
                <w:szCs w:val="19"/>
                <w:color w:val="auto"/>
                <w:vertAlign w:val="superscript"/>
              </w:rPr>
              <w:t>(6)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55"/>
        </w:trPr>
        <w:tc>
          <w:tcPr>
            <w:tcW w:w="638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5"/>
                <w:szCs w:val="15"/>
                <w:color w:val="auto"/>
              </w:rPr>
              <w:t>Current income tax benefit/(expense), net of certain tax effects related to the Canadian NGL Business</w:t>
            </w: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7"/>
        </w:trPr>
        <w:tc>
          <w:tcPr>
            <w:tcW w:w="6380" w:type="dxa"/>
            <w:vAlign w:val="bottom"/>
            <w:shd w:val="clear" w:color="auto" w:fill="CCEEFF"/>
          </w:tcPr>
          <w:p>
            <w:pPr>
              <w:ind w:left="260"/>
              <w:spacing w:after="0" w:line="207" w:lineRule="exact"/>
              <w:rPr>
                <w:sz w:val="20"/>
                <w:szCs w:val="20"/>
                <w:color w:val="auto"/>
              </w:rPr>
            </w:pPr>
            <w:r>
              <w:rPr>
                <w:rFonts w:ascii="Times New Roman" w:cs="Times New Roman" w:eastAsia="Times New Roman" w:hAnsi="Times New Roman"/>
                <w:sz w:val="15"/>
                <w:szCs w:val="15"/>
                <w:color w:val="auto"/>
              </w:rPr>
              <w:t xml:space="preserve">divestiture </w:t>
            </w:r>
            <w:r>
              <w:rPr>
                <w:rFonts w:ascii="Times New Roman" w:cs="Times New Roman" w:eastAsia="Times New Roman" w:hAnsi="Times New Roman"/>
                <w:sz w:val="19"/>
                <w:szCs w:val="19"/>
                <w:color w:val="auto"/>
                <w:vertAlign w:val="superscript"/>
              </w:rPr>
              <w:t>(1) (7)</w:t>
            </w: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xml:space="preserve">Distributions from unconsolidated entities in excess of/(less than) adjusted equity earnings </w:t>
            </w:r>
            <w:r>
              <w:rPr>
                <w:rFonts w:ascii="Times New Roman" w:cs="Times New Roman" w:eastAsia="Times New Roman" w:hAnsi="Times New Roman"/>
                <w:sz w:val="19"/>
                <w:szCs w:val="19"/>
                <w:color w:val="auto"/>
                <w:vertAlign w:val="superscript"/>
              </w:rPr>
              <w:t>(8)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xml:space="preserve">Distributions to noncontrolling interests </w:t>
            </w:r>
            <w:r>
              <w:rPr>
                <w:rFonts w:ascii="Times New Roman" w:cs="Times New Roman" w:eastAsia="Times New Roman" w:hAnsi="Times New Roman"/>
                <w:sz w:val="19"/>
                <w:szCs w:val="19"/>
                <w:color w:val="auto"/>
                <w:vertAlign w:val="superscript"/>
              </w:rPr>
              <w:t>(9)</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 xml:space="preserve">Implied DCF </w:t>
            </w:r>
            <w:r>
              <w:rPr>
                <w:rFonts w:ascii="Times New Roman" w:cs="Times New Roman" w:eastAsia="Times New Roman" w:hAnsi="Times New Roman"/>
                <w:sz w:val="19"/>
                <w:szCs w:val="19"/>
                <w:color w:val="auto"/>
                <w:vertAlign w:val="superscript"/>
              </w:rPr>
              <w:t>(1)</w:t>
            </w: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tcPr>
          <w:p>
            <w:pPr>
              <w:spacing w:after="0"/>
              <w:rPr>
                <w:sz w:val="18"/>
                <w:szCs w:val="18"/>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100" w:type="dxa"/>
            <w:vAlign w:val="bottom"/>
          </w:tcPr>
          <w:p>
            <w:pPr>
              <w:spacing w:after="0"/>
              <w:rPr>
                <w:sz w:val="18"/>
                <w:szCs w:val="18"/>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100" w:type="dxa"/>
            <w:vAlign w:val="bottom"/>
          </w:tcPr>
          <w:p>
            <w:pPr>
              <w:spacing w:after="0"/>
              <w:rPr>
                <w:sz w:val="18"/>
                <w:szCs w:val="18"/>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xml:space="preserve">Preferred unit cash distributions paid </w:t>
            </w:r>
            <w:r>
              <w:rPr>
                <w:rFonts w:ascii="Times New Roman" w:cs="Times New Roman" w:eastAsia="Times New Roman" w:hAnsi="Times New Roman"/>
                <w:sz w:val="19"/>
                <w:szCs w:val="19"/>
                <w:color w:val="auto"/>
                <w:vertAlign w:val="superscript"/>
              </w:rPr>
              <w:t>(9)</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line="213" w:lineRule="exact"/>
              <w:rPr>
                <w:sz w:val="20"/>
                <w:szCs w:val="20"/>
                <w:color w:val="auto"/>
              </w:rPr>
            </w:pPr>
            <w:r>
              <w:rPr>
                <w:rFonts w:ascii="Times New Roman" w:cs="Times New Roman" w:eastAsia="Times New Roman" w:hAnsi="Times New Roman"/>
                <w:sz w:val="15"/>
                <w:szCs w:val="15"/>
                <w:color w:val="auto"/>
              </w:rPr>
              <w:t xml:space="preserve">Implied DCF Available to Common Unitholders </w:t>
            </w:r>
            <w:r>
              <w:rPr>
                <w:rFonts w:ascii="Times New Roman" w:cs="Times New Roman" w:eastAsia="Times New Roman" w:hAnsi="Times New Roman"/>
                <w:sz w:val="19"/>
                <w:szCs w:val="19"/>
                <w:color w:val="auto"/>
                <w:vertAlign w:val="superscript"/>
              </w:rPr>
              <w:t>(1)</w:t>
            </w: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Units Outstanding</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707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Implied DCF per Common Unit </w:t>
            </w:r>
            <w:r>
              <w:rPr>
                <w:rFonts w:ascii="Times New Roman" w:cs="Times New Roman" w:eastAsia="Times New Roman" w:hAnsi="Times New Roman"/>
                <w:sz w:val="19"/>
                <w:szCs w:val="19"/>
                <w:color w:val="auto"/>
                <w:vertAlign w:val="superscript"/>
              </w:rPr>
              <w:t>(1) (10)</w:t>
            </w: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0.67</w:t>
            </w:r>
          </w:p>
        </w:tc>
        <w:tc>
          <w:tcPr>
            <w:tcW w:w="8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tcPr>
          <w:p>
            <w:pPr>
              <w:spacing w:after="0"/>
              <w:rPr>
                <w:sz w:val="19"/>
                <w:szCs w:val="19"/>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20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Distribution Paid per Common Unit</w:t>
            </w: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0.4175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0.3800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Common Unit Cash Distributions </w:t>
            </w:r>
            <w:r>
              <w:rPr>
                <w:rFonts w:ascii="Times New Roman" w:cs="Times New Roman" w:eastAsia="Times New Roman" w:hAnsi="Times New Roman"/>
                <w:sz w:val="19"/>
                <w:szCs w:val="19"/>
                <w:color w:val="auto"/>
                <w:vertAlign w:val="superscript"/>
              </w:rPr>
              <w:t>(9)</w:t>
            </w: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295</w:t>
            </w:r>
          </w:p>
        </w:tc>
        <w:tc>
          <w:tcPr>
            <w:tcW w:w="8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tcPr>
          <w:p>
            <w:pPr>
              <w:spacing w:after="0"/>
              <w:rPr>
                <w:sz w:val="19"/>
                <w:szCs w:val="19"/>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10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Common Unit Distribution Coverage Ratio </w:t>
            </w:r>
            <w:r>
              <w:rPr>
                <w:rFonts w:ascii="Times New Roman" w:cs="Times New Roman" w:eastAsia="Times New Roman" w:hAnsi="Times New Roman"/>
                <w:sz w:val="19"/>
                <w:szCs w:val="19"/>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1.61x</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1.61x</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1.59x</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1.69x</w:t>
            </w:r>
          </w:p>
        </w:tc>
        <w:tc>
          <w:tcPr>
            <w:tcW w:w="0" w:type="dxa"/>
            <w:vAlign w:val="bottom"/>
          </w:tcPr>
          <w:p>
            <w:pPr>
              <w:spacing w:after="0"/>
              <w:rPr>
                <w:sz w:val="1"/>
                <w:szCs w:val="1"/>
                <w:color w:val="auto"/>
              </w:rPr>
            </w:pPr>
          </w:p>
        </w:tc>
      </w:tr>
      <w:tr>
        <w:trPr>
          <w:trHeight w:val="261"/>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Implied DCF Excess </w:t>
            </w:r>
            <w:r>
              <w:rPr>
                <w:rFonts w:ascii="Times New Roman" w:cs="Times New Roman" w:eastAsia="Times New Roman" w:hAnsi="Times New Roman"/>
                <w:sz w:val="19"/>
                <w:szCs w:val="19"/>
                <w:color w:val="auto"/>
                <w:vertAlign w:val="superscript"/>
              </w:rPr>
              <w:t>(1)</w:t>
            </w: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181</w:t>
            </w:r>
          </w:p>
        </w:tc>
        <w:tc>
          <w:tcPr>
            <w:tcW w:w="80" w:type="dxa"/>
            <w:vAlign w:val="bottom"/>
          </w:tcPr>
          <w:p>
            <w:pPr>
              <w:spacing w:after="0"/>
              <w:rPr>
                <w:sz w:val="22"/>
                <w:szCs w:val="22"/>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22"/>
                <w:szCs w:val="22"/>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100" w:type="dxa"/>
            <w:vAlign w:val="bottom"/>
          </w:tcPr>
          <w:p>
            <w:pPr>
              <w:spacing w:after="0"/>
              <w:rPr>
                <w:sz w:val="22"/>
                <w:szCs w:val="22"/>
                <w:color w:val="auto"/>
              </w:rPr>
            </w:pP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24612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36" w:lineRule="exact"/>
        <w:rPr>
          <w:sz w:val="20"/>
          <w:szCs w:val="20"/>
          <w:color w:val="auto"/>
        </w:rPr>
      </w:pPr>
    </w:p>
    <w:p>
      <w:pPr>
        <w:ind w:left="320" w:right="20" w:hanging="317"/>
        <w:spacing w:after="0" w:line="226" w:lineRule="auto"/>
        <w:tabs>
          <w:tab w:leader="none" w:pos="318"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the applicable periods presented. See the “Discontinued Operations Detail” section for additional information regarding amounts attributable to discontinued operations.</w:t>
      </w:r>
    </w:p>
    <w:p>
      <w:pPr>
        <w:spacing w:after="0" w:line="21" w:lineRule="exact"/>
        <w:rPr>
          <w:rFonts w:ascii="Times New Roman" w:cs="Times New Roman" w:eastAsia="Times New Roman" w:hAnsi="Times New Roman"/>
          <w:sz w:val="15"/>
          <w:szCs w:val="15"/>
          <w:color w:val="auto"/>
          <w:vertAlign w:val="superscript"/>
        </w:rPr>
      </w:pPr>
    </w:p>
    <w:p>
      <w:pPr>
        <w:ind w:left="320" w:hanging="317"/>
        <w:spacing w:after="0"/>
        <w:tabs>
          <w:tab w:leader="none" w:pos="32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“Interest expense, net” as reported on our Condensed Consolidated Statements of Operations, net of interest income associated with promissory notes by and among certain Plains entities.</w:t>
      </w:r>
    </w:p>
    <w:p>
      <w:pPr>
        <w:spacing w:after="0" w:line="50" w:lineRule="exact"/>
        <w:rPr>
          <w:rFonts w:ascii="Times New Roman" w:cs="Times New Roman" w:eastAsia="Times New Roman" w:hAnsi="Times New Roman"/>
          <w:sz w:val="15"/>
          <w:szCs w:val="15"/>
          <w:color w:val="auto"/>
          <w:vertAlign w:val="superscript"/>
        </w:rPr>
      </w:pPr>
    </w:p>
    <w:p>
      <w:pPr>
        <w:ind w:left="320" w:hanging="317"/>
        <w:spacing w:after="0" w:line="198" w:lineRule="auto"/>
        <w:tabs>
          <w:tab w:leader="none" w:pos="32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Adjustment to exclude our proportionate share of depreciation and amortization expense (including write-downs related to cancelled projects and impairments) of unconsolidated entities.</w:t>
      </w:r>
    </w:p>
    <w:p>
      <w:pPr>
        <w:spacing w:after="0" w:line="38" w:lineRule="exact"/>
        <w:rPr>
          <w:rFonts w:ascii="Times New Roman" w:cs="Times New Roman" w:eastAsia="Times New Roman" w:hAnsi="Times New Roman"/>
          <w:sz w:val="15"/>
          <w:szCs w:val="15"/>
          <w:color w:val="auto"/>
          <w:vertAlign w:val="superscript"/>
        </w:rPr>
      </w:pPr>
    </w:p>
    <w:p>
      <w:pPr>
        <w:ind w:left="320" w:hanging="317"/>
        <w:spacing w:after="0" w:line="198" w:lineRule="auto"/>
        <w:tabs>
          <w:tab w:leader="none" w:pos="32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See the “Selected Items Impacting Comparability” table for additional information.</w:t>
      </w:r>
    </w:p>
    <w:p>
      <w:pPr>
        <w:spacing w:after="0" w:line="51" w:lineRule="exact"/>
        <w:rPr>
          <w:rFonts w:ascii="Times New Roman" w:cs="Times New Roman" w:eastAsia="Times New Roman" w:hAnsi="Times New Roman"/>
          <w:sz w:val="15"/>
          <w:szCs w:val="15"/>
          <w:color w:val="auto"/>
          <w:vertAlign w:val="superscript"/>
        </w:rPr>
      </w:pPr>
    </w:p>
    <w:p>
      <w:pPr>
        <w:ind w:left="320" w:right="100" w:hanging="317"/>
        <w:spacing w:after="0" w:line="220" w:lineRule="auto"/>
        <w:tabs>
          <w:tab w:leader="none" w:pos="318"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21" w:lineRule="exact"/>
        <w:rPr>
          <w:rFonts w:ascii="Times New Roman" w:cs="Times New Roman" w:eastAsia="Times New Roman" w:hAnsi="Times New Roman"/>
          <w:sz w:val="15"/>
          <w:szCs w:val="15"/>
          <w:color w:val="auto"/>
          <w:vertAlign w:val="superscript"/>
        </w:rPr>
      </w:pPr>
    </w:p>
    <w:p>
      <w:pPr>
        <w:ind w:left="320" w:hanging="317"/>
        <w:spacing w:after="0"/>
        <w:tabs>
          <w:tab w:leader="none" w:pos="32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Investment capital expenditures attributable to noncontrolling interests that reduce Implied DCF available to PAA common unitholders.</w:t>
      </w:r>
    </w:p>
    <w:p>
      <w:pPr>
        <w:spacing w:after="0" w:line="50" w:lineRule="exact"/>
        <w:rPr>
          <w:rFonts w:ascii="Times New Roman" w:cs="Times New Roman" w:eastAsia="Times New Roman" w:hAnsi="Times New Roman"/>
          <w:sz w:val="15"/>
          <w:szCs w:val="15"/>
          <w:color w:val="auto"/>
          <w:vertAlign w:val="superscript"/>
        </w:rPr>
      </w:pPr>
    </w:p>
    <w:p>
      <w:pPr>
        <w:ind w:left="320" w:right="60" w:hanging="317"/>
        <w:spacing w:after="0" w:line="220" w:lineRule="auto"/>
        <w:tabs>
          <w:tab w:leader="none" w:pos="318"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current income tax expense from continuing operations and discontinued operations, adjusted for current income tax expense associated with certain planning and restructuring activities within our organizational structure in connection with the Canadian NGL Business divestiture that had income tax consequences that required recognition during the first and second quarters of 2026.</w:t>
      </w:r>
    </w:p>
    <w:p>
      <w:pPr>
        <w:spacing w:after="0" w:line="43" w:lineRule="exact"/>
        <w:rPr>
          <w:rFonts w:ascii="Times New Roman" w:cs="Times New Roman" w:eastAsia="Times New Roman" w:hAnsi="Times New Roman"/>
          <w:sz w:val="15"/>
          <w:szCs w:val="15"/>
          <w:color w:val="auto"/>
          <w:vertAlign w:val="superscript"/>
        </w:rPr>
      </w:pPr>
    </w:p>
    <w:p>
      <w:pPr>
        <w:ind w:left="320" w:right="120" w:hanging="317"/>
        <w:spacing w:after="0" w:line="226" w:lineRule="auto"/>
        <w:tabs>
          <w:tab w:leader="none" w:pos="318"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8" w:lineRule="exact"/>
        <w:rPr>
          <w:rFonts w:ascii="Times New Roman" w:cs="Times New Roman" w:eastAsia="Times New Roman" w:hAnsi="Times New Roman"/>
          <w:sz w:val="15"/>
          <w:szCs w:val="15"/>
          <w:color w:val="auto"/>
          <w:vertAlign w:val="superscript"/>
        </w:rPr>
      </w:pPr>
    </w:p>
    <w:p>
      <w:pPr>
        <w:ind w:left="320" w:hanging="317"/>
        <w:spacing w:after="0"/>
        <w:tabs>
          <w:tab w:leader="none" w:pos="32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50" w:lineRule="exact"/>
        <w:rPr>
          <w:rFonts w:ascii="Times New Roman" w:cs="Times New Roman" w:eastAsia="Times New Roman" w:hAnsi="Times New Roman"/>
          <w:sz w:val="15"/>
          <w:szCs w:val="15"/>
          <w:color w:val="auto"/>
          <w:vertAlign w:val="superscript"/>
        </w:rPr>
      </w:pPr>
    </w:p>
    <w:p>
      <w:pPr>
        <w:ind w:left="320" w:hanging="317"/>
        <w:spacing w:after="0" w:line="192" w:lineRule="auto"/>
        <w:tabs>
          <w:tab w:leader="none" w:pos="320"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Implied DCF Available to Common Unitholders for the period divided by the weighted average common units outstanding for the period.</w:t>
      </w: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Income/(Loss) Per Common Unit to Implied DCF Per Common Unit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2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income/(loss) per common unit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(0.06)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3"/>
        </w:trPr>
        <w:tc>
          <w:tcPr>
            <w:tcW w:w="6280" w:type="dxa"/>
            <w:vAlign w:val="bottom"/>
            <w:tcBorders>
              <w:bottom w:val="single" w:sz="8" w:color="CCEEFF"/>
            </w:tcBorders>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(2) (3)</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0.73</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96"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the applicable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20" w:hanging="317"/>
        <w:spacing w:after="0" w:line="220"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of 707 million, 704 million, 706 million and 704 million for the periods presented, respectively.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2"/>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from Continuing Operations</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w:t>
            </w:r>
          </w:p>
        </w:tc>
      </w:tr>
      <w:tr>
        <w:trPr>
          <w:trHeight w:val="233"/>
        </w:trPr>
        <w:tc>
          <w:tcPr>
            <w:tcW w:w="628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Adjusted EBITDA from Discontinued Operations </w:t>
            </w:r>
            <w:r>
              <w:rPr>
                <w:rFonts w:ascii="Times New Roman" w:cs="Times New Roman" w:eastAsia="Times New Roman" w:hAnsi="Times New Roman"/>
                <w:sz w:val="22"/>
                <w:szCs w:val="22"/>
                <w:color w:val="auto"/>
                <w:vertAlign w:val="superscript"/>
              </w:rPr>
              <w:t>(1)</w:t>
            </w:r>
          </w:p>
        </w:tc>
        <w:tc>
          <w:tcPr>
            <w:tcW w:w="7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50"/>
        </w:trPr>
        <w:tc>
          <w:tcPr>
            <w:tcW w:w="6280" w:type="dxa"/>
            <w:vAlign w:val="bottom"/>
            <w:tcBorders>
              <w:top w:val="single" w:sz="8" w:color="CCEEFF"/>
              <w:bottom w:val="single" w:sz="8" w:color="CCEEFF"/>
            </w:tcBorders>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13" w:lineRule="exact"/>
        <w:rPr>
          <w:sz w:val="20"/>
          <w:szCs w:val="20"/>
          <w:color w:val="auto"/>
        </w:rPr>
      </w:pPr>
    </w:p>
    <w:p>
      <w:pPr>
        <w:ind w:left="320" w:hanging="317"/>
        <w:spacing w:after="0" w:line="23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Discontinued Operations” table for a reconciliation to the most directly comparable measure as reported in accordance with GAAP.</w:t>
      </w:r>
    </w:p>
    <w:p>
      <w:pPr>
        <w:spacing w:after="0" w:line="35" w:lineRule="exact"/>
        <w:rPr>
          <w:rFonts w:ascii="Times New Roman" w:cs="Times New Roman" w:eastAsia="Times New Roman" w:hAnsi="Times New Roman"/>
          <w:sz w:val="22"/>
          <w:szCs w:val="22"/>
          <w:color w:val="auto"/>
          <w:vertAlign w:val="superscript"/>
        </w:rPr>
      </w:pPr>
    </w:p>
    <w:p>
      <w:pPr>
        <w:ind w:left="320" w:right="260" w:hanging="317"/>
        <w:spacing w:after="0" w:line="21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a reconciliation to the most directly comparable measure as reported in accordance with GAAP.</w:t>
      </w: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Cash Provided by Operating Activities to Non-GAAP Financial Liquidity Measures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6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0" w:type="dxa"/>
            <w:vAlign w:val="bottom"/>
          </w:tcPr>
          <w:p>
            <w:pPr>
              <w:spacing w:after="0"/>
              <w:rPr>
                <w:sz w:val="1"/>
                <w:szCs w:val="1"/>
                <w:color w:val="auto"/>
              </w:rPr>
            </w:pPr>
          </w:p>
        </w:tc>
      </w:tr>
      <w:tr>
        <w:trPr>
          <w:trHeight w:val="181"/>
        </w:trPr>
        <w:tc>
          <w:tcPr>
            <w:tcW w:w="6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Flow:</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7"/>
                <w:szCs w:val="17"/>
                <w:color w:val="auto"/>
              </w:rPr>
              <w:t xml:space="preserve">Net cash provided by/(used in) investing activities </w:t>
            </w:r>
            <w:r>
              <w:rPr>
                <w:rFonts w:ascii="Times New Roman" w:cs="Times New Roman" w:eastAsia="Times New Roman" w:hAnsi="Times New Roman"/>
                <w:sz w:val="22"/>
                <w:szCs w:val="22"/>
                <w:color w:val="auto"/>
                <w:vertAlign w:val="superscript"/>
              </w:rPr>
              <w:t>(2) (3)</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0" w:type="dxa"/>
            <w:vAlign w:val="bottom"/>
          </w:tcPr>
          <w:p>
            <w:pPr>
              <w:spacing w:after="0"/>
              <w:rPr>
                <w:sz w:val="1"/>
                <w:szCs w:val="1"/>
                <w:color w:val="auto"/>
              </w:rPr>
            </w:pPr>
          </w:p>
        </w:tc>
      </w:tr>
      <w:tr>
        <w:trPr>
          <w:trHeight w:val="233"/>
        </w:trPr>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120"/>
              <w:spacing w:after="0" w:line="232"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(4)</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line="232"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(2)</w:t>
            </w:r>
          </w:p>
        </w:tc>
        <w:tc>
          <w:tcPr>
            <w:tcW w:w="7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50"/>
        </w:trPr>
        <w:tc>
          <w:tcPr>
            <w:tcW w:w="6380" w:type="dxa"/>
            <w:vAlign w:val="bottom"/>
            <w:tcBorders>
              <w:top w:val="single" w:sz="8" w:color="CCEEFF"/>
              <w:bottom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(5)</w:t>
            </w:r>
          </w:p>
        </w:tc>
        <w:tc>
          <w:tcPr>
            <w:tcW w:w="72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120"/>
              <w:spacing w:after="0" w:line="244"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Borders>
              <w:bottom w:val="single" w:sz="8" w:color="CCEEFF"/>
            </w:tcBorders>
            <w:gridSpan w:val="2"/>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(5) (7)</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6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63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(5)</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33"/>
        </w:trPr>
        <w:tc>
          <w:tcPr>
            <w:tcW w:w="6380" w:type="dxa"/>
            <w:vAlign w:val="bottom"/>
            <w:tcBorders>
              <w:bottom w:val="single" w:sz="8" w:color="CCEEFF"/>
            </w:tcBorders>
            <w:gridSpan w:val="2"/>
          </w:tcPr>
          <w:p>
            <w:pPr>
              <w:ind w:left="120"/>
              <w:spacing w:after="0" w:line="232"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(8)</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(9)</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120"/>
              <w:spacing w:after="0" w:line="244"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Borders>
              <w:bottom w:val="single" w:sz="8" w:color="CCEEFF"/>
            </w:tcBorders>
            <w:gridSpan w:val="2"/>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(Excluding Changes in Assets &amp; Liabilities) </w:t>
            </w:r>
            <w:r>
              <w:rPr>
                <w:rFonts w:ascii="Times New Roman" w:cs="Times New Roman" w:eastAsia="Times New Roman" w:hAnsi="Times New Roman"/>
                <w:sz w:val="22"/>
                <w:szCs w:val="22"/>
                <w:color w:val="auto"/>
                <w:vertAlign w:val="superscript"/>
              </w:rPr>
              <w:t>(9)</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the applicable periods presented.</w:t>
      </w:r>
    </w:p>
    <w:p>
      <w:pPr>
        <w:spacing w:after="0" w:line="48" w:lineRule="exact"/>
        <w:rPr>
          <w:rFonts w:ascii="Times New Roman" w:cs="Times New Roman" w:eastAsia="Times New Roman" w:hAnsi="Times New Roman"/>
          <w:sz w:val="20"/>
          <w:szCs w:val="20"/>
          <w:color w:val="auto"/>
          <w:vertAlign w:val="superscript"/>
        </w:rPr>
      </w:pPr>
    </w:p>
    <w:p>
      <w:pPr>
        <w:ind w:left="320" w:right="300" w:hanging="317"/>
        <w:spacing w:after="0" w:line="232" w:lineRule="auto"/>
        <w:tabs>
          <w:tab w:leader="none" w:pos="308"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provided by/(used in) investing activities.”</w:t>
      </w:r>
    </w:p>
    <w:p>
      <w:pPr>
        <w:spacing w:after="0" w:line="32" w:lineRule="exact"/>
        <w:rPr>
          <w:rFonts w:ascii="Times New Roman" w:cs="Times New Roman" w:eastAsia="Times New Roman" w:hAnsi="Times New Roman"/>
          <w:sz w:val="19"/>
          <w:szCs w:val="19"/>
          <w:color w:val="auto"/>
          <w:vertAlign w:val="superscript"/>
        </w:rPr>
      </w:pPr>
    </w:p>
    <w:p>
      <w:pPr>
        <w:ind w:left="320" w:right="260" w:hanging="317"/>
        <w:spacing w:after="0" w:line="228"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nine months ended September 30, 2026, includes a net cash inflow of approximately $3.527 billion for proceeds (net of cash divested) from the sale of the Canadian NGL Business. For the nine months ended September 30, 2025, includes a net cash outflow of $865 million for bolt-on acquisitions.</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220" w:hanging="317"/>
        <w:spacing w:after="0" w:line="219"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48" w:lineRule="exact"/>
        <w:rPr>
          <w:rFonts w:ascii="Times New Roman" w:cs="Times New Roman" w:eastAsia="Times New Roman" w:hAnsi="Times New Roman"/>
          <w:sz w:val="20"/>
          <w:szCs w:val="20"/>
          <w:color w:val="auto"/>
          <w:vertAlign w:val="superscript"/>
        </w:rPr>
      </w:pPr>
    </w:p>
    <w:p>
      <w:pPr>
        <w:jc w:val="both"/>
        <w:ind w:left="320" w:right="40" w:hanging="317"/>
        <w:spacing w:after="0" w:line="224"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Excludes the income tax impacts related to the Canadian NGL Business divestiture.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06" w:lineRule="auto"/>
        <w:tabs>
          <w:tab w:leader="none" w:pos="30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1"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gridSpan w:val="4"/>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4"/>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29"/>
        </w:trPr>
        <w:tc>
          <w:tcPr>
            <w:tcW w:w="38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50"/>
              <w:spacing w:after="0" w:line="12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720" w:type="dxa"/>
            <w:vAlign w:val="bottom"/>
            <w:tcBorders>
              <w:bottom w:val="single" w:sz="8" w:color="auto"/>
            </w:tcBorders>
          </w:tcPr>
          <w:p>
            <w:pPr>
              <w:spacing w:after="0"/>
              <w:rPr>
                <w:sz w:val="11"/>
                <w:szCs w:val="11"/>
                <w:color w:val="auto"/>
              </w:rPr>
            </w:pPr>
          </w:p>
        </w:tc>
      </w:tr>
      <w:tr>
        <w:trPr>
          <w:trHeight w:val="187"/>
        </w:trPr>
        <w:tc>
          <w:tcPr>
            <w:tcW w:w="6540" w:type="dxa"/>
            <w:vAlign w:val="bottom"/>
            <w:tcBorders>
              <w:bottom w:val="single" w:sz="8" w:color="CCEEFF"/>
            </w:tcBorders>
            <w:gridSpan w:val="2"/>
          </w:tcPr>
          <w:p>
            <w:pPr>
              <w:ind w:left="20"/>
              <w:spacing w:after="0" w:line="187" w:lineRule="exact"/>
              <w:rPr>
                <w:sz w:val="20"/>
                <w:szCs w:val="20"/>
                <w:color w:val="auto"/>
              </w:rPr>
            </w:pPr>
            <w:r>
              <w:rPr>
                <w:rFonts w:ascii="Times New Roman" w:cs="Times New Roman" w:eastAsia="Times New Roman" w:hAnsi="Times New Roman"/>
                <w:sz w:val="15"/>
                <w:szCs w:val="15"/>
                <w:b w:val="1"/>
                <w:bCs w:val="1"/>
                <w:color w:val="auto"/>
              </w:rPr>
              <w:t xml:space="preserve">Selected Items Impacting Comparability: </w:t>
            </w:r>
            <w:r>
              <w:rPr>
                <w:rFonts w:ascii="Times New Roman" w:cs="Times New Roman" w:eastAsia="Times New Roman" w:hAnsi="Times New Roman"/>
                <w:sz w:val="19"/>
                <w:szCs w:val="19"/>
                <w:b w:val="1"/>
                <w:bCs w:val="1"/>
                <w:color w:val="auto"/>
                <w:vertAlign w:val="superscript"/>
              </w:rPr>
              <w:t>(1) (2)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200"/>
        </w:trPr>
        <w:tc>
          <w:tcPr>
            <w:tcW w:w="654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 xml:space="preserve">Derivative activities and inventory valuation adjustments </w:t>
            </w:r>
            <w:r>
              <w:rPr>
                <w:rFonts w:ascii="Times New Roman" w:cs="Times New Roman" w:eastAsia="Times New Roman" w:hAnsi="Times New Roman"/>
                <w:sz w:val="19"/>
                <w:szCs w:val="19"/>
                <w:color w:val="auto"/>
                <w:vertAlign w:val="superscript"/>
              </w:rPr>
              <w:t>(2) (3)</w:t>
            </w: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7"/>
        </w:trPr>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Long-term inventory costing adjustments </w:t>
            </w:r>
            <w:r>
              <w:rPr>
                <w:rFonts w:ascii="Times New Roman" w:cs="Times New Roman" w:eastAsia="Times New Roman" w:hAnsi="Times New Roman"/>
                <w:sz w:val="19"/>
                <w:szCs w:val="19"/>
                <w:color w:val="auto"/>
                <w:vertAlign w:val="superscript"/>
              </w:rPr>
              <w:t>(2) (4)</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7"/>
        </w:trPr>
        <w:tc>
          <w:tcPr>
            <w:tcW w:w="65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Deficiencies under minimum volume commitments, net </w:t>
            </w:r>
            <w:r>
              <w:rPr>
                <w:rFonts w:ascii="Times New Roman" w:cs="Times New Roman" w:eastAsia="Times New Roman" w:hAnsi="Times New Roman"/>
                <w:sz w:val="19"/>
                <w:szCs w:val="19"/>
                <w:color w:val="auto"/>
                <w:vertAlign w:val="superscript"/>
              </w:rPr>
              <w:t>(5)</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7"/>
        </w:trPr>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Rail fleet amortization expense related to discontinued operations </w:t>
            </w:r>
            <w:r>
              <w:rPr>
                <w:rFonts w:ascii="Times New Roman" w:cs="Times New Roman" w:eastAsia="Times New Roman" w:hAnsi="Times New Roman"/>
                <w:sz w:val="19"/>
                <w:szCs w:val="19"/>
                <w:color w:val="auto"/>
                <w:vertAlign w:val="superscript"/>
              </w:rPr>
              <w:t>(2) (6)</w:t>
            </w:r>
          </w:p>
        </w:tc>
        <w:tc>
          <w:tcPr>
            <w:tcW w:w="72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7"/>
        </w:trPr>
        <w:tc>
          <w:tcPr>
            <w:tcW w:w="65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Equity-indexed compensation expense </w:t>
            </w:r>
            <w:r>
              <w:rPr>
                <w:rFonts w:ascii="Times New Roman" w:cs="Times New Roman" w:eastAsia="Times New Roman" w:hAnsi="Times New Roman"/>
                <w:sz w:val="19"/>
                <w:szCs w:val="19"/>
                <w:color w:val="auto"/>
                <w:vertAlign w:val="superscript"/>
              </w:rPr>
              <w:t>(7)</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7"/>
        </w:trPr>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Foreign currency revaluation </w:t>
            </w:r>
            <w:r>
              <w:rPr>
                <w:rFonts w:ascii="Times New Roman" w:cs="Times New Roman" w:eastAsia="Times New Roman" w:hAnsi="Times New Roman"/>
                <w:sz w:val="19"/>
                <w:szCs w:val="19"/>
                <w:color w:val="auto"/>
                <w:vertAlign w:val="superscript"/>
              </w:rPr>
              <w:t>(2) (8)</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7"/>
        </w:trPr>
        <w:tc>
          <w:tcPr>
            <w:tcW w:w="65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Contingent consideration fair value adjustment </w:t>
            </w:r>
            <w:r>
              <w:rPr>
                <w:rFonts w:ascii="Times New Roman" w:cs="Times New Roman" w:eastAsia="Times New Roman" w:hAnsi="Times New Roman"/>
                <w:sz w:val="19"/>
                <w:szCs w:val="19"/>
                <w:color w:val="auto"/>
                <w:vertAlign w:val="superscript"/>
              </w:rPr>
              <w:t>(9)</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Impact from exit of Canadian NGL Business </w:t>
            </w:r>
            <w:r>
              <w:rPr>
                <w:rFonts w:ascii="Times New Roman" w:cs="Times New Roman" w:eastAsia="Times New Roman" w:hAnsi="Times New Roman"/>
                <w:sz w:val="19"/>
                <w:szCs w:val="19"/>
                <w:color w:val="auto"/>
                <w:vertAlign w:val="superscript"/>
              </w:rPr>
              <w:t>(10)</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Transaction-related expenses </w:t>
            </w:r>
            <w:r>
              <w:rPr>
                <w:rFonts w:ascii="Times New Roman" w:cs="Times New Roman" w:eastAsia="Times New Roman" w:hAnsi="Times New Roman"/>
                <w:sz w:val="19"/>
                <w:szCs w:val="19"/>
                <w:color w:val="auto"/>
                <w:vertAlign w:val="superscript"/>
              </w:rPr>
              <w:t>(11)</w:t>
            </w:r>
          </w:p>
        </w:tc>
        <w:tc>
          <w:tcPr>
            <w:tcW w:w="7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0"/>
        </w:trPr>
        <w:tc>
          <w:tcPr>
            <w:tcW w:w="6540" w:type="dxa"/>
            <w:vAlign w:val="bottom"/>
            <w:gridSpan w:val="2"/>
          </w:tcPr>
          <w:p>
            <w:pPr>
              <w:ind w:left="120"/>
              <w:spacing w:after="0" w:line="200" w:lineRule="exact"/>
              <w:rPr>
                <w:sz w:val="20"/>
                <w:szCs w:val="20"/>
                <w:color w:val="auto"/>
              </w:rPr>
            </w:pPr>
            <w:r>
              <w:rPr>
                <w:rFonts w:ascii="Times New Roman" w:cs="Times New Roman" w:eastAsia="Times New Roman" w:hAnsi="Times New Roman"/>
                <w:sz w:val="15"/>
                <w:szCs w:val="15"/>
                <w:color w:val="auto"/>
              </w:rPr>
              <w:t xml:space="preserve">Selected items impacting comparability - Adjusted EBITDA </w:t>
            </w:r>
            <w:r>
              <w:rPr>
                <w:rFonts w:ascii="Times New Roman" w:cs="Times New Roman" w:eastAsia="Times New Roman" w:hAnsi="Times New Roman"/>
                <w:sz w:val="19"/>
                <w:szCs w:val="19"/>
                <w:color w:val="auto"/>
                <w:vertAlign w:val="superscript"/>
              </w:rPr>
              <w:t>(2)</w:t>
            </w:r>
          </w:p>
        </w:tc>
        <w:tc>
          <w:tcPr>
            <w:tcW w:w="7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7"/>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on/(impairment of) investments in unconsolidated entities, net</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Gains/(losses) on asset sales, asset impairments and other, net</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11"/>
        </w:trPr>
        <w:tc>
          <w:tcPr>
            <w:tcW w:w="654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5"/>
                <w:szCs w:val="15"/>
                <w:color w:val="auto"/>
              </w:rPr>
              <w:t xml:space="preserve">Current income tax expense related to Canadian NGL Business divestiture </w:t>
            </w:r>
            <w:r>
              <w:rPr>
                <w:rFonts w:ascii="Times New Roman" w:cs="Times New Roman" w:eastAsia="Times New Roman" w:hAnsi="Times New Roman"/>
                <w:sz w:val="19"/>
                <w:szCs w:val="19"/>
                <w:color w:val="auto"/>
                <w:vertAlign w:val="superscript"/>
              </w:rPr>
              <w:t>(12)</w:t>
            </w: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Deferred income tax benefit related to Canadian NGL Business divestiture </w:t>
            </w:r>
            <w:r>
              <w:rPr>
                <w:rFonts w:ascii="Times New Roman" w:cs="Times New Roman" w:eastAsia="Times New Roman" w:hAnsi="Times New Roman"/>
                <w:sz w:val="19"/>
                <w:szCs w:val="19"/>
                <w:color w:val="auto"/>
                <w:vertAlign w:val="superscript"/>
              </w:rPr>
              <w:t>(12)</w:t>
            </w:r>
          </w:p>
        </w:tc>
        <w:tc>
          <w:tcPr>
            <w:tcW w:w="72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on selected items impacting comparability</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3"/>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Aggregate selected items impacting noncontrolling interests</w:t>
            </w: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28"/>
        </w:trPr>
        <w:tc>
          <w:tcPr>
            <w:tcW w:w="6540" w:type="dxa"/>
            <w:vAlign w:val="bottom"/>
            <w:tcBorders>
              <w:bottom w:val="single" w:sz="8" w:color="CCEEFF"/>
            </w:tcBorders>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5"/>
                <w:szCs w:val="15"/>
                <w:color w:val="auto"/>
              </w:rPr>
              <w:t xml:space="preserve">Selected items impacting comparability - Adjusted net income attributable to PAA </w:t>
            </w:r>
            <w:r>
              <w:rPr>
                <w:rFonts w:ascii="Times New Roman" w:cs="Times New Roman" w:eastAsia="Times New Roman" w:hAnsi="Times New Roman"/>
                <w:sz w:val="19"/>
                <w:szCs w:val="19"/>
                <w:color w:val="auto"/>
                <w:vertAlign w:val="superscript"/>
              </w:rPr>
              <w:t>(2)</w:t>
            </w:r>
          </w:p>
        </w:tc>
        <w:tc>
          <w:tcPr>
            <w:tcW w:w="7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128" w:lineRule="exact"/>
        <w:rPr>
          <w:sz w:val="20"/>
          <w:szCs w:val="20"/>
          <w:color w:val="auto"/>
        </w:rPr>
      </w:pPr>
    </w:p>
    <w:p>
      <w:pPr>
        <w:ind w:left="320" w:right="300" w:hanging="317"/>
        <w:spacing w:after="0" w:line="228"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Income/(Loss) Per Common Unit” tables for additional details on how these selected items impacting comparability affect such measures.</w:t>
      </w:r>
    </w:p>
    <w:p>
      <w:pPr>
        <w:spacing w:after="0" w:line="22" w:lineRule="exact"/>
        <w:rPr>
          <w:rFonts w:ascii="Times New Roman" w:cs="Times New Roman" w:eastAsia="Times New Roman" w:hAnsi="Times New Roman"/>
          <w:sz w:val="15"/>
          <w:szCs w:val="15"/>
          <w:color w:val="auto"/>
          <w:vertAlign w:val="superscript"/>
        </w:rPr>
      </w:pPr>
    </w:p>
    <w:p>
      <w:pPr>
        <w:ind w:left="320" w:hanging="317"/>
        <w:spacing w:after="0"/>
        <w:tabs>
          <w:tab w:leader="none" w:pos="32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the applicable periods presented. See the “Discontinued Operations Detail” table for additional information.</w:t>
      </w:r>
    </w:p>
    <w:p>
      <w:pPr>
        <w:spacing w:after="0" w:line="50" w:lineRule="exact"/>
        <w:rPr>
          <w:rFonts w:ascii="Times New Roman" w:cs="Times New Roman" w:eastAsia="Times New Roman" w:hAnsi="Times New Roman"/>
          <w:sz w:val="15"/>
          <w:szCs w:val="15"/>
          <w:color w:val="auto"/>
          <w:vertAlign w:val="superscript"/>
        </w:rPr>
      </w:pPr>
    </w:p>
    <w:p>
      <w:pPr>
        <w:ind w:left="320" w:right="20" w:hanging="317"/>
        <w:spacing w:after="0" w:line="235"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42" w:lineRule="exact"/>
        <w:rPr>
          <w:rFonts w:ascii="Times New Roman" w:cs="Times New Roman" w:eastAsia="Times New Roman" w:hAnsi="Times New Roman"/>
          <w:sz w:val="15"/>
          <w:szCs w:val="15"/>
          <w:color w:val="auto"/>
          <w:vertAlign w:val="superscript"/>
        </w:rPr>
      </w:pPr>
    </w:p>
    <w:p>
      <w:pPr>
        <w:jc w:val="both"/>
        <w:ind w:left="320" w:right="120" w:hanging="317"/>
        <w:spacing w:after="0" w:line="237"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carry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1" w:lineRule="exact"/>
        <w:rPr>
          <w:rFonts w:ascii="Times New Roman" w:cs="Times New Roman" w:eastAsia="Times New Roman" w:hAnsi="Times New Roman"/>
          <w:sz w:val="15"/>
          <w:szCs w:val="15"/>
          <w:color w:val="auto"/>
          <w:vertAlign w:val="superscript"/>
        </w:rPr>
      </w:pPr>
    </w:p>
    <w:p>
      <w:pPr>
        <w:ind w:left="320" w:hanging="317"/>
        <w:spacing w:after="0" w:line="245"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8" w:lineRule="exact"/>
        <w:rPr>
          <w:rFonts w:ascii="Times New Roman" w:cs="Times New Roman" w:eastAsia="Times New Roman" w:hAnsi="Times New Roman"/>
          <w:sz w:val="15"/>
          <w:szCs w:val="15"/>
          <w:color w:val="auto"/>
          <w:vertAlign w:val="superscript"/>
        </w:rPr>
      </w:pPr>
    </w:p>
    <w:p>
      <w:pPr>
        <w:jc w:val="both"/>
        <w:ind w:left="320" w:right="280" w:hanging="317"/>
        <w:spacing w:after="0" w:line="260" w:lineRule="auto"/>
        <w:tabs>
          <w:tab w:leader="none" w:pos="319"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Depreciation and amortization on the long-lived assets of the Canadian NGL Business disposal group ceased upon meeting the criteria to be classified as assets held for sale. Prior to the closing of the divestiture in May 2026, management reviewed the metrics of Adjusted EBITDA and Implied DCF on a consolidated basis (i.e., the aggregate of continuing operations and discontinued operations). We believe this presentation provides relevant and useful information regarding our historical performance and results of operations. We therefore include an adjustment for the impact of amortization of the rail fleet associated with the Canadian NGL Business.</w:t>
      </w:r>
    </w:p>
    <w:p>
      <w:pPr>
        <w:spacing w:after="0" w:line="29" w:lineRule="exact"/>
        <w:rPr>
          <w:rFonts w:ascii="Times New Roman" w:cs="Times New Roman" w:eastAsia="Times New Roman" w:hAnsi="Times New Roman"/>
          <w:sz w:val="14"/>
          <w:szCs w:val="14"/>
          <w:color w:val="auto"/>
          <w:vertAlign w:val="superscript"/>
        </w:rPr>
      </w:pPr>
    </w:p>
    <w:p>
      <w:pPr>
        <w:ind w:left="320" w:right="220" w:hanging="317"/>
        <w:spacing w:after="0" w:line="237"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1" w:lineRule="exact"/>
        <w:rPr>
          <w:rFonts w:ascii="Times New Roman" w:cs="Times New Roman" w:eastAsia="Times New Roman" w:hAnsi="Times New Roman"/>
          <w:sz w:val="15"/>
          <w:szCs w:val="15"/>
          <w:color w:val="auto"/>
          <w:vertAlign w:val="superscript"/>
        </w:rPr>
      </w:pPr>
    </w:p>
    <w:p>
      <w:pPr>
        <w:ind w:left="320" w:right="80" w:hanging="317"/>
        <w:spacing w:after="0" w:line="228"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0" w:lineRule="exact"/>
        <w:rPr>
          <w:rFonts w:ascii="Times New Roman" w:cs="Times New Roman" w:eastAsia="Times New Roman" w:hAnsi="Times New Roman"/>
          <w:sz w:val="15"/>
          <w:szCs w:val="15"/>
          <w:color w:val="auto"/>
          <w:vertAlign w:val="superscript"/>
        </w:rPr>
      </w:pPr>
    </w:p>
    <w:p>
      <w:pPr>
        <w:ind w:left="320" w:right="180" w:hanging="317"/>
        <w:spacing w:after="0" w:line="228"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agreed to potential earnout payments associated with recently completed acquisitions, primarily our Cactus III acquisition. We consider the non-cash change in the estimated fair value of such earnout payments as a selected item impacting comparability.</w:t>
      </w:r>
    </w:p>
    <w:p>
      <w:pPr>
        <w:spacing w:after="0" w:line="40" w:lineRule="exact"/>
        <w:rPr>
          <w:rFonts w:ascii="Times New Roman" w:cs="Times New Roman" w:eastAsia="Times New Roman" w:hAnsi="Times New Roman"/>
          <w:sz w:val="15"/>
          <w:szCs w:val="15"/>
          <w:color w:val="auto"/>
          <w:vertAlign w:val="superscript"/>
        </w:rPr>
      </w:pPr>
    </w:p>
    <w:p>
      <w:pPr>
        <w:ind w:left="320" w:right="620" w:hanging="317"/>
        <w:spacing w:after="0" w:line="228"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the acceleration of certain general and administrative expenses associated with exit activities related to the Canadian NGL Business divestiture in May 2026. Such costs are not integral to our core operating performance and were therefore excluded in determining Adjusted EBITDA.</w:t>
      </w:r>
    </w:p>
    <w:p>
      <w:pPr>
        <w:spacing w:after="0" w:line="22" w:lineRule="exact"/>
        <w:rPr>
          <w:rFonts w:ascii="Times New Roman" w:cs="Times New Roman" w:eastAsia="Times New Roman" w:hAnsi="Times New Roman"/>
          <w:sz w:val="15"/>
          <w:szCs w:val="15"/>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Primarily related to deal-specific costs incurred during the period.</w:t>
      </w:r>
    </w:p>
    <w:p>
      <w:pPr>
        <w:spacing w:after="0" w:line="50" w:lineRule="exact"/>
        <w:rPr>
          <w:rFonts w:ascii="Times New Roman" w:cs="Times New Roman" w:eastAsia="Times New Roman" w:hAnsi="Times New Roman"/>
          <w:sz w:val="15"/>
          <w:szCs w:val="15"/>
          <w:color w:val="auto"/>
          <w:vertAlign w:val="superscript"/>
        </w:rPr>
      </w:pPr>
    </w:p>
    <w:p>
      <w:pPr>
        <w:ind w:left="320" w:right="60" w:hanging="317"/>
        <w:spacing w:after="0" w:line="184" w:lineRule="auto"/>
        <w:tabs>
          <w:tab w:leader="none" w:pos="319"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 connection with the Canadian NGL Business divestiture, we completed certain planning and restructuring activities within our organizational structure that had income tax consequences that required recognition during the first and second quarters of 2026. We consider the impacts from the Canadian NGL Business divestiture as a selected item impacting comparability.</w:t>
      </w:r>
    </w:p>
    <w:p>
      <w:pPr>
        <w:ind w:left="5440" w:hanging="93"/>
        <w:spacing w:after="0"/>
        <w:tabs>
          <w:tab w:leader="none" w:pos="54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 (2)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3"/>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Crude oil pipeline tariff volumes (by region):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Permian Basin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7,196</w:t>
            </w:r>
          </w:p>
        </w:tc>
      </w:tr>
      <w:tr>
        <w:trPr>
          <w:trHeight w:val="233"/>
        </w:trPr>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South Texas / Eagle Ford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33"/>
        </w:trPr>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Mid-Continent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33"/>
        </w:trPr>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Gulf Coast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33"/>
        </w:trPr>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Rocky Mountain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33"/>
        </w:trPr>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Western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233"/>
        </w:trPr>
        <w:tc>
          <w:tcPr>
            <w:tcW w:w="63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Canada</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25"/>
        </w:trPr>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crude oil pipeline tariff volumes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9,545</w:t>
            </w:r>
          </w:p>
        </w:tc>
      </w:tr>
      <w:tr>
        <w:trPr>
          <w:trHeight w:val="155"/>
        </w:trPr>
        <w:tc>
          <w:tcPr>
            <w:tcW w:w="3880" w:type="dxa"/>
            <w:vAlign w:val="bottom"/>
            <w:tcBorders>
              <w:bottom w:val="single" w:sz="8" w:color="auto"/>
            </w:tcBorders>
          </w:tcPr>
          <w:p>
            <w:pPr>
              <w:spacing w:after="0"/>
              <w:rPr>
                <w:sz w:val="13"/>
                <w:szCs w:val="13"/>
                <w:color w:val="auto"/>
              </w:rPr>
            </w:pPr>
          </w:p>
        </w:tc>
        <w:tc>
          <w:tcPr>
            <w:tcW w:w="2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7" w:lineRule="auto"/>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ind w:left="5440" w:hanging="93"/>
        <w:spacing w:after="0"/>
        <w:tabs>
          <w:tab w:leader="none" w:pos="54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DISCONTINUED OPERATIONS DETAIL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Income from Discontinued Operations, Net of Tax: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3"/>
        </w:trPr>
        <w:tc>
          <w:tcPr>
            <w:tcW w:w="6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7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33"/>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Field operating costs</w:t>
            </w:r>
          </w:p>
        </w:tc>
        <w:tc>
          <w:tcPr>
            <w:tcW w:w="740" w:type="dxa"/>
            <w:vAlign w:val="bottom"/>
          </w:tcPr>
          <w:p>
            <w:pPr>
              <w:spacing w:after="0"/>
              <w:rPr>
                <w:sz w:val="20"/>
                <w:szCs w:val="2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7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3"/>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40" w:type="dxa"/>
            <w:vAlign w:val="bottom"/>
          </w:tcPr>
          <w:p>
            <w:pPr>
              <w:spacing w:after="0"/>
              <w:rPr>
                <w:sz w:val="20"/>
                <w:szCs w:val="2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and other, net</w:t>
            </w:r>
          </w:p>
        </w:tc>
        <w:tc>
          <w:tcPr>
            <w:tcW w:w="7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w:t>
            </w:r>
          </w:p>
        </w:tc>
        <w:tc>
          <w:tcPr>
            <w:tcW w:w="12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5"/>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(40)</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w:t>
            </w: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before tax</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740" w:type="dxa"/>
            <w:vAlign w:val="bottom"/>
          </w:tcPr>
          <w:p>
            <w:pPr>
              <w:spacing w:after="0"/>
              <w:rPr>
                <w:sz w:val="20"/>
                <w:szCs w:val="2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7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5"/>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EBITDA from Discontinued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8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40" w:type="dxa"/>
            <w:vAlign w:val="bottom"/>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 from discontinued operations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40" w:type="dxa"/>
            <w:vAlign w:val="bottom"/>
          </w:tcPr>
          <w:p>
            <w:pPr>
              <w:spacing w:after="0"/>
              <w:rPr>
                <w:sz w:val="20"/>
                <w:szCs w:val="20"/>
                <w:color w:val="auto"/>
              </w:rPr>
            </w:pPr>
          </w:p>
        </w:tc>
      </w:tr>
      <w:tr>
        <w:trPr>
          <w:trHeight w:val="233"/>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from discontinued operations</w:t>
            </w: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40" w:type="dxa"/>
            <w:vAlign w:val="bottom"/>
            <w:shd w:val="clear" w:color="auto" w:fill="CCEEFF"/>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(Gains)/losses on asset sales and other, net from discontinued operations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tcPr>
          <w:p>
            <w:pPr>
              <w:spacing w:after="0"/>
              <w:rPr>
                <w:sz w:val="20"/>
                <w:szCs w:val="20"/>
                <w:color w:val="auto"/>
              </w:rPr>
            </w:pPr>
          </w:p>
        </w:tc>
      </w:tr>
      <w:tr>
        <w:trPr>
          <w:trHeight w:val="233"/>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7"/>
                <w:szCs w:val="17"/>
                <w:color w:val="auto"/>
              </w:rPr>
              <w:t xml:space="preserve">Adjustments attributable to discontinued operations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r>
      <w:tr>
        <w:trPr>
          <w:trHeight w:val="233"/>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shd w:val="clear" w:color="auto" w:fill="CCEEFF"/>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Rail fleet amortization expense related to discontinued operations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r>
      <w:tr>
        <w:trPr>
          <w:trHeight w:val="233"/>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auto"/>
            </w:tcBorders>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Adjusted EBITDA from Discontinued Operations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60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9"/>
        </w:trPr>
        <w:tc>
          <w:tcPr>
            <w:tcW w:w="7200" w:type="dxa"/>
            <w:vAlign w:val="bottom"/>
            <w:gridSpan w:val="6"/>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See the “Selected Items Impacting Comparability” table for additional information.</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5"/>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Investment Capital from Discontinued Operations: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40" w:type="dxa"/>
            <w:vAlign w:val="bottom"/>
          </w:tcPr>
          <w:p>
            <w:pPr>
              <w:spacing w:after="0"/>
              <w:rPr>
                <w:sz w:val="15"/>
                <w:szCs w:val="15"/>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gridSpan w:val="2"/>
          </w:tcPr>
          <w:p>
            <w:pPr>
              <w:spacing w:after="0" w:line="20" w:lineRule="exact"/>
              <w:rPr>
                <w:sz w:val="1"/>
                <w:szCs w:val="1"/>
                <w:color w:val="auto"/>
              </w:rPr>
            </w:pPr>
          </w:p>
        </w:tc>
        <w:tc>
          <w:tcPr>
            <w:tcW w:w="176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capital expenditures from discontinued operations</w:t>
            </w:r>
          </w:p>
        </w:tc>
        <w:tc>
          <w:tcPr>
            <w:tcW w:w="2480" w:type="dxa"/>
            <w:vAlign w:val="bottom"/>
            <w:gridSpan w:val="3"/>
            <w:shd w:val="clear" w:color="auto" w:fill="CCEEFF"/>
          </w:tcPr>
          <w:p>
            <w:pPr>
              <w:jc w:val="right"/>
              <w:ind w:right="53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40" w:type="dxa"/>
            <w:vAlign w:val="bottom"/>
          </w:tcPr>
          <w:p>
            <w:pPr>
              <w:spacing w:after="0"/>
              <w:rPr>
                <w:sz w:val="19"/>
                <w:szCs w:val="19"/>
                <w:color w:val="auto"/>
              </w:rPr>
            </w:pPr>
          </w:p>
        </w:tc>
      </w:tr>
      <w:tr>
        <w:trPr>
          <w:trHeight w:val="233"/>
        </w:trPr>
        <w:tc>
          <w:tcPr>
            <w:tcW w:w="2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Maintenance capital expenditures from discontinued operations</w:t>
            </w:r>
          </w:p>
        </w:tc>
        <w:tc>
          <w:tcPr>
            <w:tcW w:w="1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tcPr>
          <w:p>
            <w:pPr>
              <w:spacing w:after="0"/>
              <w:rPr>
                <w:sz w:val="20"/>
                <w:szCs w:val="20"/>
                <w:color w:val="auto"/>
              </w:rPr>
            </w:pPr>
          </w:p>
        </w:tc>
      </w:tr>
      <w:tr>
        <w:trPr>
          <w:trHeight w:val="245"/>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capital expenditures from discontinued operations</w:t>
            </w:r>
          </w:p>
        </w:tc>
        <w:tc>
          <w:tcPr>
            <w:tcW w:w="2480" w:type="dxa"/>
            <w:vAlign w:val="bottom"/>
            <w:gridSpan w:val="3"/>
            <w:shd w:val="clear" w:color="auto" w:fill="CCEEFF"/>
          </w:tcPr>
          <w:p>
            <w:pPr>
              <w:jc w:val="right"/>
              <w:ind w:right="53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80" w:type="dxa"/>
            <w:vAlign w:val="bottom"/>
            <w:gridSpan w:val="3"/>
          </w:tcPr>
          <w:p>
            <w:pPr>
              <w:jc w:val="right"/>
              <w:ind w:right="1231"/>
              <w:spacing w:after="0"/>
              <w:rPr>
                <w:sz w:val="20"/>
                <w:szCs w:val="20"/>
                <w:color w:val="auto"/>
              </w:rPr>
            </w:pPr>
            <w:r>
              <w:rPr>
                <w:rFonts w:ascii="Times New Roman" w:cs="Times New Roman" w:eastAsia="Times New Roman" w:hAnsi="Times New Roman"/>
                <w:sz w:val="17"/>
                <w:szCs w:val="17"/>
                <w:color w:val="auto"/>
              </w:rPr>
              <w:t>- more -</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29"/>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480" w:type="dxa"/>
            <w:vAlign w:val="bottom"/>
            <w:tcBorders>
              <w:bottom w:val="single" w:sz="8" w:color="auto"/>
            </w:tcBorders>
            <w:gridSpan w:val="3"/>
          </w:tcPr>
          <w:p>
            <w:pPr>
              <w:spacing w:after="0"/>
              <w:rPr>
                <w:sz w:val="11"/>
                <w:szCs w:val="11"/>
                <w:color w:val="auto"/>
              </w:rPr>
            </w:pPr>
          </w:p>
        </w:tc>
        <w:tc>
          <w:tcPr>
            <w:tcW w:w="2800" w:type="dxa"/>
            <w:vAlign w:val="bottom"/>
            <w:tcBorders>
              <w:bottom w:val="single" w:sz="8" w:color="auto"/>
            </w:tcBorders>
            <w:gridSpan w:val="11"/>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329"/>
        </w:trPr>
        <w:tc>
          <w:tcPr>
            <w:tcW w:w="20" w:type="dxa"/>
            <w:vAlign w:val="bottom"/>
          </w:tcPr>
          <w:p>
            <w:pPr>
              <w:spacing w:after="0"/>
              <w:rPr>
                <w:sz w:val="24"/>
                <w:szCs w:val="24"/>
                <w:color w:val="auto"/>
              </w:rPr>
            </w:pPr>
          </w:p>
        </w:tc>
        <w:tc>
          <w:tcPr>
            <w:tcW w:w="470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480" w:type="dxa"/>
            <w:vAlign w:val="bottom"/>
            <w:gridSpan w:val="3"/>
          </w:tcPr>
          <w:p>
            <w:pPr>
              <w:jc w:val="right"/>
              <w:ind w:right="731"/>
              <w:spacing w:after="0"/>
              <w:rPr>
                <w:sz w:val="20"/>
                <w:szCs w:val="20"/>
                <w:color w:val="auto"/>
              </w:rPr>
            </w:pPr>
            <w:r>
              <w:rPr>
                <w:rFonts w:ascii="Times New Roman" w:cs="Times New Roman" w:eastAsia="Times New Roman" w:hAnsi="Times New Roman"/>
                <w:sz w:val="17"/>
                <w:szCs w:val="17"/>
                <w:b w:val="1"/>
                <w:bCs w:val="1"/>
                <w:color w:val="auto"/>
              </w:rPr>
              <w:t>Houston, Texas 77002</w:t>
            </w:r>
          </w:p>
        </w:tc>
        <w:tc>
          <w:tcPr>
            <w:tcW w:w="2800" w:type="dxa"/>
            <w:vAlign w:val="bottom"/>
            <w:gridSpan w:val="11"/>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12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(Gains)/losses on asset sales, asset impairments and other,</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investments in unconsolidated entities, net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income/(expense), net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51"/>
        </w:trPr>
        <w:tc>
          <w:tcPr>
            <w:tcW w:w="38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Current income tax benefit/(expense) from continuing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48"/>
        </w:trPr>
        <w:tc>
          <w:tcPr>
            <w:tcW w:w="38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w w:val="99"/>
              </w:rPr>
              <w:t>INCOME FROM CONTINUING OPERATIONS, NET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5"/>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right w:val="single" w:sz="8" w:color="auto"/>
            </w:tcBorders>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Basic net income/(loss)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income/(loss) per Class A share</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Diluted net income/(loss)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5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income/(loss) per Class A share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124"/>
        </w:trPr>
        <w:tc>
          <w:tcPr>
            <w:tcW w:w="3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aggregate consolidating adjustments necessary to produce consolidated financial statements for PAGP.</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89" w:lineRule="auto"/>
        <w:tabs>
          <w:tab w:leader="none" w:pos="30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See the “Computation of Basic and Diluted Net Income/(Loss) Per Class A Share” table for additional information.</w:t>
      </w:r>
    </w:p>
    <w:p>
      <w:pPr>
        <w:ind w:left="5440" w:hanging="93"/>
        <w:spacing w:after="0"/>
        <w:tabs>
          <w:tab w:leader="none" w:pos="54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56"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September 30, 2025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2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20"/>
                <w:szCs w:val="20"/>
                <w:color w:val="auto"/>
                <w:vertAlign w:val="superscript"/>
              </w:rPr>
              <w:t>(2)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(Gains)/losses on asset sales, asset impairments and other,</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32,622</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Gain on/(impairment of) investments in unconsolidated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entities, 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51"/>
        </w:trPr>
        <w:tc>
          <w:tcPr>
            <w:tcW w:w="38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Deferred income tax benefit/(expense) from continuing</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w w:val="99"/>
              </w:rPr>
              <w:t>INCOME FROM CONTINUING OPERATIONS, NET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05"/>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right w:val="single" w:sz="8" w:color="auto"/>
            </w:tcBorders>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6"/>
                <w:szCs w:val="16"/>
                <w:color w:val="auto"/>
              </w:rPr>
              <w:t xml:space="preserve">Basic net income/(loss) per Class A share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84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Diluted net income/(loss) per Class A share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16"/>
          <w:szCs w:val="16"/>
          <w:color w:val="auto"/>
          <w:vertAlign w:val="superscript"/>
        </w:rPr>
      </w:pPr>
    </w:p>
    <w:p>
      <w:pPr>
        <w:ind w:left="320" w:hanging="317"/>
        <w:spacing w:after="0" w:line="212" w:lineRule="auto"/>
        <w:tabs>
          <w:tab w:leader="none" w:pos="308"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nine months ended September 30, 2026, General and administrative expenses include approximately $33 million related to the acceleration of certain expenses primarily during the second quarter of 2026 resulting from exit costs associated with the Canadian NGL Business.</w:t>
      </w:r>
    </w:p>
    <w:p>
      <w:pPr>
        <w:spacing w:after="0" w:line="1" w:lineRule="exact"/>
        <w:rPr>
          <w:rFonts w:ascii="Times New Roman" w:cs="Times New Roman" w:eastAsia="Times New Roman" w:hAnsi="Times New Roman"/>
          <w:sz w:val="16"/>
          <w:szCs w:val="16"/>
          <w:color w:val="auto"/>
          <w:vertAlign w:val="superscript"/>
        </w:rPr>
      </w:pPr>
    </w:p>
    <w:p>
      <w:pPr>
        <w:ind w:left="300" w:hanging="297"/>
        <w:spacing w:after="0" w:line="207" w:lineRule="auto"/>
        <w:tabs>
          <w:tab w:leader="none" w:pos="30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“Computation of Basic and Diluted Net Income/(Loss) Per Class A Share” table for additional information.</w:t>
      </w:r>
    </w:p>
    <w:p>
      <w:pPr>
        <w:ind w:left="5440" w:hanging="93"/>
        <w:spacing w:after="0"/>
        <w:tabs>
          <w:tab w:leader="none" w:pos="54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7"/>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9"/>
                <w:szCs w:val="19"/>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9"/>
                <w:szCs w:val="19"/>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3"/>
        </w:trPr>
        <w:tc>
          <w:tcPr>
            <w:tcW w:w="336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Current assets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4,704</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181"/>
        </w:trPr>
        <w:tc>
          <w:tcPr>
            <w:tcW w:w="33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5"/>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29,474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30,498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31,276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3"/>
        </w:trPr>
        <w:tc>
          <w:tcPr>
            <w:tcW w:w="336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Current liabilities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w:t>
            </w: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10,696</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25"/>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16,822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17,060</w:t>
            </w:r>
          </w:p>
        </w:tc>
      </w:tr>
      <w:tr>
        <w:trPr>
          <w:trHeight w:val="207"/>
        </w:trPr>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1"/>
        </w:trPr>
        <w:tc>
          <w:tcPr>
            <w:tcW w:w="33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w:t>
            </w:r>
          </w:p>
        </w:tc>
      </w:tr>
      <w:tr>
        <w:trPr>
          <w:trHeight w:val="23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12,871</w:t>
            </w:r>
          </w:p>
        </w:tc>
      </w:tr>
      <w:tr>
        <w:trPr>
          <w:trHeight w:val="225"/>
        </w:trPr>
        <w:tc>
          <w:tcPr>
            <w:tcW w:w="3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12,652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14,216</w:t>
            </w: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assets of discontinued operations of $479 million as of December 31, 2025.</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$125 million and $382 million as of September 30, 2026 and December 31, 2025, respectively.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2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INCOME/(LOSS) PER CLASS A SHARE </w:t>
      </w:r>
      <w:r>
        <w:rPr>
          <w:rFonts w:ascii="Times New Roman" w:cs="Times New Roman" w:eastAsia="Times New Roman" w:hAnsi="Times New Roman"/>
          <w:sz w:val="17"/>
          <w:szCs w:val="17"/>
          <w:color w:val="auto"/>
        </w:rPr>
        <w:t>(in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Net Income/(Loss) per Class A Share</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attributable to PAGP from continuing operations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Impact from repurchase of PAA Series A preferred units by subsidiary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income/(loss) from continuing operations available to Class A shareholders</w:t>
            </w: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from discontinued operations available to Class A shareholders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Basic Net Income/(Loss) per Class A Share: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Continuing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0" w:type="dxa"/>
            <w:vAlign w:val="bottom"/>
          </w:tcPr>
          <w:p>
            <w:pPr>
              <w:spacing w:after="0"/>
              <w:rPr>
                <w:sz w:val="1"/>
                <w:szCs w:val="1"/>
                <w:color w:val="auto"/>
              </w:rPr>
            </w:pPr>
          </w:p>
        </w:tc>
      </w:tr>
      <w:tr>
        <w:trPr>
          <w:trHeight w:val="233"/>
        </w:trPr>
        <w:tc>
          <w:tcPr>
            <w:tcW w:w="6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Discontinued operations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 net income/(loss) per Class A share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Net Income/(Loss) per Class A share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income/(loss) from continuing operations available to Class A shareholders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45"/>
        </w:trPr>
        <w:tc>
          <w:tcPr>
            <w:tcW w:w="38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from discontinued operations available to Class A shareholders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Incremental net income resulting from assumed exchange of AAP Units</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1"/>
        </w:trPr>
        <w:tc>
          <w:tcPr>
            <w:tcW w:w="638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7"/>
                <w:szCs w:val="17"/>
                <w:color w:val="auto"/>
              </w:rPr>
              <w:t>Net income from discontinued operations available to Class A shareholders including</w:t>
            </w:r>
          </w:p>
        </w:tc>
        <w:tc>
          <w:tcPr>
            <w:tcW w:w="28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2"/>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incremental net income from assumed exchange of AAP Units</w:t>
            </w:r>
          </w:p>
        </w:tc>
        <w:tc>
          <w:tcPr>
            <w:tcW w:w="2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Dilutive shares resulting from assumed exchange of AAP Units</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Diluted weighted average Class A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Diluted Net Income/(Loss) per Class A Share: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Continuing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0" w:type="dxa"/>
            <w:vAlign w:val="bottom"/>
          </w:tcPr>
          <w:p>
            <w:pPr>
              <w:spacing w:after="0"/>
              <w:rPr>
                <w:sz w:val="1"/>
                <w:szCs w:val="1"/>
                <w:color w:val="auto"/>
              </w:rPr>
            </w:pPr>
          </w:p>
        </w:tc>
      </w:tr>
      <w:tr>
        <w:trPr>
          <w:trHeight w:val="233"/>
        </w:trPr>
        <w:tc>
          <w:tcPr>
            <w:tcW w:w="6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Discontinued operations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Diluted net income/(loss) per Class A share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right="140" w:hanging="317"/>
        <w:spacing w:after="0" w:line="203"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impact on income available to PAGP Class A shareholders resulting from PAA’s repurchase of all of its remaining 58.4 million PAA Series A preferred units on September 14, 2026.</w:t>
      </w:r>
    </w:p>
    <w:p>
      <w:pPr>
        <w:ind w:left="5440" w:hanging="93"/>
        <w:spacing w:after="0"/>
        <w:tabs>
          <w:tab w:leader="none" w:pos="54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1"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50"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4" w:lineRule="exact"/>
        <w:rPr>
          <w:sz w:val="20"/>
          <w:szCs w:val="20"/>
          <w:color w:val="auto"/>
        </w:rPr>
      </w:pPr>
    </w:p>
    <w:p>
      <w:pPr>
        <w:ind w:left="620" w:right="160" w:hanging="307"/>
        <w:spacing w:after="0" w:line="265" w:lineRule="auto"/>
        <w:tabs>
          <w:tab w:leader="none" w:pos="616"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4" w:lineRule="exact"/>
        <w:rPr>
          <w:rFonts w:ascii="Times New Roman" w:cs="Times New Roman" w:eastAsia="Times New Roman" w:hAnsi="Times New Roman"/>
          <w:sz w:val="17"/>
          <w:szCs w:val="17"/>
          <w:i w:val="1"/>
          <w:iCs w:val="1"/>
          <w:color w:val="auto"/>
        </w:rPr>
      </w:pPr>
    </w:p>
    <w:p>
      <w:pPr>
        <w:ind w:left="620" w:right="140" w:hanging="307"/>
        <w:spacing w:after="0" w:line="260"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w:t>
      </w:r>
    </w:p>
    <w:p>
      <w:pPr>
        <w:spacing w:after="0" w:line="47" w:lineRule="exact"/>
        <w:rPr>
          <w:rFonts w:ascii="Times New Roman" w:cs="Times New Roman" w:eastAsia="Times New Roman" w:hAnsi="Times New Roman"/>
          <w:sz w:val="17"/>
          <w:szCs w:val="17"/>
          <w:color w:val="auto"/>
        </w:rPr>
      </w:pPr>
    </w:p>
    <w:p>
      <w:pPr>
        <w:ind w:left="620" w:right="50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global geopolitical events, including conflicts in the Middle East and elsewhere, on commodity price volatility and crude oil supply and demand, as well as broader impacts on financial markets and the global macroeconomic environment;</w:t>
      </w:r>
    </w:p>
    <w:p>
      <w:pPr>
        <w:spacing w:after="0" w:line="34" w:lineRule="exact"/>
        <w:rPr>
          <w:rFonts w:ascii="Times New Roman" w:cs="Times New Roman" w:eastAsia="Times New Roman" w:hAnsi="Times New Roman"/>
          <w:sz w:val="17"/>
          <w:szCs w:val="17"/>
          <w:color w:val="auto"/>
        </w:rPr>
      </w:pPr>
    </w:p>
    <w:p>
      <w:pPr>
        <w:ind w:left="620" w:right="6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resulting changes in pricing conditions or transportation throughput requirements;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market structure, grade differentials and volatility (or lack thereof);</w:t>
      </w:r>
    </w:p>
    <w:p>
      <w:pPr>
        <w:spacing w:after="0" w:line="88"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 and realize benefits therefrom;</w:t>
      </w:r>
    </w:p>
    <w:p>
      <w:pPr>
        <w:spacing w:after="0" w:line="101"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14"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4"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34"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hurricanes, floods, wildfires and drought);</w:t>
      </w:r>
    </w:p>
    <w:p>
      <w:pPr>
        <w:spacing w:after="0" w:line="21"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54"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62" w:lineRule="exact"/>
        <w:rPr>
          <w:rFonts w:ascii="Times New Roman" w:cs="Times New Roman" w:eastAsia="Times New Roman" w:hAnsi="Times New Roman"/>
          <w:sz w:val="17"/>
          <w:szCs w:val="17"/>
          <w:color w:val="auto"/>
        </w:rPr>
      </w:pPr>
    </w:p>
    <w:p>
      <w:pPr>
        <w:ind w:left="5440" w:hanging="93"/>
        <w:spacing w:after="0"/>
        <w:tabs>
          <w:tab w:leader="none" w:pos="54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25" w:lineRule="exact"/>
        <w:rPr>
          <w:sz w:val="20"/>
          <w:szCs w:val="20"/>
          <w:color w:val="auto"/>
        </w:rPr>
      </w:pPr>
    </w:p>
    <w:p>
      <w:pPr>
        <w:ind w:left="620" w:hanging="307"/>
        <w:spacing w:after="0" w:line="265"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and other petroleum products, which may impair our ability to execute our commercial or hedging strategies;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88" w:lineRule="exact"/>
        <w:rPr>
          <w:rFonts w:ascii="Times New Roman" w:cs="Times New Roman" w:eastAsia="Times New Roman" w:hAnsi="Times New Roman"/>
          <w:sz w:val="17"/>
          <w:szCs w:val="17"/>
          <w:color w:val="auto"/>
        </w:rPr>
      </w:pPr>
    </w:p>
    <w:p>
      <w:pPr>
        <w:jc w:val="both"/>
        <w:ind w:left="620" w:right="10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01"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realize anticipated benefits from operational and organizational streamlining and efficiency efforts and initiatives;</w:t>
      </w:r>
    </w:p>
    <w:p>
      <w:pPr>
        <w:spacing w:after="0" w:line="101"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01"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deferral of current revenue recognition attributable to deficiency payments received from customers who fail to ship or move their minimum contracted volumes;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01" w:lineRule="exact"/>
        <w:rPr>
          <w:rFonts w:ascii="Times New Roman" w:cs="Times New Roman" w:eastAsia="Times New Roman" w:hAnsi="Times New Roman"/>
          <w:sz w:val="17"/>
          <w:szCs w:val="17"/>
          <w:color w:val="auto"/>
        </w:rPr>
      </w:pPr>
    </w:p>
    <w:p>
      <w:pPr>
        <w:ind w:left="620" w:right="140" w:hanging="307"/>
        <w:spacing w:after="0" w:line="27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and other petroleum products as discussed in the Partnerships’ filings with the Securities and Exchange Commission.</w:t>
      </w:r>
    </w:p>
    <w:p>
      <w:pPr>
        <w:ind w:left="5440" w:hanging="93"/>
        <w:spacing w:after="0"/>
        <w:tabs>
          <w:tab w:leader="none" w:pos="54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9"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auto"/>
        </w:rPr>
        <w:t>Page 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jc w:val="both"/>
        <w:ind w:right="120" w:firstLine="620"/>
        <w:spacing w:after="0" w:line="270"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PAA owns an extensive network of pipeline gathering and transportation systems, in addition to terminalling, storage and other infrastructure assets serving key producing basins, transportation corridors and major market hubs and export outlets in the United States and Canada.</w:t>
      </w:r>
    </w:p>
    <w:p>
      <w:pPr>
        <w:spacing w:after="0" w:line="193"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Ross Hovde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5"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0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1)"/>
      <w:numFmt w:val="decimal"/>
      <w:start w:val="1"/>
    </w:lvl>
    <w:lvl w:ilvl="1">
      <w:lvlJc w:val="left"/>
      <w:lvlText w:val="-"/>
      <w:numFmt w:val="bullet"/>
      <w:start w:val="1"/>
    </w:lvl>
  </w:abstractNum>
  <w:abstractNum w:abstractNumId="5">
    <w:nsid w:val="1BEFD79F"/>
    <w:multiLevelType w:val="hybridMultilevel"/>
    <w:lvl w:ilvl="0">
      <w:lvlJc w:val="left"/>
      <w:lvlText w:val="(%1)"/>
      <w:numFmt w:val="decimal"/>
      <w:start w:val="1"/>
    </w:lvl>
    <w:lvl w:ilvl="1">
      <w:lvlJc w:val="left"/>
      <w:lvlText w:val="-"/>
      <w:numFmt w:val="bullet"/>
      <w:start w:val="1"/>
    </w:lvl>
  </w:abstractNum>
  <w:abstractNum w:abstractNumId="6">
    <w:nsid w:val="41A7C4C9"/>
    <w:multiLevelType w:val="hybridMultilevel"/>
    <w:lvl w:ilvl="0">
      <w:lvlJc w:val="left"/>
      <w:lvlText w:val="(%1)"/>
      <w:numFmt w:val="decimal"/>
      <w:start w:val="1"/>
    </w:lvl>
    <w:lvl w:ilvl="1">
      <w:lvlJc w:val="left"/>
      <w:lvlText w:val="-"/>
      <w:numFmt w:val="bullet"/>
      <w:start w:val="1"/>
    </w:lvl>
  </w:abstractNum>
  <w:abstractNum w:abstractNumId="7">
    <w:nsid w:val="6B68079A"/>
    <w:multiLevelType w:val="hybridMultilevel"/>
    <w:lvl w:ilvl="0">
      <w:lvlJc w:val="left"/>
      <w:lvlText w:val="(%1)"/>
      <w:numFmt w:val="decimal"/>
      <w:start w:val="1"/>
    </w:lvl>
    <w:lvl w:ilvl="1">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lvl w:ilvl="1">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lvl w:ilvl="1">
      <w:lvlJc w:val="left"/>
      <w:lvlText w:val="-"/>
      <w:numFmt w:val="bullet"/>
      <w:start w:val="1"/>
    </w:lvl>
  </w:abstractNum>
  <w:abstractNum w:abstractNumId="12">
    <w:nsid w:val="3F2DBA31"/>
    <w:multiLevelType w:val="hybridMultilevel"/>
    <w:lvl w:ilvl="0">
      <w:lvlJc w:val="left"/>
      <w:lvlText w:val="(%1)"/>
      <w:numFmt w:val="decimal"/>
      <w:start w:val="1"/>
    </w:lvl>
    <w:lvl w:ilvl="1">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lvl w:ilvl="1">
      <w:lvlJc w:val="left"/>
      <w:lvlText w:val="-"/>
      <w:numFmt w:val="bullet"/>
      <w:start w:val="1"/>
    </w:lvl>
  </w:abstractNum>
  <w:abstractNum w:abstractNumId="15">
    <w:nsid w:val="62BBD95A"/>
    <w:multiLevelType w:val="hybridMultilevel"/>
    <w:lvl w:ilvl="0">
      <w:lvlJc w:val="left"/>
      <w:lvlText w:val="(%1)"/>
      <w:numFmt w:val="decimal"/>
      <w:start w:val="1"/>
    </w:lvl>
    <w:lvl w:ilvl="1">
      <w:lvlJc w:val="left"/>
      <w:lvlText w:val="-"/>
      <w:numFmt w:val="bullet"/>
      <w:start w:val="1"/>
    </w:lvl>
  </w:abstractNum>
  <w:abstractNum w:abstractNumId="16">
    <w:nsid w:val="436C6125"/>
    <w:multiLevelType w:val="hybridMultilevel"/>
    <w:lvl w:ilvl="0">
      <w:lvlJc w:val="left"/>
      <w:lvlText w:val="(%1)"/>
      <w:numFmt w:val="decimal"/>
      <w:start w:val="1"/>
    </w:lvl>
    <w:lvl w:ilvl="1">
      <w:lvlJc w:val="left"/>
      <w:lvlText w:val="-"/>
      <w:numFmt w:val="bullet"/>
      <w:start w:val="1"/>
    </w:lvl>
  </w:abstractNum>
  <w:abstractNum w:abstractNumId="17">
    <w:nsid w:val="628C895D"/>
    <w:multiLevelType w:val="hybridMultilevel"/>
    <w:lvl w:ilvl="0">
      <w:lvlJc w:val="left"/>
      <w:lvlText w:val="(%1)"/>
      <w:numFmt w:val="decimal"/>
      <w:start w:val="1"/>
    </w:lvl>
    <w:lvl w:ilvl="1">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
      <w:numFmt w:val="bullet"/>
      <w:start w:val="1"/>
    </w:lvl>
  </w:abstractNum>
  <w:abstractNum w:abstractNumId="19">
    <w:nsid w:val="721DA317"/>
    <w:multiLevelType w:val="hybridMultilevel"/>
    <w:lvl w:ilvl="0">
      <w:lvlJc w:val="left"/>
      <w:lvlText w:val="(%1)"/>
      <w:numFmt w:val="decimal"/>
      <w:start w:val="1"/>
    </w:lvl>
    <w:lvl w:ilvl="1">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
      <w:numFmt w:val="bullet"/>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2026-11-06T07:40:59Z</dcterms:created>
  <dcterms:modified xsi:type="dcterms:W3CDTF">2026-11-06T07:40:59Z</dcterms:modified>
</cp:coreProperties>
</file>