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Burk Victor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 CLAY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PLAINS GP HOLDINGS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PAGP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3"/>
        <w:gridCol w:w="771"/>
        <w:gridCol w:w="600"/>
        <w:gridCol w:w="354"/>
        <w:gridCol w:w="866"/>
        <w:gridCol w:w="471"/>
        <w:gridCol w:w="633"/>
        <w:gridCol w:w="1191"/>
        <w:gridCol w:w="101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7,400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50,323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66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6,150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Class A shares granted under Long-Term Incentive Plan (includes associated dividend equivalent rights payable in cash).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Class A share is deliverable for each Phantom Class A share that vests.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Upon termination of service as director, other than because of death, disability or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 F. Gullion,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5349" TargetMode="External"/><Relationship Id="rId5" Type="http://schemas.openxmlformats.org/officeDocument/2006/relationships/hyperlink" Target="http://www.sec.gov/cgi-bin/browse-edgar?action=getcompany&amp;CIK=00015819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3487</Characters>
  <CharactersWithSpaces>4043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