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503555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460375</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660" w:right="1560" w:hanging="3652"/>
        <w:spacing w:after="0" w:line="402" w:lineRule="auto"/>
        <w:tabs>
          <w:tab w:leader="none" w:pos="47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4" w:lineRule="exact"/>
        <w:rPr>
          <w:sz w:val="24"/>
          <w:szCs w:val="24"/>
          <w:color w:val="auto"/>
        </w:rPr>
      </w:pPr>
    </w:p>
    <w:p>
      <w:pPr>
        <w:sectPr>
          <w:pgSz w:w="11900" w:h="16838" w:orient="portrait"/>
          <w:cols w:equalWidth="0" w:num="2">
            <w:col w:w="6940" w:space="720"/>
            <w:col w:w="3520"/>
          </w:cols>
          <w:pgMar w:left="320" w:top="233" w:right="399" w:bottom="1440" w:gutter="0" w:footer="0" w:header="0"/>
          <w:type w:val="continuous"/>
        </w:sect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200" w:space="720"/>
            <w:col w:w="4260"/>
          </w:cols>
          <w:pgMar w:left="320" w:top="233" w:right="399" w:bottom="1440" w:gutter="0" w:footer="0" w:header="0"/>
          <w:type w:val="continuous"/>
        </w:sectPr>
      </w:pP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80"/>
          </w:cols>
          <w:pgMar w:left="320" w:top="233" w:right="399" w:bottom="1440" w:gutter="0" w:footer="0" w:header="0"/>
          <w:type w:val="continuous"/>
        </w:sectPr>
      </w:pPr>
    </w:p>
    <w:p>
      <w:pPr>
        <w:spacing w:after="0" w:line="3" w:lineRule="exact"/>
        <w:rPr>
          <w:sz w:val="24"/>
          <w:szCs w:val="24"/>
          <w:color w:val="auto"/>
        </w:rPr>
      </w:pPr>
    </w:p>
    <w:p>
      <w:pPr>
        <w:ind w:left="1760"/>
        <w:spacing w:after="0" w:line="21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9"/>
          <w:szCs w:val="19"/>
          <w:color w:val="auto"/>
        </w:rPr>
        <w:t>☒</w:t>
      </w:r>
    </w:p>
    <w:p>
      <w:pPr>
        <w:spacing w:after="0" w:line="99" w:lineRule="exact"/>
        <w:rPr>
          <w:sz w:val="24"/>
          <w:szCs w:val="24"/>
          <w:color w:val="auto"/>
        </w:rPr>
      </w:pPr>
    </w:p>
    <w:p>
      <w:pPr>
        <w:ind w:left="1840"/>
        <w:spacing w:after="0" w:line="21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ind w:left="760"/>
        <w:spacing w:after="0" w:line="20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99"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5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125" w:lineRule="exact"/>
        <w:rPr>
          <w:sz w:val="24"/>
          <w:szCs w:val="24"/>
          <w:color w:val="auto"/>
        </w:rPr>
      </w:pPr>
    </w:p>
    <w:p>
      <w:pPr>
        <w:sectPr>
          <w:pgSz w:w="11900" w:h="16838" w:orient="portrait"/>
          <w:cols w:equalWidth="0" w:num="2">
            <w:col w:w="6620" w:space="720"/>
            <w:col w:w="3840"/>
          </w:cols>
          <w:pgMar w:left="320" w:top="233" w:right="399" w:bottom="1440" w:gutter="0" w:footer="0" w:header="0"/>
          <w:type w:val="continuous"/>
        </w:sect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October 30, 2020, there were 187,786,393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52070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215"/>
        </w:trPr>
        <w:tc>
          <w:tcPr>
            <w:tcW w:w="10200" w:type="dxa"/>
            <w:vAlign w:val="bottom"/>
            <w:gridSpan w:val="12"/>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1020" w:type="dxa"/>
            <w:vAlign w:val="bottom"/>
          </w:tcPr>
          <w:p>
            <w:pPr>
              <w:spacing w:after="0"/>
              <w:rPr>
                <w:sz w:val="18"/>
                <w:szCs w:val="18"/>
                <w:color w:val="auto"/>
              </w:rPr>
            </w:pPr>
          </w:p>
        </w:tc>
      </w:tr>
      <w:tr>
        <w:trPr>
          <w:trHeight w:val="229"/>
        </w:trPr>
        <w:tc>
          <w:tcPr>
            <w:tcW w:w="10200" w:type="dxa"/>
            <w:vAlign w:val="bottom"/>
            <w:gridSpan w:val="1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UNAUDITED CONDENSED CONSOLIDATED FINANCIAL STATEMENTS:</w:t>
              </w:r>
            </w:hyperlink>
          </w:p>
        </w:tc>
        <w:tc>
          <w:tcPr>
            <w:tcW w:w="10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10080" w:type="dxa"/>
            <w:vAlign w:val="bottom"/>
            <w:gridSpan w:val="11"/>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September 30, 2020 and December 31, 2019</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190"/>
        </w:trPr>
        <w:tc>
          <w:tcPr>
            <w:tcW w:w="120" w:type="dxa"/>
            <w:vAlign w:val="bottom"/>
          </w:tcPr>
          <w:p>
            <w:pPr>
              <w:spacing w:after="0"/>
              <w:rPr>
                <w:sz w:val="16"/>
                <w:szCs w:val="16"/>
                <w:color w:val="auto"/>
              </w:rPr>
            </w:pPr>
          </w:p>
        </w:tc>
        <w:tc>
          <w:tcPr>
            <w:tcW w:w="10080" w:type="dxa"/>
            <w:vAlign w:val="bottom"/>
            <w:gridSpan w:val="11"/>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For the three and</w:t>
              </w:r>
              <w:r>
                <w:rPr>
                  <w:rFonts w:ascii="Arial" w:cs="Arial" w:eastAsia="Arial" w:hAnsi="Arial"/>
                  <w:sz w:val="18"/>
                  <w:szCs w:val="18"/>
                  <w:color w:val="0000FF"/>
                </w:rPr>
                <w:t xml:space="preserve"> nine months ended </w:t>
              </w:r>
              <w:r>
                <w:rPr>
                  <w:rFonts w:ascii="Arial" w:cs="Arial" w:eastAsia="Arial" w:hAnsi="Arial"/>
                  <w:sz w:val="18"/>
                  <w:szCs w:val="18"/>
                  <w:u w:val="single" w:color="auto"/>
                  <w:color w:val="0000FF"/>
                </w:rPr>
                <w:t>September 30, 2020 and 2019</w:t>
              </w:r>
            </w:hyperlink>
          </w:p>
        </w:tc>
        <w:tc>
          <w:tcPr>
            <w:tcW w:w="102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gridSpan w:val="11"/>
          </w:tcPr>
          <w:p>
            <w:pPr>
              <w:spacing w:after="0"/>
              <w:rPr>
                <w:rFonts w:ascii="Arial" w:cs="Arial" w:eastAsia="Arial" w:hAnsi="Arial"/>
                <w:sz w:val="18"/>
                <w:szCs w:val="18"/>
                <w:color w:val="0000FF"/>
                <w:w w:val="89"/>
              </w:rPr>
            </w:pPr>
            <w:hyperlink w:anchor="page4">
              <w:r>
                <w:rPr>
                  <w:rFonts w:ascii="Arial" w:cs="Arial" w:eastAsia="Arial" w:hAnsi="Arial"/>
                  <w:sz w:val="18"/>
                  <w:szCs w:val="18"/>
                  <w:u w:val="single" w:color="auto"/>
                  <w:color w:val="0000FF"/>
                  <w:w w:val="89"/>
                </w:rPr>
                <w:t>Condensed Consolidated Statements of Comprehensive Income/(Loss): For the three and</w:t>
              </w:r>
              <w:r>
                <w:rPr>
                  <w:rFonts w:ascii="Arial" w:cs="Arial" w:eastAsia="Arial" w:hAnsi="Arial"/>
                  <w:sz w:val="18"/>
                  <w:szCs w:val="18"/>
                  <w:color w:val="0000FF"/>
                  <w:w w:val="89"/>
                </w:rPr>
                <w:t xml:space="preserve"> nine months ended </w:t>
              </w:r>
              <w:r>
                <w:rPr>
                  <w:rFonts w:ascii="Arial" w:cs="Arial" w:eastAsia="Arial" w:hAnsi="Arial"/>
                  <w:sz w:val="18"/>
                  <w:szCs w:val="18"/>
                  <w:u w:val="single" w:color="auto"/>
                  <w:color w:val="0000FF"/>
                  <w:w w:val="89"/>
                </w:rPr>
                <w:t>September 30, 2020 and 2019</w:t>
              </w:r>
            </w:hyperlink>
          </w:p>
        </w:tc>
        <w:tc>
          <w:tcPr>
            <w:tcW w:w="10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0"/>
        </w:trPr>
        <w:tc>
          <w:tcPr>
            <w:tcW w:w="12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080" w:type="dxa"/>
            <w:vAlign w:val="bottom"/>
            <w:gridSpan w:val="11"/>
          </w:tcPr>
          <w:p>
            <w:pPr>
              <w:spacing w:after="0"/>
              <w:rPr>
                <w:rFonts w:ascii="Arial" w:cs="Arial" w:eastAsia="Arial" w:hAnsi="Arial"/>
                <w:sz w:val="18"/>
                <w:szCs w:val="18"/>
                <w:color w:val="0000FF"/>
                <w:w w:val="95"/>
              </w:rPr>
            </w:pPr>
            <w:hyperlink w:anchor="page5">
              <w:r>
                <w:rPr>
                  <w:rFonts w:ascii="Arial" w:cs="Arial" w:eastAsia="Arial" w:hAnsi="Arial"/>
                  <w:sz w:val="18"/>
                  <w:szCs w:val="18"/>
                  <w:u w:val="single" w:color="auto"/>
                  <w:color w:val="0000FF"/>
                  <w:w w:val="95"/>
                </w:rPr>
                <w:t>Condensed Consolidated Statements of Changes in Accumulated Other Comprehensive Income/(Loss): For the</w:t>
              </w:r>
              <w:r>
                <w:rPr>
                  <w:rFonts w:ascii="Arial" w:cs="Arial" w:eastAsia="Arial" w:hAnsi="Arial"/>
                  <w:sz w:val="18"/>
                  <w:szCs w:val="18"/>
                  <w:color w:val="0000FF"/>
                  <w:w w:val="95"/>
                </w:rPr>
                <w:t xml:space="preserve"> nine months ended</w:t>
              </w:r>
            </w:hyperlink>
          </w:p>
        </w:tc>
        <w:tc>
          <w:tcPr>
            <w:tcW w:w="1020" w:type="dxa"/>
            <w:vAlign w:val="bottom"/>
          </w:tcPr>
          <w:p>
            <w:pPr>
              <w:spacing w:after="0"/>
              <w:rPr>
                <w:sz w:val="18"/>
                <w:szCs w:val="18"/>
                <w:color w:val="auto"/>
              </w:rPr>
            </w:pPr>
          </w:p>
        </w:tc>
      </w:tr>
      <w:tr>
        <w:trPr>
          <w:trHeight w:val="195"/>
        </w:trPr>
        <w:tc>
          <w:tcPr>
            <w:tcW w:w="120" w:type="dxa"/>
            <w:vAlign w:val="bottom"/>
          </w:tcPr>
          <w:p>
            <w:pPr>
              <w:spacing w:after="0"/>
              <w:rPr>
                <w:sz w:val="16"/>
                <w:szCs w:val="16"/>
                <w:color w:val="auto"/>
              </w:rPr>
            </w:pPr>
          </w:p>
        </w:tc>
        <w:tc>
          <w:tcPr>
            <w:tcW w:w="8060" w:type="dxa"/>
            <w:vAlign w:val="bottom"/>
            <w:gridSpan w:val="9"/>
          </w:tcPr>
          <w:p>
            <w:pPr>
              <w:ind w:left="160"/>
              <w:spacing w:after="0" w:line="195"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September 30, 2020 and 2019</w:t>
              </w:r>
            </w:hyperlink>
          </w:p>
        </w:tc>
        <w:tc>
          <w:tcPr>
            <w:tcW w:w="1360" w:type="dxa"/>
            <w:vAlign w:val="bottom"/>
            <w:tcBorders>
              <w:top w:val="single" w:sz="8" w:color="0000FF"/>
            </w:tcBorders>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jc w:val="right"/>
              <w:spacing w:after="0" w:line="195"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190"/>
        </w:trPr>
        <w:tc>
          <w:tcPr>
            <w:tcW w:w="120" w:type="dxa"/>
            <w:vAlign w:val="bottom"/>
          </w:tcPr>
          <w:p>
            <w:pPr>
              <w:spacing w:after="0"/>
              <w:rPr>
                <w:sz w:val="16"/>
                <w:szCs w:val="16"/>
                <w:color w:val="auto"/>
              </w:rPr>
            </w:pPr>
          </w:p>
        </w:tc>
        <w:tc>
          <w:tcPr>
            <w:tcW w:w="10080" w:type="dxa"/>
            <w:vAlign w:val="bottom"/>
            <w:gridSpan w:val="11"/>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nine months ended </w:t>
              </w:r>
              <w:r>
                <w:rPr>
                  <w:rFonts w:ascii="Arial" w:cs="Arial" w:eastAsia="Arial" w:hAnsi="Arial"/>
                  <w:sz w:val="18"/>
                  <w:szCs w:val="18"/>
                  <w:u w:val="single" w:color="auto"/>
                  <w:color w:val="0000FF"/>
                </w:rPr>
                <w:t>September 30, 2020 and 2019</w:t>
              </w:r>
            </w:hyperlink>
          </w:p>
        </w:tc>
        <w:tc>
          <w:tcPr>
            <w:tcW w:w="1020" w:type="dxa"/>
            <w:vAlign w:val="bottom"/>
          </w:tcPr>
          <w:p>
            <w:pPr>
              <w:jc w:val="right"/>
              <w:spacing w:after="0" w:line="190"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
        </w:trPr>
        <w:tc>
          <w:tcPr>
            <w:tcW w:w="120" w:type="dxa"/>
            <w:vAlign w:val="bottom"/>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080" w:type="dxa"/>
            <w:vAlign w:val="bottom"/>
            <w:gridSpan w:val="11"/>
          </w:tcPr>
          <w:p>
            <w:pPr>
              <w:spacing w:after="0"/>
              <w:rPr>
                <w:rFonts w:ascii="Arial" w:cs="Arial" w:eastAsia="Arial" w:hAnsi="Arial"/>
                <w:sz w:val="18"/>
                <w:szCs w:val="18"/>
                <w:color w:val="0000FF"/>
                <w:w w:val="90"/>
              </w:rPr>
            </w:pPr>
            <w:hyperlink w:anchor="page6">
              <w:r>
                <w:rPr>
                  <w:rFonts w:ascii="Arial" w:cs="Arial" w:eastAsia="Arial" w:hAnsi="Arial"/>
                  <w:sz w:val="18"/>
                  <w:szCs w:val="18"/>
                  <w:u w:val="single" w:color="auto"/>
                  <w:color w:val="0000FF"/>
                  <w:w w:val="90"/>
                </w:rPr>
                <w:t>Condensed Consolidated Statements of Changes in Partners’ Capital: For the three and</w:t>
              </w:r>
              <w:r>
                <w:rPr>
                  <w:rFonts w:ascii="Arial" w:cs="Arial" w:eastAsia="Arial" w:hAnsi="Arial"/>
                  <w:sz w:val="18"/>
                  <w:szCs w:val="18"/>
                  <w:color w:val="0000FF"/>
                  <w:w w:val="90"/>
                </w:rPr>
                <w:t xml:space="preserve"> nine months ended </w:t>
              </w:r>
              <w:r>
                <w:rPr>
                  <w:rFonts w:ascii="Arial" w:cs="Arial" w:eastAsia="Arial" w:hAnsi="Arial"/>
                  <w:sz w:val="18"/>
                  <w:szCs w:val="18"/>
                  <w:u w:val="single" w:color="auto"/>
                  <w:color w:val="0000FF"/>
                  <w:w w:val="90"/>
                </w:rPr>
                <w:t>September 30, 2020 and 2019</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49"/>
        </w:trPr>
        <w:tc>
          <w:tcPr>
            <w:tcW w:w="120" w:type="dxa"/>
            <w:vAlign w:val="bottom"/>
          </w:tcPr>
          <w:p>
            <w:pPr>
              <w:spacing w:after="0"/>
              <w:rPr>
                <w:sz w:val="21"/>
                <w:szCs w:val="21"/>
                <w:color w:val="auto"/>
              </w:rPr>
            </w:pPr>
          </w:p>
        </w:tc>
        <w:tc>
          <w:tcPr>
            <w:tcW w:w="6300" w:type="dxa"/>
            <w:vAlign w:val="bottom"/>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Condensed Consolidated Financial Statements:</w:t>
              </w:r>
            </w:hyperlink>
          </w:p>
        </w:tc>
        <w:tc>
          <w:tcPr>
            <w:tcW w:w="1400" w:type="dxa"/>
            <w:vAlign w:val="bottom"/>
            <w:tcBorders>
              <w:top w:val="single" w:sz="8" w:color="0000FF"/>
            </w:tcBorders>
            <w:gridSpan w:val="3"/>
          </w:tcPr>
          <w:p>
            <w:pPr>
              <w:spacing w:after="0"/>
              <w:rPr>
                <w:sz w:val="21"/>
                <w:szCs w:val="21"/>
                <w:color w:val="auto"/>
              </w:rPr>
            </w:pPr>
          </w:p>
        </w:tc>
        <w:tc>
          <w:tcPr>
            <w:tcW w:w="2380" w:type="dxa"/>
            <w:vAlign w:val="bottom"/>
            <w:gridSpan w:val="4"/>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1.</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Organization and Basis of Consolidation and Presentation</w:t>
              </w:r>
            </w:hyperlink>
          </w:p>
        </w:tc>
        <w:tc>
          <w:tcPr>
            <w:tcW w:w="10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2.</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Summary of Significant Accounting Policies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r>
      <w:tr>
        <w:trPr>
          <w:trHeight w:val="230"/>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2">
              <w:r>
                <w:rPr>
                  <w:rFonts w:ascii="Arial" w:cs="Arial" w:eastAsia="Arial" w:hAnsi="Arial"/>
                  <w:sz w:val="18"/>
                  <w:szCs w:val="18"/>
                  <w:u w:val="single" w:color="auto"/>
                  <w:color w:val="0000FF"/>
                  <w:w w:val="79"/>
                </w:rPr>
                <w:t>3.</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Revenues and Accounts Receivable</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12</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6">
              <w:r>
                <w:rPr>
                  <w:rFonts w:ascii="Arial" w:cs="Arial" w:eastAsia="Arial" w:hAnsi="Arial"/>
                  <w:sz w:val="18"/>
                  <w:szCs w:val="18"/>
                  <w:u w:val="single" w:color="auto"/>
                  <w:color w:val="0000FF"/>
                  <w:w w:val="79"/>
                </w:rPr>
                <w:t>4.</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Net Income/(Loss) Per Class A Share</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16</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7">
              <w:r>
                <w:rPr>
                  <w:rFonts w:ascii="Arial" w:cs="Arial" w:eastAsia="Arial" w:hAnsi="Arial"/>
                  <w:sz w:val="18"/>
                  <w:szCs w:val="18"/>
                  <w:u w:val="single" w:color="auto"/>
                  <w:color w:val="0000FF"/>
                  <w:w w:val="79"/>
                </w:rPr>
                <w:t>5.</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Inventory, Linefill and Base Gas and Long-term Inventory</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18</w:t>
              </w:r>
            </w:hyperlink>
          </w:p>
        </w:tc>
      </w:tr>
      <w:tr>
        <w:trPr>
          <w:trHeight w:val="230"/>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8">
              <w:r>
                <w:rPr>
                  <w:rFonts w:ascii="Arial" w:cs="Arial" w:eastAsia="Arial" w:hAnsi="Arial"/>
                  <w:sz w:val="18"/>
                  <w:szCs w:val="18"/>
                  <w:u w:val="single" w:color="auto"/>
                  <w:color w:val="0000FF"/>
                  <w:w w:val="79"/>
                </w:rPr>
                <w:t>6.</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Goodwill</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9">
              <w:r>
                <w:rPr>
                  <w:rFonts w:ascii="Arial" w:cs="Arial" w:eastAsia="Arial" w:hAnsi="Arial"/>
                  <w:sz w:val="18"/>
                  <w:szCs w:val="18"/>
                  <w:u w:val="single" w:color="auto"/>
                  <w:color w:val="0000FF"/>
                  <w:w w:val="79"/>
                </w:rPr>
                <w:t>7.</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Investments in Unconsolidated Entities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r>
      <w:tr>
        <w:trPr>
          <w:trHeight w:val="230"/>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21">
              <w:r>
                <w:rPr>
                  <w:rFonts w:ascii="Arial" w:cs="Arial" w:eastAsia="Arial" w:hAnsi="Arial"/>
                  <w:sz w:val="18"/>
                  <w:szCs w:val="18"/>
                  <w:u w:val="single" w:color="auto"/>
                  <w:color w:val="0000FF"/>
                  <w:w w:val="79"/>
                </w:rPr>
                <w:t>8.</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Debt</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22">
              <w:r>
                <w:rPr>
                  <w:rFonts w:ascii="Arial" w:cs="Arial" w:eastAsia="Arial" w:hAnsi="Arial"/>
                  <w:sz w:val="18"/>
                  <w:szCs w:val="18"/>
                  <w:u w:val="single" w:color="auto"/>
                  <w:color w:val="0000FF"/>
                  <w:w w:val="79"/>
                </w:rPr>
                <w:t>9.</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Partners’ Capital and Distributions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r>
      <w:tr>
        <w:trPr>
          <w:trHeight w:val="229"/>
        </w:trPr>
        <w:tc>
          <w:tcPr>
            <w:tcW w:w="120" w:type="dxa"/>
            <w:vAlign w:val="bottom"/>
          </w:tcPr>
          <w:p>
            <w:pPr>
              <w:spacing w:after="0"/>
              <w:rPr>
                <w:sz w:val="19"/>
                <w:szCs w:val="19"/>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10. Derivatives and Risk Management Activities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r>
      <w:tr>
        <w:trPr>
          <w:trHeight w:val="230"/>
        </w:trPr>
        <w:tc>
          <w:tcPr>
            <w:tcW w:w="120" w:type="dxa"/>
            <w:vAlign w:val="bottom"/>
          </w:tcPr>
          <w:p>
            <w:pPr>
              <w:spacing w:after="0"/>
              <w:rPr>
                <w:sz w:val="19"/>
                <w:szCs w:val="19"/>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11. Related Party Transactions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r>
      <w:tr>
        <w:trPr>
          <w:trHeight w:val="230"/>
        </w:trPr>
        <w:tc>
          <w:tcPr>
            <w:tcW w:w="120" w:type="dxa"/>
            <w:vAlign w:val="bottom"/>
          </w:tcPr>
          <w:p>
            <w:pPr>
              <w:spacing w:after="0"/>
              <w:rPr>
                <w:sz w:val="19"/>
                <w:szCs w:val="19"/>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12. Commitments and Contingencies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32</w:t>
              </w:r>
            </w:hyperlink>
          </w:p>
        </w:tc>
      </w:tr>
      <w:tr>
        <w:trPr>
          <w:trHeight w:val="230"/>
        </w:trPr>
        <w:tc>
          <w:tcPr>
            <w:tcW w:w="120" w:type="dxa"/>
            <w:vAlign w:val="bottom"/>
          </w:tcPr>
          <w:p>
            <w:pPr>
              <w:spacing w:after="0"/>
              <w:rPr>
                <w:sz w:val="19"/>
                <w:szCs w:val="19"/>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13. Operating Segments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r>
      <w:tr>
        <w:trPr>
          <w:trHeight w:val="230"/>
        </w:trPr>
        <w:tc>
          <w:tcPr>
            <w:tcW w:w="120" w:type="dxa"/>
            <w:vAlign w:val="bottom"/>
          </w:tcPr>
          <w:p>
            <w:pPr>
              <w:spacing w:after="0"/>
              <w:rPr>
                <w:sz w:val="20"/>
                <w:szCs w:val="20"/>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14. Acquisitions, Divestitures and Asset Impairments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458"/>
        </w:trPr>
        <w:tc>
          <w:tcPr>
            <w:tcW w:w="10200" w:type="dxa"/>
            <w:vAlign w:val="bottom"/>
            <w:gridSpan w:val="1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2. 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3. QUANTITATIVE AND QUALITATIVE DISCLOSURES ABOUT MARKET RISK</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4. CONTROLS AND PROCEDURES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458"/>
        </w:trPr>
        <w:tc>
          <w:tcPr>
            <w:tcW w:w="10200" w:type="dxa"/>
            <w:vAlign w:val="bottom"/>
            <w:gridSpan w:val="12"/>
          </w:tcPr>
          <w:p>
            <w:pPr>
              <w:spacing w:after="0"/>
              <w:rPr>
                <w:rFonts w:ascii="Arial" w:cs="Arial" w:eastAsia="Arial" w:hAnsi="Arial"/>
                <w:sz w:val="18"/>
                <w:szCs w:val="18"/>
                <w:b w:val="1"/>
                <w:bCs w:val="1"/>
                <w:u w:val="single" w:color="auto"/>
                <w:color w:val="0000FF"/>
              </w:rPr>
            </w:pPr>
            <w:hyperlink w:anchor="page69">
              <w:r>
                <w:rPr>
                  <w:rFonts w:ascii="Arial" w:cs="Arial" w:eastAsia="Arial" w:hAnsi="Arial"/>
                  <w:sz w:val="18"/>
                  <w:szCs w:val="18"/>
                  <w:b w:val="1"/>
                  <w:bCs w:val="1"/>
                  <w:u w:val="single" w:color="auto"/>
                  <w:color w:val="0000FF"/>
                </w:rPr>
                <w:t>PART II. OTHER INFORMATION</w:t>
              </w:r>
            </w:hyperlink>
          </w:p>
        </w:tc>
        <w:tc>
          <w:tcPr>
            <w:tcW w:w="1020" w:type="dxa"/>
            <w:vAlign w:val="bottom"/>
          </w:tcPr>
          <w:p>
            <w:pPr>
              <w:spacing w:after="0"/>
              <w:rPr>
                <w:sz w:val="24"/>
                <w:szCs w:val="24"/>
                <w:color w:val="auto"/>
              </w:rPr>
            </w:pPr>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1. LEGAL PROCEEDINGS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1A. RISK FACTORS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70</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2. UNREGISTERED SALES OF EQUITY SECURITIES AND USE OF PROCEEDS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29"/>
        </w:trPr>
        <w:tc>
          <w:tcPr>
            <w:tcW w:w="10200" w:type="dxa"/>
            <w:vAlign w:val="bottom"/>
            <w:gridSpan w:val="12"/>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3. DEFAULTS UPON SENIOR SECURITIES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4. MINE SAFETY DISCLOSURES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5. OTHER INFORMATION</w:t>
              </w:r>
            </w:hyperlink>
          </w:p>
        </w:tc>
        <w:tc>
          <w:tcPr>
            <w:tcW w:w="102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6. EXHIBITS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SIGNATURES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191"/>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3,614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4,614</w:t>
            </w:r>
          </w:p>
        </w:tc>
      </w:tr>
      <w:tr>
        <w:trPr>
          <w:trHeight w:val="88"/>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18,983</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(3,616)</w:t>
            </w: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14,627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15,367</w:t>
            </w:r>
          </w:p>
        </w:tc>
      </w:tr>
      <w:tr>
        <w:trPr>
          <w:trHeight w:val="88"/>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1,280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466</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 net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r>
      <w:tr>
        <w:trPr>
          <w:trHeight w:val="234"/>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25,693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29,969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2,083</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3,687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5,019</w:t>
            </w:r>
          </w:p>
        </w:tc>
      </w:tr>
      <w:tr>
        <w:trPr>
          <w:trHeight w:val="88"/>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8,939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10,465</w:t>
            </w:r>
          </w:p>
        </w:tc>
      </w:tr>
      <w:tr>
        <w:trPr>
          <w:trHeight w:val="88"/>
        </w:trPr>
        <w:tc>
          <w:tcPr>
            <w:tcW w:w="8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12)</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shareholders (187,286,393 and 182,138,592 shares outstanding, respectively)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12,330</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partners’ capital</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14,485</w:t>
            </w:r>
          </w:p>
        </w:tc>
      </w:tr>
      <w:tr>
        <w:trPr>
          <w:trHeight w:val="209"/>
        </w:trPr>
        <w:tc>
          <w:tcPr>
            <w:tcW w:w="8240" w:type="dxa"/>
            <w:vAlign w:val="bottom"/>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25,693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29,969</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40" w:type="dxa"/>
            <w:vAlign w:val="bottom"/>
            <w:gridSpan w:val="4"/>
          </w:tcPr>
          <w:p>
            <w:pPr>
              <w:jc w:val="center"/>
              <w:ind w:left="396"/>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183"/>
        </w:trPr>
        <w:tc>
          <w:tcPr>
            <w:tcW w:w="5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gridSpan w:val="3"/>
          </w:tcPr>
          <w:p>
            <w:pPr>
              <w:jc w:val="center"/>
              <w:ind w:right="194"/>
              <w:spacing w:after="0"/>
              <w:rPr>
                <w:sz w:val="20"/>
                <w:szCs w:val="20"/>
                <w:color w:val="auto"/>
              </w:rPr>
            </w:pPr>
            <w:r>
              <w:rPr>
                <w:rFonts w:ascii="Arial" w:cs="Arial" w:eastAsia="Arial" w:hAnsi="Arial"/>
                <w:sz w:val="14"/>
                <w:szCs w:val="14"/>
                <w:b w:val="1"/>
                <w:bCs w:val="1"/>
                <w:color w:val="auto"/>
                <w:w w:val="91"/>
              </w:rPr>
              <w:t>(unaudited)</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5,537</w:t>
            </w:r>
          </w:p>
        </w:tc>
        <w:tc>
          <w:tcPr>
            <w:tcW w:w="120" w:type="dxa"/>
            <w:vAlign w:val="bottom"/>
          </w:tcPr>
          <w:p>
            <w:pPr>
              <w:spacing w:after="0"/>
              <w:rPr>
                <w:sz w:val="19"/>
                <w:szCs w:val="19"/>
                <w:color w:val="auto"/>
              </w:rPr>
            </w:pP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7,541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16,370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23,477</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r>
      <w:tr>
        <w:trPr>
          <w:trHeight w:val="223"/>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5,833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w:t>
            </w:r>
          </w:p>
        </w:tc>
      </w:tr>
      <w:tr>
        <w:trPr>
          <w:trHeight w:val="162"/>
        </w:trPr>
        <w:tc>
          <w:tcPr>
            <w:tcW w:w="5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5,107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6,855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21,218</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 (Note 14)</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 (Note 6)</w:t>
            </w:r>
          </w:p>
        </w:tc>
        <w:tc>
          <w:tcPr>
            <w:tcW w:w="7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7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5,582</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7,396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19,644</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22,864</w:t>
            </w:r>
          </w:p>
        </w:tc>
      </w:tr>
      <w:tr>
        <w:trPr>
          <w:trHeight w:val="162"/>
        </w:trPr>
        <w:tc>
          <w:tcPr>
            <w:tcW w:w="5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162"/>
        </w:trPr>
        <w:tc>
          <w:tcPr>
            <w:tcW w:w="5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w w:val="96"/>
              </w:rPr>
              <w:t>Gain on/(impairment of) investments in unconsolidated entities, net (Note 7)</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Interest expense (net of capitalized interest of $6, $7, $17 and $29, respectively)</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36"/>
        </w:trPr>
        <w:tc>
          <w:tcPr>
            <w:tcW w:w="58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142"/>
        </w:trPr>
        <w:tc>
          <w:tcPr>
            <w:tcW w:w="5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1"/>
        </w:trPr>
        <w:tc>
          <w:tcPr>
            <w:tcW w:w="5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83"/>
        </w:trPr>
        <w:tc>
          <w:tcPr>
            <w:tcW w:w="5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1"/>
              </w:rPr>
              <w:t>(unaudited)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29"/>
        </w:trPr>
        <w:tc>
          <w:tcPr>
            <w:tcW w:w="58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Comprehensive (income)/loss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Translation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jc w:val="right"/>
              <w:ind w:right="622"/>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1100" w:type="dxa"/>
            <w:vAlign w:val="bottom"/>
            <w:gridSpan w:val="3"/>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period activity</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Translation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5"/>
          </w:tcPr>
          <w:p>
            <w:pPr>
              <w:jc w:val="right"/>
              <w:ind w:right="662"/>
              <w:spacing w:after="0"/>
              <w:rPr>
                <w:sz w:val="20"/>
                <w:szCs w:val="20"/>
                <w:color w:val="auto"/>
              </w:rPr>
            </w:pPr>
            <w:r>
              <w:rPr>
                <w:rFonts w:ascii="Arial" w:cs="Arial" w:eastAsia="Arial" w:hAnsi="Arial"/>
                <w:sz w:val="14"/>
                <w:szCs w:val="14"/>
                <w:b w:val="1"/>
                <w:bCs w:val="1"/>
                <w:color w:val="auto"/>
              </w:rPr>
              <w:t>(unaudited)</w:t>
            </w:r>
          </w:p>
        </w:tc>
        <w:tc>
          <w:tcPr>
            <w:tcW w:w="3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period activity</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(2,417)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net income/(loss) to net cash provided by operating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(Gains)/losses on asset sales and asset impairments, net (Note 14)</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240" w:type="dxa"/>
            <w:vAlign w:val="bottom"/>
          </w:tcPr>
          <w:p>
            <w:pPr>
              <w:ind w:left="60"/>
              <w:spacing w:after="0"/>
              <w:rPr>
                <w:sz w:val="20"/>
                <w:szCs w:val="20"/>
                <w:color w:val="auto"/>
              </w:rPr>
            </w:pPr>
            <w:r>
              <w:rPr>
                <w:rFonts w:ascii="Arial" w:cs="Arial" w:eastAsia="Arial" w:hAnsi="Arial"/>
                <w:sz w:val="18"/>
                <w:szCs w:val="18"/>
                <w:color w:val="auto"/>
              </w:rPr>
              <w:t>Goodwill impairment losses (Note 6)</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Equity-indexed compensation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240" w:type="dxa"/>
            <w:vAlign w:val="bottom"/>
          </w:tcPr>
          <w:p>
            <w:pPr>
              <w:ind w:left="60"/>
              <w:spacing w:after="0"/>
              <w:rPr>
                <w:sz w:val="20"/>
                <w:szCs w:val="20"/>
                <w:color w:val="auto"/>
              </w:rPr>
            </w:pPr>
            <w:r>
              <w:rPr>
                <w:rFonts w:ascii="Arial" w:cs="Arial" w:eastAsia="Arial" w:hAnsi="Arial"/>
                <w:sz w:val="18"/>
                <w:szCs w:val="18"/>
                <w:color w:val="auto"/>
              </w:rPr>
              <w:t>Inventory valuation adjustments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income tax expense/(benefit)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240" w:type="dxa"/>
            <w:vAlign w:val="bottom"/>
          </w:tcPr>
          <w:p>
            <w:pPr>
              <w:ind w:left="60"/>
              <w:spacing w:after="0"/>
              <w:rPr>
                <w:sz w:val="20"/>
                <w:szCs w:val="20"/>
                <w:color w:val="auto"/>
              </w:rPr>
            </w:pPr>
            <w:r>
              <w:rPr>
                <w:rFonts w:ascii="Arial" w:cs="Arial" w:eastAsia="Arial" w:hAnsi="Arial"/>
                <w:sz w:val="18"/>
                <w:szCs w:val="18"/>
                <w:color w:val="auto"/>
              </w:rPr>
              <w:t>Settlement of terminated interest rate hedging instruments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240" w:type="dxa"/>
            <w:vAlign w:val="bottom"/>
          </w:tcPr>
          <w:p>
            <w:pPr>
              <w:ind w:left="60"/>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Distributions on earnings from unconsolidated entities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8240" w:type="dxa"/>
            <w:vAlign w:val="bottom"/>
          </w:tcPr>
          <w:p>
            <w:pPr>
              <w:ind w:left="60"/>
              <w:spacing w:after="0"/>
              <w:rPr>
                <w:sz w:val="20"/>
                <w:szCs w:val="20"/>
                <w:color w:val="auto"/>
              </w:rPr>
            </w:pPr>
            <w:r>
              <w:rPr>
                <w:rFonts w:ascii="Arial" w:cs="Arial" w:eastAsia="Arial" w:hAnsi="Arial"/>
                <w:sz w:val="18"/>
                <w:szCs w:val="18"/>
                <w:color w:val="auto"/>
              </w:rPr>
              <w:t>(Gain on)/impairment of investments in unconsolidated entities, net (Note 7)</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in connection with acquisitions, net of cash acquired (Note 14)</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sales of assets (Note 14)</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purchases of linefill and base gas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borrowings under PAA commercial paper program (Note 8)</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repayments under PAA senior secured hedged inventory facility (Note 8)</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issuance of PAA senior notes (Note 8)</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Repayments of PAA senior notes (Note 8)</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Class A shareholders (Note 9)</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noncontrolling interests (Note 9)</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from noncontrolling interests (Note 9)</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Sale of noncontrolling interest in a subsidiary</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240" w:type="dxa"/>
            <w:vAlign w:val="bottom"/>
          </w:tcPr>
          <w:p>
            <w:pPr>
              <w:ind w:left="280"/>
              <w:spacing w:after="0"/>
              <w:rPr>
                <w:sz w:val="20"/>
                <w:szCs w:val="20"/>
                <w:color w:val="auto"/>
              </w:rPr>
            </w:pPr>
            <w:r>
              <w:rPr>
                <w:rFonts w:ascii="Arial" w:cs="Arial" w:eastAsia="Arial" w:hAnsi="Arial"/>
                <w:sz w:val="18"/>
                <w:szCs w:val="18"/>
                <w:color w:val="auto"/>
              </w:rPr>
              <w:t>Net cash (used in)/provided by financing activities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translation adjustment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net of amounts capitalized</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8240" w:type="dxa"/>
            <w:vAlign w:val="bottom"/>
          </w:tcPr>
          <w:p>
            <w:pPr>
              <w:ind w:left="60"/>
              <w:spacing w:after="0"/>
              <w:rPr>
                <w:sz w:val="20"/>
                <w:szCs w:val="20"/>
                <w:color w:val="auto"/>
              </w:rPr>
            </w:pPr>
            <w:r>
              <w:rPr>
                <w:rFonts w:ascii="Arial" w:cs="Arial" w:eastAsia="Arial" w:hAnsi="Arial"/>
                <w:sz w:val="18"/>
                <w:szCs w:val="18"/>
                <w:color w:val="auto"/>
              </w:rPr>
              <w:t>Income taxes, net of amounts refunded</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r>
    </w:tbl>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360" w:type="dxa"/>
            <w:vAlign w:val="bottom"/>
          </w:tcPr>
          <w:p>
            <w:pPr>
              <w:jc w:val="center"/>
              <w:ind w:right="1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(548)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(1,869)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(Note 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w w:val="96"/>
              </w:rPr>
              <w:t>Change in ownership interest in connection with Exchange Right exercises (Note 9)</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from noncontrolling interests (Note 9)</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24"/>
                <w:szCs w:val="24"/>
                <w:color w:val="auto"/>
              </w:rPr>
            </w:pPr>
          </w:p>
        </w:tc>
        <w:tc>
          <w:tcPr>
            <w:tcW w:w="1360" w:type="dxa"/>
            <w:vAlign w:val="bottom"/>
          </w:tcPr>
          <w:p>
            <w:pPr>
              <w:jc w:val="center"/>
              <w:ind w:right="1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122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(Note 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Change in ownership interest in connection with Exchange Right exercises (Note 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Contributions from noncontrolling interests (Note 9)</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1,488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noncontrolling interest in a subsidiary</w:t>
            </w: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58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460" w:type="dxa"/>
            <w:vAlign w:val="bottom"/>
          </w:tcPr>
          <w:p>
            <w:pPr>
              <w:spacing w:after="0"/>
              <w:rPr>
                <w:sz w:val="24"/>
                <w:szCs w:val="2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361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September 30, 2019</w:t>
            </w: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300" w:firstLine="648"/>
        <w:spacing w:after="0" w:line="296" w:lineRule="auto"/>
        <w:rPr>
          <w:sz w:val="20"/>
          <w:szCs w:val="20"/>
          <w:color w:val="auto"/>
        </w:rPr>
      </w:pPr>
      <w:r>
        <w:rPr>
          <w:rFonts w:ascii="Arial" w:cs="Arial" w:eastAsia="Arial" w:hAnsi="Arial"/>
          <w:sz w:val="16"/>
          <w:szCs w:val="16"/>
          <w:color w:val="auto"/>
        </w:rPr>
        <w:t>Plains GP Holdings, L.P. (“PAGP”) is a Delaware limited partnership formed in 2013 that has elected to be taxed as a corporation for United States federal income tax purposes. PAGP does not directly own any operating assets; as of September 30, 2020,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6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As of September 30, 2020, PAGP owned (i) a 100% managing member interest in Plains All American GP LLC (“GP LLC”), an entity that has also elected to be taxed as a corporation for United States federal income tax purposes and (ii) an approximate 77% limited partner interest in Plains AAP, L.P. (“AAP”) through our direct ownership of approximately 186.3 million Class A units of AAP (“AAP units”) and indirect ownership of approximately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 million AAP units through GP LLC. GP LLC is a Delaware limited liability company that also holds the non-economic general partner interest in AAP. AAP is a Delaware limited partnership that, as of September 30, 2020, directly owned a limited partner interest in PAA through its ownership of approximately 245.8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1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215"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2019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2019 was derived from audited financial statements, but does not include all disclosures required by GAAP. The results of operations for the three and nine months ended September 30, 2020 should not be taken as indicative of results to be expected for the entire year.</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6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With the exception of a deferred tax asset of $1.438 billion and $1.280 billion as of September 30, 2020 and December 31, 2019,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2020 or the year ended December 31, 2019. See Note 17 to our Consolidated Financial Statements included in Part IV of our 2019 Annual Report on Form 10-K for information regarding the Omnibus Agreement entered into by the Plains Entities on November 15, 2016.</w:t>
      </w:r>
    </w:p>
    <w:p>
      <w:pPr>
        <w:spacing w:after="0" w:line="2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first quarter of 2020, the novel coronavirus (“COVID-19”) pandemic resulted in a swift and material decline in global crude oil demand, which contributed to an oversupply of crude oil that was exacerbated by increases in production from certain suppliers in the global oil markets. These macroeconomic and industry specific challenges resulted in a number of impairment charges recognized during 2020. See Note 6 and Note 14 for further discussion of these impairments.</w:t>
      </w:r>
    </w:p>
    <w:p>
      <w:pPr>
        <w:spacing w:after="0" w:line="21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Many uncertainties remain with respect to COVID-19, including uncertainty regarding the length of time the pandemic will continue, as well as the timing, pace and extent of an economic recovery in the United States, Canada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466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9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 and restricted cash</w:t>
            </w:r>
          </w:p>
        </w:tc>
        <w:tc>
          <w:tcPr>
            <w:tcW w:w="3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79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66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2019 Annual Report on Form 10-K, there have been no new accounting pronouncements that have become effective or have been issued during the nine months ended September 30, 2020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adopted the ASUs listed below effective January 1, 2020 and our adoption did not have a material impact on our financial position, results of operations or cash flows (see Note 2 to our Consolidated Financial Statements included in Part IV of our 2019 Annual Report on Form 10-K for additional information regarding these ASUs):</w:t>
      </w:r>
    </w:p>
    <w:p>
      <w:pPr>
        <w:spacing w:after="0" w:line="211" w:lineRule="exact"/>
        <w:rPr>
          <w:sz w:val="20"/>
          <w:szCs w:val="20"/>
          <w:color w:val="auto"/>
        </w:rPr>
      </w:pPr>
    </w:p>
    <w:p>
      <w:pPr>
        <w:ind w:left="820" w:right="80" w:hanging="164"/>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2019-04, Codification Improvements to Topic 326, Financial Instruments—Credit Losses, Topic 815, Derivatives and Hedging, and Topic 825, Financial Instruments;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2018-17, Consolidation (Topic 810): Targeted Improvements to Related Party Guidance for Variable Interest Entities;</w:t>
      </w:r>
    </w:p>
    <w:p>
      <w:pPr>
        <w:spacing w:after="0" w:line="117" w:lineRule="exact"/>
        <w:rPr>
          <w:rFonts w:ascii="Arial" w:cs="Arial" w:eastAsia="Arial" w:hAnsi="Arial"/>
          <w:sz w:val="18"/>
          <w:szCs w:val="18"/>
          <w:color w:val="auto"/>
        </w:rPr>
      </w:pPr>
    </w:p>
    <w:p>
      <w:pPr>
        <w:ind w:left="820" w:right="100" w:hanging="164"/>
        <w:spacing w:after="0" w:line="308" w:lineRule="auto"/>
        <w:tabs>
          <w:tab w:leader="none" w:pos="815" w:val="left"/>
        </w:tabs>
        <w:numPr>
          <w:ilvl w:val="0"/>
          <w:numId w:val="4"/>
        </w:numPr>
        <w:rPr>
          <w:rFonts w:ascii="Arial" w:cs="Arial" w:eastAsia="Arial" w:hAnsi="Arial"/>
          <w:sz w:val="17"/>
          <w:szCs w:val="17"/>
          <w:color w:val="auto"/>
        </w:rPr>
      </w:pPr>
      <w:r>
        <w:rPr>
          <w:rFonts w:ascii="Arial" w:cs="Arial" w:eastAsia="Arial" w:hAnsi="Arial"/>
          <w:sz w:val="17"/>
          <w:szCs w:val="17"/>
          <w:color w:val="auto"/>
        </w:rPr>
        <w:t>ASU 2018-15, Intangibles—Goodwill and Other—Internal-Use Software (Subtopic 350-40): Customer’s Accounting for Implementation Costs Incurred in a Cloud Computing Arrangement That Is a Service Contract (a consensus of the FASB Emerging Issues Task Force);</w:t>
      </w:r>
    </w:p>
    <w:p>
      <w:pPr>
        <w:spacing w:after="0" w:line="38" w:lineRule="exact"/>
        <w:rPr>
          <w:rFonts w:ascii="Arial" w:cs="Arial" w:eastAsia="Arial" w:hAnsi="Arial"/>
          <w:sz w:val="17"/>
          <w:szCs w:val="17"/>
          <w:color w:val="auto"/>
        </w:rPr>
      </w:pPr>
    </w:p>
    <w:p>
      <w:pPr>
        <w:ind w:left="820" w:right="780" w:hanging="164"/>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2018-13, Fair Value Measurement (Topic 820): Disclosure Framework—Changes to the Disclosure Requirements for Fair Value Measurement; and</w:t>
      </w:r>
    </w:p>
    <w:p>
      <w:pPr>
        <w:spacing w:after="0" w:line="62" w:lineRule="exact"/>
        <w:rPr>
          <w:rFonts w:ascii="Arial" w:cs="Arial" w:eastAsia="Arial" w:hAnsi="Arial"/>
          <w:sz w:val="18"/>
          <w:szCs w:val="18"/>
          <w:color w:val="auto"/>
        </w:rPr>
      </w:pPr>
    </w:p>
    <w:p>
      <w:pPr>
        <w:ind w:left="820" w:right="140" w:hanging="164"/>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2016-13, Financial Instruments—Credit Losses (Topic 326): Measurement of Credit Losses on Financial Instruments (along with a series of related ASUs).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Issued During the Period</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expedients and exceptions for applying GAAP to contracts, hedging relationships and other transactions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LIBOR or another reference rate expected to be discontinued because of reference rate reform. This guidance is effective prospectively upon issuance through December 31, 2022 and may be applied from the beginning of an interim period that includes the issuance date of this ASU. We are currently evaluating the effect that this guidance will have on our financial position, results of operations and cash flows.</w:t>
      </w:r>
    </w:p>
    <w:p>
      <w:pPr>
        <w:spacing w:after="0" w:line="186"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 Accounting for Convertible Instruments and Contracts in an Entity’s Own Equity</w:t>
      </w:r>
      <w:r>
        <w:rPr>
          <w:rFonts w:ascii="Arial" w:cs="Arial" w:eastAsia="Arial" w:hAnsi="Arial"/>
          <w:sz w:val="18"/>
          <w:szCs w:val="18"/>
          <w:color w:val="auto"/>
        </w:rPr>
        <w:t>, which simplifies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are currently evaluating the effect that this guidance will have on our financial position, results of operations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2019 Annual Report on Form 10-K for additional information regarding our types of revenues and policies for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center"/>
              <w:ind w:left="41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Supply and Logistics segment revenues from contracts with customers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320" w:type="dxa"/>
            <w:vAlign w:val="bottom"/>
            <w:gridSpan w:val="3"/>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7,185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15,644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21,716</w:t>
            </w:r>
          </w:p>
        </w:tc>
      </w:tr>
      <w:tr>
        <w:trPr>
          <w:trHeight w:val="229"/>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w w:val="95"/>
              </w:rPr>
              <w:t>Total Supply and Logistics segment revenues from contracts with customers</w:t>
            </w:r>
          </w:p>
        </w:tc>
        <w:tc>
          <w:tcPr>
            <w:tcW w:w="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23,096</w:t>
            </w:r>
          </w:p>
        </w:tc>
      </w:tr>
      <w:tr>
        <w:trPr>
          <w:trHeight w:val="20"/>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07"/>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3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r>
      <w:tr>
        <w:trPr>
          <w:trHeight w:val="229"/>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NGL pipelines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tariff activities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29"/>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Trucking</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87"/>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2"/>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Crude oil, NGL and other terminalling and storage</w:t>
            </w:r>
          </w:p>
        </w:tc>
        <w:tc>
          <w:tcPr>
            <w:tcW w:w="3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NGL and natural gas processing and fractionation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Rail load / unload</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tables present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2019</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September 30, 2020 and December 31, 2019, counterparty deficiencies associated with contracts with customers and buy/sell arrangements that include minimum volume commitments for which we have remaining performance obligations and the customers still have the ability to meet their obligations totaled $82 million and $42 million, respectively. Billed counterparty deficiencies of $68 million and $22 million at September 30, 2020 and December 31, 2019, respectively, were recorded as a liability. Unbilled counterparty deficiencies of $14 million and $20 million at September 30, 2020 and December 31, 2019, respectively, were not reflected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Topic 606 contract liability balance during the nine months ended September 30, 2020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center"/>
              <w:ind w:left="1214"/>
              <w:spacing w:after="0"/>
              <w:rPr>
                <w:sz w:val="20"/>
                <w:szCs w:val="20"/>
                <w:color w:val="auto"/>
              </w:rPr>
            </w:pPr>
            <w:r>
              <w:rPr>
                <w:rFonts w:ascii="Arial" w:cs="Arial" w:eastAsia="Arial" w:hAnsi="Arial"/>
                <w:sz w:val="18"/>
                <w:szCs w:val="18"/>
                <w:color w:val="auto"/>
                <w:w w:val="86"/>
              </w:rPr>
              <w:t>354</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Amounts recognized as 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center"/>
              <w:ind w:left="1194"/>
              <w:spacing w:after="0" w:line="203" w:lineRule="exact"/>
              <w:rPr>
                <w:sz w:val="20"/>
                <w:szCs w:val="20"/>
                <w:color w:val="auto"/>
              </w:rPr>
            </w:pPr>
            <w:r>
              <w:rPr>
                <w:rFonts w:ascii="Arial" w:cs="Arial" w:eastAsia="Arial" w:hAnsi="Arial"/>
                <w:sz w:val="18"/>
                <w:szCs w:val="18"/>
                <w:color w:val="auto"/>
                <w:w w:val="95"/>
              </w:rPr>
              <w:t>(245)</w:t>
            </w:r>
          </w:p>
        </w:tc>
        <w:tc>
          <w:tcPr>
            <w:tcW w:w="0" w:type="dxa"/>
            <w:vAlign w:val="bottom"/>
          </w:tcPr>
          <w:p>
            <w:pPr>
              <w:spacing w:after="0"/>
              <w:rPr>
                <w:sz w:val="1"/>
                <w:szCs w:val="1"/>
                <w:color w:val="auto"/>
              </w:rPr>
            </w:pPr>
          </w:p>
        </w:tc>
      </w:tr>
      <w:tr>
        <w:trPr>
          <w:trHeight w:val="229"/>
        </w:trPr>
        <w:tc>
          <w:tcPr>
            <w:tcW w:w="922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1214"/>
              <w:spacing w:after="0"/>
              <w:rPr>
                <w:sz w:val="20"/>
                <w:szCs w:val="20"/>
                <w:color w:val="auto"/>
              </w:rPr>
            </w:pPr>
            <w:r>
              <w:rPr>
                <w:rFonts w:ascii="Arial" w:cs="Arial" w:eastAsia="Arial" w:hAnsi="Arial"/>
                <w:sz w:val="18"/>
                <w:szCs w:val="18"/>
                <w:color w:val="auto"/>
                <w:w w:val="86"/>
              </w:rPr>
              <w:t>191</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center"/>
              <w:ind w:left="1214"/>
              <w:spacing w:after="0"/>
              <w:rPr>
                <w:sz w:val="20"/>
                <w:szCs w:val="20"/>
                <w:color w:val="auto"/>
              </w:rPr>
            </w:pPr>
            <w:r>
              <w:rPr>
                <w:rFonts w:ascii="Arial" w:cs="Arial" w:eastAsia="Arial" w:hAnsi="Arial"/>
                <w:sz w:val="18"/>
                <w:szCs w:val="18"/>
                <w:color w:val="auto"/>
                <w:w w:val="86"/>
              </w:rPr>
              <w:t>300</w:t>
            </w:r>
          </w:p>
        </w:tc>
        <w:tc>
          <w:tcPr>
            <w:tcW w:w="0" w:type="dxa"/>
            <w:vAlign w:val="bottom"/>
          </w:tcPr>
          <w:p>
            <w:pPr>
              <w:spacing w:after="0"/>
              <w:rPr>
                <w:sz w:val="1"/>
                <w:szCs w:val="1"/>
                <w:color w:val="auto"/>
              </w:rPr>
            </w:pPr>
          </w:p>
        </w:tc>
      </w:tr>
      <w:tr>
        <w:trPr>
          <w:trHeight w:val="21"/>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$152 million associated with crude oil sales agreements that are entered into in conjunction with storage arrangements and future inventory exchanges. Such amount is expected to be recognized as revenue in the fourth quarter of 2020.</w:t>
      </w:r>
    </w:p>
    <w:p>
      <w:pPr>
        <w:spacing w:after="0" w:line="28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September 30, 2020 (in millions):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2025 and</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Storage, terminalling and throughput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88" w:lineRule="exact"/>
        <w:rPr>
          <w:sz w:val="20"/>
          <w:szCs w:val="20"/>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During the first quarter of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September 30, 2020 and December 31, 2019, substantially all of our trade accounts receivable were less than 30 days past their scheduled invoice date. Our expected credit losses are immaterial. Although we consider our credit procedures to be adequate to mitigate any significant credit losses, given the sharp decline in demand for crude oil and the drop in prices, the actual amount of current and future credit losses could vary significantly from estimated amounts.</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8"/>
        </w:trPr>
        <w:tc>
          <w:tcPr>
            <w:tcW w:w="8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88"/>
              </w:rPr>
              <w:t>1,876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93"/>
              </w:rPr>
              <w:t>3,381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260" w:type="dxa"/>
            <w:vAlign w:val="bottom"/>
          </w:tcPr>
          <w:p>
            <w:pPr>
              <w:jc w:val="center"/>
              <w:ind w:left="616"/>
              <w:spacing w:after="0"/>
              <w:rPr>
                <w:sz w:val="20"/>
                <w:szCs w:val="20"/>
                <w:color w:val="auto"/>
              </w:rPr>
            </w:pPr>
            <w:r>
              <w:rPr>
                <w:rFonts w:ascii="Arial" w:cs="Arial" w:eastAsia="Arial" w:hAnsi="Arial"/>
                <w:sz w:val="18"/>
                <w:szCs w:val="18"/>
                <w:color w:val="auto"/>
                <w:w w:val="88"/>
              </w:rPr>
              <w:t>2,577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left="654"/>
              <w:spacing w:after="0"/>
              <w:rPr>
                <w:sz w:val="20"/>
                <w:szCs w:val="20"/>
                <w:color w:val="auto"/>
              </w:rPr>
            </w:pPr>
            <w:r>
              <w:rPr>
                <w:rFonts w:ascii="Arial" w:cs="Arial" w:eastAsia="Arial" w:hAnsi="Arial"/>
                <w:sz w:val="18"/>
                <w:szCs w:val="18"/>
                <w:color w:val="auto"/>
                <w:w w:val="93"/>
              </w:rPr>
              <w:t>3,576</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1"/>
              </w:rPr>
              <w:t>(2,300)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1"/>
              </w:rPr>
              <w:t>(3,343)</w:t>
            </w:r>
          </w:p>
        </w:tc>
        <w:tc>
          <w:tcPr>
            <w:tcW w:w="0" w:type="dxa"/>
            <w:vAlign w:val="bottom"/>
          </w:tcPr>
          <w:p>
            <w:pPr>
              <w:spacing w:after="0"/>
              <w:rPr>
                <w:sz w:val="1"/>
                <w:szCs w:val="1"/>
                <w:color w:val="auto"/>
              </w:rPr>
            </w:pPr>
          </w:p>
        </w:tc>
      </w:tr>
      <w:tr>
        <w:trPr>
          <w:trHeight w:val="223"/>
        </w:trPr>
        <w:tc>
          <w:tcPr>
            <w:tcW w:w="8200" w:type="dxa"/>
            <w:vAlign w:val="bottom"/>
          </w:tcPr>
          <w:p>
            <w:pPr>
              <w:ind w:left="120"/>
              <w:spacing w:after="0"/>
              <w:rPr>
                <w:sz w:val="20"/>
                <w:szCs w:val="20"/>
                <w:color w:val="auto"/>
              </w:rPr>
            </w:pPr>
            <w:r>
              <w:rPr>
                <w:rFonts w:ascii="Arial" w:cs="Arial" w:eastAsia="Arial" w:hAnsi="Arial"/>
                <w:sz w:val="18"/>
                <w:szCs w:val="18"/>
                <w:color w:val="auto"/>
              </w:rPr>
              <w:t>Trade accounts receivable and other receivables,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616"/>
              <w:spacing w:after="0"/>
              <w:rPr>
                <w:sz w:val="20"/>
                <w:szCs w:val="20"/>
                <w:color w:val="auto"/>
              </w:rPr>
            </w:pPr>
            <w:r>
              <w:rPr>
                <w:rFonts w:ascii="Arial" w:cs="Arial" w:eastAsia="Arial" w:hAnsi="Arial"/>
                <w:sz w:val="18"/>
                <w:szCs w:val="18"/>
                <w:color w:val="auto"/>
                <w:w w:val="88"/>
              </w:rPr>
              <w:t>2,153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3"/>
              </w:rPr>
              <w:t>3,614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 per Class A share, both the net income/(loss)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2019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2019 Annual Report on Form 10-K for information regarding PAGP LTIP awards.</w:t>
      </w:r>
    </w:p>
    <w:p>
      <w:pPr>
        <w:spacing w:after="0" w:line="21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On a weighted-average basis, for the three months ended September 30, 2020 and 2019, the possible exchange of 60 million and 96 million AAP units, respectively, and for the nine months ended September 30, 2020 and 2019, the possible exchange of 63 million and 109 million AAP units, respectively, would not have had a dilutive effect on basic net income/(loss) per Class A share. For the three months ended September 30, 2020 and 2019, the possible exchange of 1 million and 2 million AAP Management Units, respectively, and for the nine months ended September 30, 2020, the possible exchange of 1 million AAP Management Units would not have had a dilutive effect on basic net income/(loss) per Class A share on a weighted-average basis. For the three and nine months ended September 30, 2020, our PAGP LTIP awards were antidilutive. For the three and nine months ended September 30, 2019, our PAGP LTIP awards were dilutive; however, there were less than 0.1 million dilutive LTIP awards for each period, which did not change the presentation of diluted weighted average Class A shares outstanding or diluted net income/(loss) per Class A share.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computation of basic and diluted net income/(loss) per Class A share (in millions,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net income/(loss) per Class A share</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Incremental net income attributable to PAGP resulting from assumed</w:t>
            </w:r>
          </w:p>
        </w:tc>
        <w:tc>
          <w:tcPr>
            <w:tcW w:w="8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of AAP Management Units</w:t>
            </w:r>
          </w:p>
        </w:tc>
        <w:tc>
          <w:tcPr>
            <w:tcW w:w="8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80"/>
              <w:spacing w:after="0" w:line="156" w:lineRule="exact"/>
              <w:rPr>
                <w:sz w:val="20"/>
                <w:szCs w:val="20"/>
                <w:color w:val="auto"/>
              </w:rPr>
            </w:pPr>
            <w:r>
              <w:rPr>
                <w:rFonts w:ascii="Arial" w:cs="Arial" w:eastAsia="Arial" w:hAnsi="Arial"/>
                <w:sz w:val="18"/>
                <w:szCs w:val="18"/>
                <w:color w:val="auto"/>
                <w:w w:val="92"/>
              </w:rPr>
              <w:t>Net income/(loss) attributable to PAGP including incremental net income from</w:t>
            </w:r>
          </w:p>
        </w:tc>
        <w:tc>
          <w:tcPr>
            <w:tcW w:w="840" w:type="dxa"/>
            <w:vAlign w:val="bottom"/>
            <w:tcBorders>
              <w:top w:val="single" w:sz="8" w:color="auto"/>
            </w:tcBorders>
            <w:vMerge w:val="restart"/>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3"/>
                <w:szCs w:val="13"/>
                <w:color w:val="auto"/>
              </w:rPr>
            </w:pPr>
          </w:p>
        </w:tc>
        <w:tc>
          <w:tcPr>
            <w:tcW w:w="820" w:type="dxa"/>
            <w:vAlign w:val="bottom"/>
            <w:tcBorders>
              <w:top w:val="single" w:sz="8" w:color="auto"/>
            </w:tcBorders>
            <w:vMerge w:val="restart"/>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8"/>
        </w:trPr>
        <w:tc>
          <w:tcPr>
            <w:tcW w:w="5840" w:type="dxa"/>
            <w:vAlign w:val="bottom"/>
          </w:tcPr>
          <w:p>
            <w:pPr>
              <w:ind w:left="80"/>
              <w:spacing w:after="0" w:line="202" w:lineRule="exact"/>
              <w:rPr>
                <w:sz w:val="20"/>
                <w:szCs w:val="20"/>
                <w:color w:val="auto"/>
              </w:rPr>
            </w:pPr>
            <w:r>
              <w:rPr>
                <w:rFonts w:ascii="Arial" w:cs="Arial" w:eastAsia="Arial" w:hAnsi="Arial"/>
                <w:sz w:val="18"/>
                <w:szCs w:val="18"/>
                <w:color w:val="auto"/>
              </w:rPr>
              <w:t>assumed exchange of AAP Management Units</w:t>
            </w:r>
          </w:p>
        </w:tc>
        <w:tc>
          <w:tcPr>
            <w:tcW w:w="8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Dilutive shares resulting from assumed exchange of AAP Management Units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840" w:type="dxa"/>
            <w:vAlign w:val="bottom"/>
          </w:tcPr>
          <w:p>
            <w:pPr>
              <w:ind w:left="80"/>
              <w:spacing w:after="0"/>
              <w:rPr>
                <w:sz w:val="20"/>
                <w:szCs w:val="20"/>
                <w:color w:val="auto"/>
              </w:rPr>
            </w:pPr>
            <w:r>
              <w:rPr>
                <w:rFonts w:ascii="Arial" w:cs="Arial" w:eastAsia="Arial" w:hAnsi="Arial"/>
                <w:sz w:val="18"/>
                <w:szCs w:val="18"/>
                <w:color w:val="auto"/>
              </w:rPr>
              <w:t>Diluted weighted average Class A shares outstanding</w:t>
            </w:r>
          </w:p>
        </w:tc>
        <w:tc>
          <w:tcPr>
            <w:tcW w:w="8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80"/>
              <w:spacing w:after="0"/>
              <w:rPr>
                <w:sz w:val="20"/>
                <w:szCs w:val="20"/>
                <w:color w:val="auto"/>
              </w:rPr>
            </w:pPr>
            <w:r>
              <w:rPr>
                <w:rFonts w:ascii="Arial" w:cs="Arial" w:eastAsia="Arial" w:hAnsi="Arial"/>
                <w:sz w:val="18"/>
                <w:szCs w:val="18"/>
                <w:color w:val="auto"/>
              </w:rPr>
              <w:t>Diluted net income/(loss) per Class A share</w:t>
            </w: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0.09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ectPr>
          <w:pgSz w:w="11900" w:h="16838" w:orient="portrait"/>
          <w:cols w:equalWidth="0" w:num="1">
            <w:col w:w="11240"/>
          </w:cols>
          <w:pgMar w:left="320" w:top="125" w:right="339" w:bottom="1440" w:gutter="0" w:footer="0" w:header="0"/>
        </w:sect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0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4"/>
              </w:rPr>
              <w:t>Price/</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center"/>
              <w:ind w:right="94"/>
              <w:spacing w:after="0" w:line="189"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15,332</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NGL</w:t>
            </w:r>
          </w:p>
        </w:tc>
        <w:tc>
          <w:tcPr>
            <w:tcW w:w="960" w:type="dxa"/>
            <w:vAlign w:val="bottom"/>
          </w:tcPr>
          <w:p>
            <w:pPr>
              <w:jc w:val="right"/>
              <w:spacing w:after="0"/>
              <w:rPr>
                <w:sz w:val="20"/>
                <w:szCs w:val="20"/>
                <w:color w:val="auto"/>
              </w:rPr>
            </w:pPr>
            <w:r>
              <w:rPr>
                <w:rFonts w:ascii="Arial" w:cs="Arial" w:eastAsia="Arial" w:hAnsi="Arial"/>
                <w:sz w:val="18"/>
                <w:szCs w:val="18"/>
                <w:color w:val="auto"/>
              </w:rPr>
              <w:t>16,144</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right="94"/>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900" w:type="dxa"/>
            <w:vAlign w:val="bottom"/>
          </w:tcPr>
          <w:p>
            <w:pPr>
              <w:ind w:left="100"/>
              <w:spacing w:after="0"/>
              <w:rPr>
                <w:sz w:val="20"/>
                <w:szCs w:val="20"/>
                <w:color w:val="auto"/>
              </w:rPr>
            </w:pPr>
            <w:r>
              <w:rPr>
                <w:rFonts w:ascii="Arial" w:cs="Arial" w:eastAsia="Arial" w:hAnsi="Arial"/>
                <w:sz w:val="18"/>
                <w:szCs w:val="18"/>
                <w:color w:val="auto"/>
              </w:rPr>
              <w:t>Inventory subtotal</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290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14,496</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NGL</w:t>
            </w:r>
          </w:p>
        </w:tc>
        <w:tc>
          <w:tcPr>
            <w:tcW w:w="96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Natural gas</w:t>
            </w:r>
          </w:p>
        </w:tc>
        <w:tc>
          <w:tcPr>
            <w:tcW w:w="960" w:type="dxa"/>
            <w:vAlign w:val="bottom"/>
          </w:tcPr>
          <w:p>
            <w:pPr>
              <w:jc w:val="right"/>
              <w:spacing w:after="0"/>
              <w:rPr>
                <w:sz w:val="20"/>
                <w:szCs w:val="20"/>
                <w:color w:val="auto"/>
              </w:rPr>
            </w:pPr>
            <w:r>
              <w:rPr>
                <w:rFonts w:ascii="Arial" w:cs="Arial" w:eastAsia="Arial" w:hAnsi="Arial"/>
                <w:sz w:val="18"/>
                <w:szCs w:val="18"/>
                <w:color w:val="auto"/>
              </w:rPr>
              <w:t>25,576</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900" w:type="dxa"/>
            <w:vAlign w:val="bottom"/>
          </w:tcPr>
          <w:p>
            <w:pPr>
              <w:ind w:left="100"/>
              <w:spacing w:after="0"/>
              <w:rPr>
                <w:sz w:val="20"/>
                <w:szCs w:val="20"/>
                <w:color w:val="auto"/>
              </w:rPr>
            </w:pPr>
            <w:r>
              <w:rPr>
                <w:rFonts w:ascii="Arial" w:cs="Arial" w:eastAsia="Arial" w:hAnsi="Arial"/>
                <w:sz w:val="18"/>
                <w:szCs w:val="18"/>
                <w:color w:val="auto"/>
              </w:rPr>
              <w:t>Linefill and base gas subtotal</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290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NGL</w:t>
            </w:r>
          </w:p>
        </w:tc>
        <w:tc>
          <w:tcPr>
            <w:tcW w:w="96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3"/>
        </w:trPr>
        <w:tc>
          <w:tcPr>
            <w:tcW w:w="2900" w:type="dxa"/>
            <w:vAlign w:val="bottom"/>
          </w:tcPr>
          <w:p>
            <w:pPr>
              <w:ind w:left="100"/>
              <w:spacing w:after="0"/>
              <w:rPr>
                <w:sz w:val="20"/>
                <w:szCs w:val="20"/>
                <w:color w:val="auto"/>
              </w:rPr>
            </w:pPr>
            <w:r>
              <w:rPr>
                <w:rFonts w:ascii="Arial" w:cs="Arial" w:eastAsia="Arial" w:hAnsi="Arial"/>
                <w:sz w:val="18"/>
                <w:szCs w:val="18"/>
                <w:color w:val="auto"/>
              </w:rPr>
              <w:t>Long-term inventory subtotal</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2717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171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98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tcBorders>
            <w:vMerge w:val="restart"/>
          </w:tcPr>
          <w:p>
            <w:pPr>
              <w:spacing w:after="0"/>
              <w:rPr>
                <w:sz w:val="12"/>
                <w:szCs w:val="12"/>
                <w:color w:val="auto"/>
              </w:rPr>
            </w:pPr>
          </w:p>
        </w:tc>
        <w:tc>
          <w:tcPr>
            <w:tcW w:w="1080" w:type="dxa"/>
            <w:vAlign w:val="bottom"/>
            <w:tcBorders>
              <w:top w:val="single" w:sz="8" w:color="auto"/>
            </w:tcBorders>
            <w:gridSpan w:val="2"/>
          </w:tcPr>
          <w:p>
            <w:pPr>
              <w:ind w:left="280"/>
              <w:spacing w:after="0" w:line="141" w:lineRule="exact"/>
              <w:rPr>
                <w:sz w:val="20"/>
                <w:szCs w:val="20"/>
                <w:color w:val="auto"/>
              </w:rPr>
            </w:pPr>
            <w:r>
              <w:rPr>
                <w:rFonts w:ascii="Arial" w:cs="Arial" w:eastAsia="Arial" w:hAnsi="Arial"/>
                <w:sz w:val="14"/>
                <w:szCs w:val="14"/>
                <w:b w:val="1"/>
                <w:bCs w:val="1"/>
                <w:color w:val="auto"/>
              </w:rPr>
              <w:t>Unit of</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94"/>
              <w:spacing w:after="0" w:line="141" w:lineRule="exact"/>
              <w:rPr>
                <w:sz w:val="20"/>
                <w:szCs w:val="20"/>
                <w:color w:val="auto"/>
              </w:rPr>
            </w:pPr>
            <w:r>
              <w:rPr>
                <w:rFonts w:ascii="Arial" w:cs="Arial" w:eastAsia="Arial" w:hAnsi="Arial"/>
                <w:sz w:val="14"/>
                <w:szCs w:val="14"/>
                <w:b w:val="1"/>
                <w:bCs w:val="1"/>
                <w:color w:val="auto"/>
                <w:w w:val="94"/>
              </w:rPr>
              <w:t>Price/</w:t>
            </w:r>
          </w:p>
        </w:tc>
        <w:tc>
          <w:tcPr>
            <w:tcW w:w="0" w:type="dxa"/>
            <w:vAlign w:val="bottom"/>
          </w:tcPr>
          <w:p>
            <w:pPr>
              <w:spacing w:after="0"/>
              <w:rPr>
                <w:sz w:val="1"/>
                <w:szCs w:val="1"/>
                <w:color w:val="auto"/>
              </w:rPr>
            </w:pPr>
          </w:p>
        </w:tc>
      </w:tr>
      <w:tr>
        <w:trPr>
          <w:trHeight w:val="189"/>
        </w:trPr>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4"/>
              <w:spacing w:after="0" w:line="189" w:lineRule="exact"/>
              <w:rPr>
                <w:sz w:val="20"/>
                <w:szCs w:val="20"/>
                <w:color w:val="auto"/>
              </w:rPr>
            </w:pPr>
            <w:r>
              <w:rPr>
                <w:rFonts w:ascii="Arial" w:cs="Arial" w:eastAsia="Arial" w:hAnsi="Arial"/>
                <w:sz w:val="14"/>
                <w:szCs w:val="14"/>
                <w:b w:val="1"/>
                <w:bCs w:val="1"/>
                <w:color w:val="auto"/>
                <w:w w:val="87"/>
              </w:rPr>
              <w:t xml:space="preserve">Unit </w:t>
            </w:r>
            <w:r>
              <w:rPr>
                <w:rFonts w:ascii="Arial" w:cs="Arial" w:eastAsia="Arial" w:hAnsi="Arial"/>
                <w:sz w:val="18"/>
                <w:szCs w:val="18"/>
                <w:b w:val="1"/>
                <w:bCs w:val="1"/>
                <w:color w:val="auto"/>
                <w:w w:val="87"/>
                <w:vertAlign w:val="superscript"/>
              </w:rPr>
              <w:t>(1)</w:t>
            </w:r>
          </w:p>
        </w:tc>
        <w:tc>
          <w:tcPr>
            <w:tcW w:w="0" w:type="dxa"/>
            <w:vAlign w:val="bottom"/>
          </w:tcPr>
          <w:p>
            <w:pPr>
              <w:spacing w:after="0"/>
              <w:rPr>
                <w:sz w:val="1"/>
                <w:szCs w:val="1"/>
                <w:color w:val="auto"/>
              </w:rPr>
            </w:pPr>
          </w:p>
        </w:tc>
      </w:tr>
      <w:tr>
        <w:trPr>
          <w:trHeight w:val="438"/>
        </w:trPr>
        <w:tc>
          <w:tcPr>
            <w:tcW w:w="980" w:type="dxa"/>
            <w:vAlign w:val="bottom"/>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0"/>
        </w:trPr>
        <w:tc>
          <w:tcPr>
            <w:tcW w:w="108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5"/>
        </w:trPr>
        <w:tc>
          <w:tcPr>
            <w:tcW w:w="980" w:type="dxa"/>
            <w:vAlign w:val="bottom"/>
          </w:tcPr>
          <w:p>
            <w:pPr>
              <w:jc w:val="right"/>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5"/>
        </w:trPr>
        <w:tc>
          <w:tcPr>
            <w:tcW w:w="98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980" w:space="200"/>
            <w:col w:w="4060"/>
          </w:cols>
          <w:pgMar w:left="320" w:top="125" w:right="339" w:bottom="1440" w:gutter="0" w:footer="0" w:header="0"/>
          <w:type w:val="continuous"/>
        </w:sectPr>
      </w:pPr>
    </w:p>
    <w:p>
      <w:pPr>
        <w:spacing w:after="0" w:line="339" w:lineRule="exact"/>
        <w:rPr>
          <w:sz w:val="20"/>
          <w:szCs w:val="20"/>
          <w:color w:val="auto"/>
        </w:rPr>
      </w:pPr>
    </w:p>
    <w:p>
      <w:pPr>
        <w:ind w:left="660" w:right="36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$233 million primarily during the first quarter of 2020 related to the write-down of our crude oil and NGL inventory, of which $40 million was associated with our long-term inventory, due to declines in prices. A portion of this inventory valuation adjustment was offset by the recognition of gains on derivative instruments being utilized to hedge future sales of our crude oil and NGL inventory. Such gains were recorded to “Supply and Logistics segment revenues” in our accompanying Consolidated Statement of Operations. See Note 10 for discussion of our derivative and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first quarter of 2020, we recorded impairment losses related to goodwill. Our market capitalization declined significantly during the first quarter driven by current macroeconomic and geopolitical conditions including the collapse of oil prices driven by both the decrease in demand caused by the COVID-19 pandemic and excess supply as well as changing market conditions and expected lower crude oil production in certain regions, resulting in expected decreases in future cash flows for certain of our assets. In addition, the uncertainty related to oil demand continued to have a significant impact on the investment and operating plans of our primary customers. Based on these events, we concluded that a triggering event occurred which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as of March 31, 2020.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Based upon the results of the impairment test, we concluded that the carrying value of each of our reporting units exceeded their respective fair values, resulting in a goodwill impairment charge for the entire goodwill balance for each reporting unit.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4"/>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vMerge w:val="restart"/>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gross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Ownership Interest</w:t>
            </w: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8"/>
              </w:rPr>
              <w:t>Investment Balance</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35"/>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18"/>
                <w:szCs w:val="18"/>
                <w:b w:val="1"/>
                <w:bCs w:val="1"/>
                <w:color w:val="auto"/>
                <w:vertAlign w:val="superscript"/>
              </w:rPr>
              <w:t>(1)</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at September 30,</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40" w:type="dxa"/>
            <w:vAlign w:val="bottom"/>
            <w:gridSpan w:val="2"/>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136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Cactus II Pipeline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2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75"/>
        </w:trPr>
        <w:tc>
          <w:tcPr>
            <w:tcW w:w="4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Eagle Ford Terminals Corpus Christi LLC (“Eagle</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Crude Oil Terminal and Dock</w:t>
            </w:r>
          </w:p>
        </w:tc>
        <w:tc>
          <w:tcPr>
            <w:tcW w:w="136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Ford Terminals”)</w:t>
            </w:r>
          </w:p>
        </w:tc>
        <w:tc>
          <w:tcPr>
            <w:tcW w:w="22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Oak Pipeline LLC (“Red Oak”)</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Saddlehorn Pipeline Company, LLC (“Saddlehorn”)</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Other investments</w:t>
            </w:r>
          </w:p>
        </w:tc>
        <w:tc>
          <w:tcPr>
            <w:tcW w:w="2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98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March 2020, the partners of Red Oak announced they were deferring the Red Oak pipeline project and suspending actions that would require additional capital spending on the project, and that they would re-evaluate demand for the project in light of recent market developments. Subsequently, the partners determined that the project would not proceed as previously contemplated. We determined that there was an other-than-temporary impairment of our investment in Red Oak, and we wrote our investment in Red Oak down to the estimated residual value of our share of the net assets during the second quarter of 2020. In addition, during the first quarter of 2020, we recorded a write-down of certain of our investments included in “Other investments” in the table above due to an other-than-temporary impairment related to a decline in market conditions.</w:t>
      </w:r>
    </w:p>
    <w:p>
      <w:pPr>
        <w:spacing w:after="0" w:line="2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During the third quarter of 2020, we determined that there was an other-than-temporary impairment of our investment in STACK Pipeline LLC as a result of a continued decline of drilling activity and related volumes of crude oil in its area of operation. We wrote off the portion of the carrying amount of our investment that exceeded its fair value. The estimated fair value (which we consider a Level 3 measurement in the fair value hierarchy) was based on a discounted cash flow approach utilizing various assumptions and the application of a discount rate of approximately 14%, which represents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07" w:lineRule="exact"/>
        <w:rPr>
          <w:sz w:val="20"/>
          <w:szCs w:val="20"/>
          <w:color w:val="auto"/>
        </w:rPr>
      </w:pPr>
    </w:p>
    <w:p>
      <w:pPr>
        <w:jc w:val="both"/>
        <w:ind w:right="820" w:firstLine="648"/>
        <w:spacing w:after="0" w:line="263" w:lineRule="auto"/>
        <w:rPr>
          <w:sz w:val="20"/>
          <w:szCs w:val="20"/>
          <w:color w:val="auto"/>
        </w:rPr>
      </w:pPr>
      <w:r>
        <w:rPr>
          <w:rFonts w:ascii="Arial" w:cs="Arial" w:eastAsia="Arial" w:hAnsi="Arial"/>
          <w:sz w:val="18"/>
          <w:szCs w:val="18"/>
          <w:color w:val="auto"/>
        </w:rPr>
        <w:t>As a result of these write-downs, during the three and nine months ended September 30, 2020, we recognized losses of $91 million and $202 million, respectively. These losses are reflected in “Gain on/(impairment of) investments in unconsolidated entities, net” on our Condensed Consolidated Statement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Saddlehorn. </w:t>
      </w:r>
      <w:r>
        <w:rPr>
          <w:rFonts w:ascii="Arial" w:cs="Arial" w:eastAsia="Arial" w:hAnsi="Arial"/>
          <w:sz w:val="18"/>
          <w:szCs w:val="18"/>
          <w:color w:val="auto"/>
        </w:rPr>
        <w:t>In February 2020, we sold a 10% ownership interest in Saddlehorn for proceeds of approximately $78 million and have retained a</w:t>
      </w:r>
      <w:r>
        <w:rPr>
          <w:rFonts w:ascii="Arial" w:cs="Arial" w:eastAsia="Arial" w:hAnsi="Arial"/>
          <w:sz w:val="18"/>
          <w:szCs w:val="18"/>
          <w:i w:val="1"/>
          <w:iCs w:val="1"/>
          <w:color w:val="auto"/>
        </w:rPr>
        <w:t xml:space="preserve"> </w:t>
      </w:r>
      <w:r>
        <w:rPr>
          <w:rFonts w:ascii="Arial" w:cs="Arial" w:eastAsia="Arial" w:hAnsi="Arial"/>
          <w:sz w:val="18"/>
          <w:szCs w:val="18"/>
          <w:color w:val="auto"/>
        </w:rPr>
        <w:t>30% ownership interest. We recorded a gain of approximately $21 million related to this sale, which is included in “Gain on/(impairment of) investments in unconsolidated entities, net” on our Condensed Consolidated Statement of Operations. We continue to account for our remaining interest under the equity method of accounting.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6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420" w:type="dxa"/>
            <w:vAlign w:val="bottom"/>
          </w:tcPr>
          <w:p>
            <w:pPr>
              <w:ind w:left="20"/>
              <w:spacing w:after="0"/>
              <w:rPr>
                <w:sz w:val="20"/>
                <w:szCs w:val="20"/>
                <w:color w:val="auto"/>
              </w:rPr>
            </w:pPr>
            <w:r>
              <w:rPr>
                <w:rFonts w:ascii="Arial" w:cs="Arial" w:eastAsia="Arial" w:hAnsi="Arial"/>
                <w:sz w:val="18"/>
                <w:szCs w:val="18"/>
                <w:color w:val="auto"/>
                <w:w w:val="99"/>
              </w:rPr>
              <w:t xml:space="preserve">PAA commercial paper notes, bearing a weighted-average interest rate of 0.6% and 2.2%, respectively </w:t>
            </w:r>
            <w:r>
              <w:rPr>
                <w:rFonts w:ascii="Arial" w:cs="Arial" w:eastAsia="Arial" w:hAnsi="Arial"/>
                <w:sz w:val="23"/>
                <w:szCs w:val="23"/>
                <w:color w:val="auto"/>
                <w:w w:val="99"/>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PAA senior secured hedged inventory facility, bearing a weighted-average interest rate of 2.7%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PAA senior notes: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 senior notes due February 2021</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jc w:val="center"/>
              <w:ind w:right="6370"/>
              <w:spacing w:after="0"/>
              <w:rPr>
                <w:sz w:val="20"/>
                <w:szCs w:val="20"/>
                <w:color w:val="auto"/>
              </w:rPr>
            </w:pPr>
            <w:r>
              <w:rPr>
                <w:rFonts w:ascii="Arial" w:cs="Arial" w:eastAsia="Arial" w:hAnsi="Arial"/>
                <w:sz w:val="18"/>
                <w:szCs w:val="18"/>
                <w:color w:val="auto"/>
                <w:w w:val="90"/>
              </w:rPr>
              <w:t>Total short-term debt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57"/>
        </w:trPr>
        <w:tc>
          <w:tcPr>
            <w:tcW w:w="8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PAA senior notes, net of unamortized discounts and debt issuance costs of $64 and $61, respectively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PAA commercial paper notes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420" w:type="dxa"/>
            <w:vAlign w:val="bottom"/>
          </w:tcPr>
          <w:p>
            <w:pPr>
              <w:ind w:left="20"/>
              <w:spacing w:after="0" w:line="176" w:lineRule="exact"/>
              <w:rPr>
                <w:sz w:val="20"/>
                <w:szCs w:val="20"/>
                <w:color w:val="auto"/>
              </w:rPr>
            </w:pPr>
            <w:r>
              <w:rPr>
                <w:rFonts w:ascii="Arial" w:cs="Arial" w:eastAsia="Arial" w:hAnsi="Arial"/>
                <w:sz w:val="18"/>
                <w:szCs w:val="18"/>
                <w:color w:val="auto"/>
                <w:w w:val="90"/>
              </w:rPr>
              <w:t>PAA GO Zone term loans, net of debt issuance costs of $1 and $1, respectively, bearing a weighted-average interest</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8420" w:type="dxa"/>
            <w:vAlign w:val="bottom"/>
          </w:tcPr>
          <w:p>
            <w:pPr>
              <w:ind w:left="180"/>
              <w:spacing w:after="0"/>
              <w:rPr>
                <w:sz w:val="20"/>
                <w:szCs w:val="20"/>
                <w:color w:val="auto"/>
              </w:rPr>
            </w:pPr>
            <w:r>
              <w:rPr>
                <w:rFonts w:ascii="Arial" w:cs="Arial" w:eastAsia="Arial" w:hAnsi="Arial"/>
                <w:sz w:val="18"/>
                <w:szCs w:val="18"/>
                <w:color w:val="auto"/>
              </w:rPr>
              <w:t>rate of 1.3% and 2.6%, respectively</w:t>
            </w: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jc w:val="center"/>
              <w:ind w:right="6410"/>
              <w:spacing w:after="0"/>
              <w:rPr>
                <w:sz w:val="20"/>
                <w:szCs w:val="20"/>
                <w:color w:val="auto"/>
              </w:rPr>
            </w:pPr>
            <w:r>
              <w:rPr>
                <w:rFonts w:ascii="Arial" w:cs="Arial" w:eastAsia="Arial" w:hAnsi="Arial"/>
                <w:sz w:val="18"/>
                <w:szCs w:val="18"/>
                <w:color w:val="auto"/>
                <w:w w:val="91"/>
              </w:rPr>
              <w:t>Total long-term debt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jc w:val="center"/>
              <w:ind w:right="6310"/>
              <w:spacing w:after="0" w:line="223" w:lineRule="exact"/>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40" w:hanging="11"/>
        <w:spacing w:after="0" w:line="259" w:lineRule="auto"/>
        <w:rPr>
          <w:sz w:val="20"/>
          <w:szCs w:val="20"/>
          <w:color w:val="auto"/>
        </w:rPr>
      </w:pPr>
      <w:r>
        <w:rPr>
          <w:rFonts w:ascii="Arial" w:cs="Arial" w:eastAsia="Arial" w:hAnsi="Arial"/>
          <w:sz w:val="18"/>
          <w:szCs w:val="18"/>
          <w:color w:val="auto"/>
        </w:rPr>
        <w:t>We classified these PAA commercial paper notes as short-term as of September 30, 2020 and December 31, 2019, respectively, and these credit facility borrowings as short-term as of December 31, 2019, as these notes and borrowings were primarily designated as working capital borrowings, were required to be repaid within one year and were primarily for hedged NGL and crude oil inventory and NYMEX and ICE margin deposits.</w:t>
      </w:r>
    </w:p>
    <w:p>
      <w:pPr>
        <w:spacing w:after="0" w:line="79" w:lineRule="exact"/>
        <w:rPr>
          <w:sz w:val="20"/>
          <w:szCs w:val="20"/>
          <w:color w:val="auto"/>
        </w:rPr>
      </w:pPr>
    </w:p>
    <w:p>
      <w:pPr>
        <w:ind w:right="620" w:hanging="11"/>
        <w:spacing w:after="0" w:line="263" w:lineRule="auto"/>
        <w:rPr>
          <w:sz w:val="20"/>
          <w:szCs w:val="20"/>
          <w:color w:val="auto"/>
        </w:rPr>
      </w:pPr>
      <w:r>
        <w:rPr>
          <w:rFonts w:ascii="Arial" w:cs="Arial" w:eastAsia="Arial" w:hAnsi="Arial"/>
          <w:sz w:val="18"/>
          <w:szCs w:val="18"/>
          <w:color w:val="auto"/>
        </w:rPr>
        <w:t>During the nine months ended September 30, 2020, PAA repurchased $17 million of its outstanding senior notes on the open market and recognized a gain of $3 million on these transactions, which is included in “Other income/(expense), net” on our Condensed Consolidated Statement of Operations.</w:t>
      </w:r>
    </w:p>
    <w:p>
      <w:pPr>
        <w:spacing w:after="0" w:line="76"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As of September 30, 2020, we classified a portion of the PAA commercial paper notes as long-term based on PAA’s ability and intent to refinance such amounts on a long-term basis.</w:t>
      </w:r>
    </w:p>
    <w:p>
      <w:pPr>
        <w:spacing w:after="0" w:line="62" w:lineRule="exact"/>
        <w:rPr>
          <w:sz w:val="20"/>
          <w:szCs w:val="20"/>
          <w:color w:val="auto"/>
        </w:rPr>
      </w:pPr>
    </w:p>
    <w:p>
      <w:pPr>
        <w:ind w:right="60" w:hanging="11"/>
        <w:spacing w:after="0" w:line="291" w:lineRule="auto"/>
        <w:rPr>
          <w:sz w:val="20"/>
          <w:szCs w:val="20"/>
          <w:color w:val="auto"/>
        </w:rPr>
      </w:pPr>
      <w:r>
        <w:rPr>
          <w:rFonts w:ascii="Arial" w:cs="Arial" w:eastAsia="Arial" w:hAnsi="Arial"/>
          <w:sz w:val="16"/>
          <w:szCs w:val="16"/>
          <w:color w:val="auto"/>
        </w:rPr>
        <w:t>PAA’s fixed-rate senior notes had a face value of approximately $9.7 billion and $9.0 billion as of September 30, 2020 and December 31, 2019, respectively. We estimated the aggregate fair value of these notes as of September 30, 2020 and December 31, 2019 to be approximately $9.7 billion and $9.3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PAA’s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Senior Notes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June 2020, PAA completed the offering of $750 million, 3.80% senior notes due September 2030 at a public offering price of 99.794%. Interest payments are due on March 15 and September 15 of each year, commencing on September 15,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3, 2020, PAA redeemed its $600 million, 5.00% senior notes due February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nine months ended September 30, 2020 and 2019 were approximately $20.2 billion and $10.5 billion, respectively. Total repayments under the PAA credit facilities and commercial paper program were approximately $20.5 billion and $10.5 billion for the nine months ended September 30, 2020 and 2019,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September 30, 2020 and December 31, 2019, we had outstanding letters of credit of $140 million and $157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4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182,138,592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65,785,702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549,538,139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vMerge w:val="restart"/>
          </w:tcPr>
          <w:p>
            <w:pPr>
              <w:ind w:left="14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Borders>
              <w:top w:val="single" w:sz="8" w:color="CCEEFF"/>
            </w:tcBorders>
            <w:vMerge w:val="continue"/>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559,768</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(1,206,599)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1,206,599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184,240,079</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63,037,384</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550,769,169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(40,679)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40,679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20,099</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184,260,178</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63,032,054</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550,837,140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(2,613,326)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2,613,326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September 30, 2020</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187,286,393</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57,418,728</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553,800,444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4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27"/>
        </w:trPr>
        <w:tc>
          <w:tcPr>
            <w:tcW w:w="670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at December 31, 2018</w:t>
            </w:r>
          </w:p>
        </w:tc>
        <w:tc>
          <w:tcPr>
            <w:tcW w:w="1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159,485,588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119,604,338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516,938,280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vMerge w:val="restart"/>
          </w:tcPr>
          <w:p>
            <w:pPr>
              <w:ind w:left="140"/>
              <w:spacing w:after="0" w:line="243"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Borders>
              <w:top w:val="single" w:sz="8" w:color="CCEEFF"/>
            </w:tcBorders>
            <w:vMerge w:val="continue"/>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(91,672)</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91,672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226,814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March 31, 2019</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159,485,588</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119,512,666</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517,256,766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7,331,745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(7,331,745)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(12,193,771)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12,193,771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603,456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June 30, 2019</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166,817,333</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99,987,150</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530,053,993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15,173,490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(15,173,490)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(16,254,598)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16,254,598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588,771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September 30, 2019</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182,006,009</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68,559,062</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546,897,362</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2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See Note 12 to our Consolidated Financial Statements included in Part IV of our 2019 Annual Report on Form 10-K for information regarding conversions of AAP Management Units, Exchange Rights and Redemption Rights.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i w:val="1"/>
          <w:iCs w:val="1"/>
          <w:color w:val="auto"/>
        </w:rPr>
        <w:t xml:space="preserve">Common Equity Repurchase Program. </w:t>
      </w:r>
      <w:r>
        <w:rPr>
          <w:rFonts w:ascii="Arial" w:cs="Arial" w:eastAsia="Arial" w:hAnsi="Arial"/>
          <w:sz w:val="17"/>
          <w:szCs w:val="17"/>
          <w:color w:val="auto"/>
        </w:rPr>
        <w:t>On November 2, 2020, we announced that the board of directors of our general partner has approved a</w:t>
      </w:r>
      <w:r>
        <w:rPr>
          <w:rFonts w:ascii="Arial" w:cs="Arial" w:eastAsia="Arial" w:hAnsi="Arial"/>
          <w:sz w:val="17"/>
          <w:szCs w:val="17"/>
          <w:i w:val="1"/>
          <w:iCs w:val="1"/>
          <w:color w:val="auto"/>
        </w:rPr>
        <w:t xml:space="preserve"> </w:t>
      </w:r>
      <w:r>
        <w:rPr>
          <w:rFonts w:ascii="Arial" w:cs="Arial" w:eastAsia="Arial" w:hAnsi="Arial"/>
          <w:sz w:val="17"/>
          <w:szCs w:val="17"/>
          <w:color w:val="auto"/>
        </w:rPr>
        <w:t>$500 million common equity repurchase program (the “Program”) to be utilized as an additional method of returning capital to investors. The Program authorizes the repurchase from time to time of up to $500 million of PAA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PAA or us to acquire a particular number of PAA common units or PAGP Class A shares. Any PAA common units or PAGP Class A shares that are repurchased will be canceled.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nine months of 2020 (in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60" w:type="dxa"/>
            <w:vAlign w:val="bottom"/>
          </w:tcPr>
          <w:p>
            <w:pPr>
              <w:jc w:val="right"/>
              <w:ind w:right="256"/>
              <w:spacing w:after="0"/>
              <w:rPr>
                <w:sz w:val="20"/>
                <w:szCs w:val="20"/>
                <w:color w:val="auto"/>
              </w:rPr>
            </w:pPr>
            <w:r>
              <w:rPr>
                <w:rFonts w:ascii="Arial" w:cs="Arial" w:eastAsia="Arial" w:hAnsi="Arial"/>
                <w:sz w:val="14"/>
                <w:szCs w:val="14"/>
                <w:b w:val="1"/>
                <w:bCs w:val="1"/>
                <w:color w:val="auto"/>
              </w:rPr>
              <w:t>Distributions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jc w:val="right"/>
              <w:ind w:right="636"/>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88"/>
        </w:trPr>
        <w:tc>
          <w:tcPr>
            <w:tcW w:w="5960" w:type="dxa"/>
            <w:vAlign w:val="bottom"/>
            <w:gridSpan w:val="2"/>
            <w:vMerge w:val="continue"/>
          </w:tcPr>
          <w:p>
            <w:pPr>
              <w:spacing w:after="0"/>
              <w:rPr>
                <w:sz w:val="16"/>
                <w:szCs w:val="16"/>
                <w:color w:val="auto"/>
              </w:rPr>
            </w:pPr>
          </w:p>
        </w:tc>
        <w:tc>
          <w:tcPr>
            <w:tcW w:w="2060" w:type="dxa"/>
            <w:vAlign w:val="bottom"/>
          </w:tcPr>
          <w:p>
            <w:pPr>
              <w:jc w:val="right"/>
              <w:ind w:right="76"/>
              <w:spacing w:after="0"/>
              <w:rPr>
                <w:sz w:val="20"/>
                <w:szCs w:val="20"/>
                <w:color w:val="auto"/>
              </w:rPr>
            </w:pPr>
            <w:r>
              <w:rPr>
                <w:rFonts w:ascii="Arial" w:cs="Arial" w:eastAsia="Arial" w:hAnsi="Arial"/>
                <w:sz w:val="14"/>
                <w:szCs w:val="14"/>
                <w:b w:val="1"/>
                <w:bCs w:val="1"/>
                <w:color w:val="auto"/>
              </w:rPr>
              <w:t>Class A Shareholders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736"/>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13, 2020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August 14, 2020</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15, 2020</w:t>
            </w:r>
          </w:p>
        </w:tc>
        <w:tc>
          <w:tcPr>
            <w:tcW w:w="2060" w:type="dxa"/>
            <w:vAlign w:val="bottom"/>
            <w:shd w:val="clear" w:color="auto" w:fill="CCEEFF"/>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Payable to shareholders of record at the close of business on October 30, 2020 for the period from July 1, 2020 through September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September 30, 2020, noncontrolling interests in our subsidiaries consisted of (i) limited partner interests in PAA including a 69% interest in PAA’s common units and PAA’s Series A preferred units combined and 100% of PAA’s Series B preferred units, (ii) an approximate 23% limited partner interest in AAP and (iii) a 33% interest in Red River Pipeline Company LLC (“Red River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nine months ended September 30, 2020, we received $11 million of contributions from noncontrolling interests in Red River LLC related to the Red River pipeline capacity expansion and paid distributions of $6 million.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first nine months of 2020 (in millions, except per unit data):</w:t>
      </w:r>
    </w:p>
    <w:p>
      <w:pPr>
        <w:spacing w:after="0" w:line="229"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40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Cash Distribution</w:t>
            </w:r>
          </w:p>
        </w:tc>
      </w:tr>
      <w:tr>
        <w:trPr>
          <w:trHeight w:val="228"/>
        </w:trPr>
        <w:tc>
          <w:tcPr>
            <w:tcW w:w="7720" w:type="dxa"/>
            <w:vAlign w:val="bottom"/>
            <w:tcBorders>
              <w:top w:val="single" w:sz="8" w:color="auto"/>
            </w:tcBorders>
          </w:tcPr>
          <w:p>
            <w:pPr>
              <w:ind w:left="20"/>
              <w:spacing w:after="0" w:line="229" w:lineRule="exact"/>
              <w:rPr>
                <w:sz w:val="20"/>
                <w:szCs w:val="20"/>
                <w:color w:val="auto"/>
              </w:rPr>
            </w:pPr>
            <w:r>
              <w:rPr>
                <w:rFonts w:ascii="Arial" w:cs="Arial" w:eastAsia="Arial" w:hAnsi="Arial"/>
                <w:sz w:val="18"/>
                <w:szCs w:val="18"/>
                <w:color w:val="auto"/>
              </w:rPr>
              <w:t xml:space="preserve">November 13, 2020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August 14,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06285" cy="591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591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22"/>
        <w:spacing w:after="0"/>
        <w:rPr>
          <w:sz w:val="20"/>
          <w:szCs w:val="20"/>
          <w:color w:val="auto"/>
        </w:rPr>
      </w:pPr>
      <w:r>
        <w:rPr>
          <w:rFonts w:ascii="Arial" w:cs="Arial" w:eastAsia="Arial" w:hAnsi="Arial"/>
          <w:sz w:val="14"/>
          <w:szCs w:val="14"/>
          <w:b w:val="1"/>
          <w:bCs w:val="1"/>
          <w:color w:val="auto"/>
        </w:rPr>
        <w:t>Distribution per Unit</w:t>
      </w:r>
    </w:p>
    <w:p>
      <w:pPr>
        <w:spacing w:after="0" w:line="50" w:lineRule="exact"/>
        <w:rPr>
          <w:sz w:val="20"/>
          <w:szCs w:val="20"/>
          <w:color w:val="auto"/>
        </w:rPr>
      </w:pPr>
    </w:p>
    <w:p>
      <w:pPr>
        <w:ind w:left="1082" w:hanging="1082"/>
        <w:spacing w:after="0"/>
        <w:tabs>
          <w:tab w:leader="none" w:pos="1082" w:val="left"/>
        </w:tabs>
        <w:numPr>
          <w:ilvl w:val="0"/>
          <w:numId w:val="12"/>
        </w:numPr>
        <w:rPr>
          <w:rFonts w:ascii="Arial" w:cs="Arial" w:eastAsia="Arial" w:hAnsi="Arial"/>
          <w:sz w:val="15"/>
          <w:szCs w:val="15"/>
          <w:color w:val="auto"/>
        </w:rPr>
      </w:pPr>
      <w:r>
        <w:rPr>
          <w:rFonts w:ascii="Arial" w:cs="Arial" w:eastAsia="Arial" w:hAnsi="Arial"/>
          <w:sz w:val="15"/>
          <w:szCs w:val="15"/>
          <w:color w:val="auto"/>
        </w:rPr>
        <w:t>0.525</w:t>
      </w:r>
    </w:p>
    <w:p>
      <w:pPr>
        <w:spacing w:after="0" w:line="58" w:lineRule="exact"/>
        <w:rPr>
          <w:sz w:val="20"/>
          <w:szCs w:val="20"/>
          <w:color w:val="auto"/>
        </w:rPr>
      </w:pPr>
    </w:p>
    <w:p>
      <w:pPr>
        <w:ind w:left="1082" w:hanging="1082"/>
        <w:spacing w:after="0"/>
        <w:tabs>
          <w:tab w:leader="none" w:pos="1082" w:val="left"/>
        </w:tabs>
        <w:numPr>
          <w:ilvl w:val="0"/>
          <w:numId w:val="13"/>
        </w:numPr>
        <w:rPr>
          <w:rFonts w:ascii="Arial" w:cs="Arial" w:eastAsia="Arial" w:hAnsi="Arial"/>
          <w:sz w:val="15"/>
          <w:szCs w:val="15"/>
          <w:color w:val="auto"/>
        </w:rPr>
      </w:pPr>
      <w:r>
        <w:rPr>
          <w:rFonts w:ascii="Arial" w:cs="Arial" w:eastAsia="Arial" w:hAnsi="Arial"/>
          <w:sz w:val="15"/>
          <w:szCs w:val="15"/>
          <w:color w:val="auto"/>
        </w:rPr>
        <w:t>0.525</w:t>
      </w:r>
    </w:p>
    <w:p>
      <w:pPr>
        <w:spacing w:after="0" w:line="57" w:lineRule="exact"/>
        <w:rPr>
          <w:sz w:val="20"/>
          <w:szCs w:val="20"/>
          <w:color w:val="auto"/>
        </w:rPr>
      </w:pPr>
    </w:p>
    <w:p>
      <w:pPr>
        <w:ind w:left="1082" w:hanging="1082"/>
        <w:spacing w:after="0"/>
        <w:tabs>
          <w:tab w:leader="none" w:pos="1082" w:val="left"/>
        </w:tabs>
        <w:numPr>
          <w:ilvl w:val="0"/>
          <w:numId w:val="14"/>
        </w:numPr>
        <w:rPr>
          <w:rFonts w:ascii="Arial" w:cs="Arial" w:eastAsia="Arial" w:hAnsi="Arial"/>
          <w:sz w:val="15"/>
          <w:szCs w:val="15"/>
          <w:color w:val="auto"/>
        </w:rPr>
      </w:pPr>
      <w:r>
        <w:rPr>
          <w:rFonts w:ascii="Arial" w:cs="Arial" w:eastAsia="Arial" w:hAnsi="Arial"/>
          <w:sz w:val="15"/>
          <w:szCs w:val="15"/>
          <w:color w:val="auto"/>
        </w:rPr>
        <w:t>0.525</w:t>
      </w:r>
    </w:p>
    <w:p>
      <w:pPr>
        <w:spacing w:after="0" w:line="57" w:lineRule="exact"/>
        <w:rPr>
          <w:rFonts w:ascii="Arial" w:cs="Arial" w:eastAsia="Arial" w:hAnsi="Arial"/>
          <w:sz w:val="15"/>
          <w:szCs w:val="15"/>
          <w:color w:val="auto"/>
        </w:rPr>
      </w:pPr>
    </w:p>
    <w:p>
      <w:pPr>
        <w:ind w:left="1082" w:hanging="1082"/>
        <w:spacing w:after="0"/>
        <w:tabs>
          <w:tab w:leader="none" w:pos="1082" w:val="left"/>
        </w:tabs>
        <w:numPr>
          <w:ilvl w:val="0"/>
          <w:numId w:val="14"/>
        </w:numPr>
        <w:rPr>
          <w:rFonts w:ascii="Arial" w:cs="Arial" w:eastAsia="Arial" w:hAnsi="Arial"/>
          <w:sz w:val="15"/>
          <w:szCs w:val="15"/>
          <w:color w:val="auto"/>
        </w:rPr>
      </w:pPr>
      <w:r>
        <w:rPr>
          <w:rFonts w:ascii="Arial" w:cs="Arial" w:eastAsia="Arial" w:hAnsi="Arial"/>
          <w:sz w:val="15"/>
          <w:szCs w:val="15"/>
          <w:color w:val="auto"/>
        </w:rPr>
        <w:t>0.525</w:t>
      </w:r>
    </w:p>
    <w:p>
      <w:pPr>
        <w:spacing w:after="0" w:line="257" w:lineRule="exact"/>
        <w:rPr>
          <w:sz w:val="20"/>
          <w:szCs w:val="20"/>
          <w:color w:val="auto"/>
        </w:rPr>
      </w:pPr>
    </w:p>
    <w:p>
      <w:pPr>
        <w:sectPr>
          <w:pgSz w:w="11900" w:h="16838" w:orient="portrait"/>
          <w:cols w:equalWidth="0" w:num="2">
            <w:col w:w="9400" w:space="238"/>
            <w:col w:w="1562"/>
          </w:cols>
          <w:pgMar w:left="320" w:top="125" w:right="379" w:bottom="1440" w:gutter="0" w:footer="0" w:header="0"/>
          <w:type w:val="continuous"/>
        </w:sectPr>
      </w:pPr>
    </w:p>
    <w:p>
      <w:pPr>
        <w:spacing w:after="0" w:line="339" w:lineRule="exact"/>
        <w:rPr>
          <w:sz w:val="20"/>
          <w:szCs w:val="20"/>
          <w:color w:val="auto"/>
        </w:rPr>
      </w:pPr>
    </w:p>
    <w:p>
      <w:pPr>
        <w:ind w:left="660" w:right="300" w:hanging="652"/>
        <w:spacing w:after="0" w:line="234"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October 30, 2020 for the period from July 1, 2020 through September 30, 2020. At September 30, 2020, such amount was accrued as distributions payable in “Other current liabilities” on our Condensed Consolidated Balance Sheet.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May and November. The following table details distributions paid or to be paid to PAA’s Series B preferred unitholders (in millions, except per unit data):</w:t>
      </w:r>
    </w:p>
    <w:p>
      <w:pPr>
        <w:spacing w:after="0" w:line="29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400" w:type="dxa"/>
            <w:vAlign w:val="bottom"/>
          </w:tcPr>
          <w:p>
            <w:pPr>
              <w:jc w:val="right"/>
              <w:ind w:right="156"/>
              <w:spacing w:after="0"/>
              <w:rPr>
                <w:sz w:val="20"/>
                <w:szCs w:val="20"/>
                <w:color w:val="auto"/>
              </w:rPr>
            </w:pPr>
            <w:r>
              <w:rPr>
                <w:rFonts w:ascii="Arial" w:cs="Arial" w:eastAsia="Arial" w:hAnsi="Arial"/>
                <w:sz w:val="14"/>
                <w:szCs w:val="14"/>
                <w:b w:val="1"/>
                <w:bCs w:val="1"/>
                <w:color w:val="auto"/>
                <w:w w:val="97"/>
              </w:rPr>
              <w:t>Cash Distribution</w:t>
            </w:r>
          </w:p>
        </w:tc>
      </w:tr>
      <w:tr>
        <w:trPr>
          <w:trHeight w:val="228"/>
        </w:trPr>
        <w:tc>
          <w:tcPr>
            <w:tcW w:w="7720" w:type="dxa"/>
            <w:vAlign w:val="bottom"/>
            <w:tcBorders>
              <w:top w:val="single" w:sz="8" w:color="auto"/>
            </w:tcBorders>
          </w:tcPr>
          <w:p>
            <w:pPr>
              <w:ind w:left="20"/>
              <w:spacing w:after="0" w:line="229" w:lineRule="exact"/>
              <w:rPr>
                <w:sz w:val="20"/>
                <w:szCs w:val="20"/>
                <w:color w:val="auto"/>
              </w:rPr>
            </w:pPr>
            <w:r>
              <w:rPr>
                <w:rFonts w:ascii="Arial" w:cs="Arial" w:eastAsia="Arial" w:hAnsi="Arial"/>
                <w:sz w:val="18"/>
                <w:szCs w:val="18"/>
                <w:color w:val="auto"/>
              </w:rPr>
              <w:t xml:space="preserve">November 16, 2020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06285" cy="299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22"/>
        <w:spacing w:after="0"/>
        <w:rPr>
          <w:sz w:val="20"/>
          <w:szCs w:val="20"/>
          <w:color w:val="auto"/>
        </w:rPr>
      </w:pPr>
      <w:r>
        <w:rPr>
          <w:rFonts w:ascii="Arial" w:cs="Arial" w:eastAsia="Arial" w:hAnsi="Arial"/>
          <w:sz w:val="14"/>
          <w:szCs w:val="14"/>
          <w:b w:val="1"/>
          <w:bCs w:val="1"/>
          <w:color w:val="auto"/>
        </w:rPr>
        <w:t>Distribution per Unit</w:t>
      </w:r>
    </w:p>
    <w:p>
      <w:pPr>
        <w:spacing w:after="0" w:line="50" w:lineRule="exact"/>
        <w:rPr>
          <w:sz w:val="20"/>
          <w:szCs w:val="20"/>
          <w:color w:val="auto"/>
        </w:rPr>
      </w:pPr>
    </w:p>
    <w:p>
      <w:pPr>
        <w:ind w:left="1002" w:hanging="1002"/>
        <w:spacing w:after="0"/>
        <w:tabs>
          <w:tab w:leader="none" w:pos="1002" w:val="left"/>
        </w:tabs>
        <w:numPr>
          <w:ilvl w:val="0"/>
          <w:numId w:val="16"/>
        </w:numPr>
        <w:rPr>
          <w:rFonts w:ascii="Arial" w:cs="Arial" w:eastAsia="Arial" w:hAnsi="Arial"/>
          <w:sz w:val="15"/>
          <w:szCs w:val="15"/>
          <w:color w:val="auto"/>
        </w:rPr>
      </w:pPr>
      <w:r>
        <w:rPr>
          <w:rFonts w:ascii="Arial" w:cs="Arial" w:eastAsia="Arial" w:hAnsi="Arial"/>
          <w:sz w:val="15"/>
          <w:szCs w:val="15"/>
          <w:color w:val="auto"/>
        </w:rPr>
        <w:t>30.625</w:t>
      </w:r>
    </w:p>
    <w:p>
      <w:pPr>
        <w:spacing w:after="0" w:line="57" w:lineRule="exact"/>
        <w:rPr>
          <w:rFonts w:ascii="Arial" w:cs="Arial" w:eastAsia="Arial" w:hAnsi="Arial"/>
          <w:sz w:val="15"/>
          <w:szCs w:val="15"/>
          <w:color w:val="auto"/>
        </w:rPr>
      </w:pPr>
    </w:p>
    <w:p>
      <w:pPr>
        <w:ind w:left="1002" w:hanging="1002"/>
        <w:spacing w:after="0"/>
        <w:tabs>
          <w:tab w:leader="none" w:pos="1002" w:val="left"/>
        </w:tabs>
        <w:numPr>
          <w:ilvl w:val="0"/>
          <w:numId w:val="16"/>
        </w:numPr>
        <w:rPr>
          <w:rFonts w:ascii="Arial" w:cs="Arial" w:eastAsia="Arial" w:hAnsi="Arial"/>
          <w:sz w:val="15"/>
          <w:szCs w:val="15"/>
          <w:color w:val="auto"/>
        </w:rPr>
      </w:pPr>
      <w:r>
        <w:rPr>
          <w:rFonts w:ascii="Arial" w:cs="Arial" w:eastAsia="Arial" w:hAnsi="Arial"/>
          <w:sz w:val="15"/>
          <w:szCs w:val="15"/>
          <w:color w:val="auto"/>
        </w:rPr>
        <w:t>30.625</w:t>
      </w:r>
    </w:p>
    <w:p>
      <w:pPr>
        <w:spacing w:after="0" w:line="257" w:lineRule="exact"/>
        <w:rPr>
          <w:sz w:val="20"/>
          <w:szCs w:val="20"/>
          <w:color w:val="auto"/>
        </w:rPr>
      </w:pPr>
    </w:p>
    <w:p>
      <w:pPr>
        <w:sectPr>
          <w:pgSz w:w="11900" w:h="16838" w:orient="portrait"/>
          <w:cols w:equalWidth="0" w:num="2">
            <w:col w:w="9400" w:space="238"/>
            <w:col w:w="1562"/>
          </w:cols>
          <w:pgMar w:left="320" w:top="125" w:right="379" w:bottom="1440" w:gutter="0" w:footer="0" w:header="0"/>
          <w:type w:val="continuous"/>
        </w:sectPr>
      </w:pPr>
    </w:p>
    <w:p>
      <w:pPr>
        <w:spacing w:after="0" w:line="328"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November 2, 2020 for the period from May 15, 2020 through November 14, 2020.</w:t>
      </w:r>
    </w:p>
    <w:p>
      <w:pPr>
        <w:spacing w:after="0" w:line="28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At September 30, 2020, approximately $18 million of accrued distributions payable to PAA’s Series B preferred unitholders was included in “Other current liabilities” on our Condensed Consolidated Balance Sheet.</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2020 (in millions, except per unit data):</w:t>
      </w:r>
    </w:p>
    <w:p>
      <w:pPr>
        <w:sectPr>
          <w:pgSz w:w="11900" w:h="16838" w:orient="portrait"/>
          <w:cols w:equalWidth="0" w:num="1">
            <w:col w:w="11200"/>
          </w:cols>
          <w:pgMar w:left="320" w:top="125" w:right="379" w:bottom="1440" w:gutter="0" w:footer="0" w:header="0"/>
          <w:type w:val="continuous"/>
        </w:sect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95"/>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00" w:type="dxa"/>
            <w:vAlign w:val="bottom"/>
          </w:tcPr>
          <w:p>
            <w:pPr>
              <w:jc w:val="right"/>
              <w:ind w:right="36"/>
              <w:spacing w:after="0"/>
              <w:rPr>
                <w:sz w:val="20"/>
                <w:szCs w:val="20"/>
                <w:color w:val="auto"/>
              </w:rPr>
            </w:pPr>
            <w:r>
              <w:rPr>
                <w:rFonts w:ascii="Arial" w:cs="Arial" w:eastAsia="Arial" w:hAnsi="Arial"/>
                <w:sz w:val="14"/>
                <w:szCs w:val="14"/>
                <w:b w:val="1"/>
                <w:bCs w:val="1"/>
                <w:color w:val="auto"/>
              </w:rPr>
              <w:t>Public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r>
      <w:tr>
        <w:trPr>
          <w:trHeight w:val="228"/>
        </w:trPr>
        <w:tc>
          <w:tcPr>
            <w:tcW w:w="4400" w:type="dxa"/>
            <w:vAlign w:val="bottom"/>
            <w:tcBorders>
              <w:top w:val="single" w:sz="8" w:color="auto"/>
            </w:tcBorders>
          </w:tcPr>
          <w:p>
            <w:pPr>
              <w:ind w:left="20"/>
              <w:spacing w:after="0" w:line="229" w:lineRule="exact"/>
              <w:rPr>
                <w:sz w:val="20"/>
                <w:szCs w:val="20"/>
                <w:color w:val="auto"/>
              </w:rPr>
            </w:pPr>
            <w:r>
              <w:rPr>
                <w:rFonts w:ascii="Arial" w:cs="Arial" w:eastAsia="Arial" w:hAnsi="Arial"/>
                <w:sz w:val="18"/>
                <w:szCs w:val="18"/>
                <w:color w:val="auto"/>
              </w:rPr>
              <w:t xml:space="preserve">November 13, 2020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August 14, 2020</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098030" cy="5911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591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center"/>
        <w:ind w:right="24"/>
        <w:spacing w:after="0"/>
        <w:rPr>
          <w:sz w:val="20"/>
          <w:szCs w:val="20"/>
          <w:color w:val="auto"/>
        </w:rPr>
      </w:pPr>
      <w:r>
        <w:rPr>
          <w:rFonts w:ascii="Arial" w:cs="Arial" w:eastAsia="Arial" w:hAnsi="Arial"/>
          <w:sz w:val="14"/>
          <w:szCs w:val="14"/>
          <w:b w:val="1"/>
          <w:bCs w:val="1"/>
          <w:color w:val="auto"/>
        </w:rPr>
        <w:t>Cash Distribution per</w:t>
      </w:r>
    </w:p>
    <w:p>
      <w:pPr>
        <w:jc w:val="center"/>
        <w:ind w:right="24"/>
        <w:spacing w:after="0"/>
        <w:rPr>
          <w:sz w:val="20"/>
          <w:szCs w:val="20"/>
          <w:color w:val="auto"/>
        </w:rPr>
      </w:pPr>
      <w:r>
        <w:rPr>
          <w:rFonts w:ascii="Arial" w:cs="Arial" w:eastAsia="Arial" w:hAnsi="Arial"/>
          <w:sz w:val="14"/>
          <w:szCs w:val="14"/>
          <w:b w:val="1"/>
          <w:bCs w:val="1"/>
          <w:color w:val="auto"/>
        </w:rPr>
        <w:t>Common Unit</w:t>
      </w:r>
    </w:p>
    <w:p>
      <w:pPr>
        <w:spacing w:after="0" w:line="34" w:lineRule="exact"/>
        <w:rPr>
          <w:sz w:val="20"/>
          <w:szCs w:val="20"/>
          <w:color w:val="auto"/>
        </w:rPr>
      </w:pPr>
    </w:p>
    <w:p>
      <w:pPr>
        <w:ind w:left="1176" w:hanging="1176"/>
        <w:spacing w:after="0"/>
        <w:tabs>
          <w:tab w:leader="none" w:pos="1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0.18</w:t>
      </w:r>
    </w:p>
    <w:p>
      <w:pPr>
        <w:spacing w:after="0" w:line="46" w:lineRule="exact"/>
        <w:rPr>
          <w:sz w:val="20"/>
          <w:szCs w:val="20"/>
          <w:color w:val="auto"/>
        </w:rPr>
      </w:pPr>
    </w:p>
    <w:p>
      <w:pPr>
        <w:ind w:left="1176" w:hanging="1176"/>
        <w:spacing w:after="0"/>
        <w:tabs>
          <w:tab w:leader="none" w:pos="1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0.18</w:t>
      </w:r>
    </w:p>
    <w:p>
      <w:pPr>
        <w:spacing w:after="0" w:line="46" w:lineRule="exact"/>
        <w:rPr>
          <w:sz w:val="20"/>
          <w:szCs w:val="20"/>
          <w:color w:val="auto"/>
        </w:rPr>
      </w:pPr>
    </w:p>
    <w:p>
      <w:pPr>
        <w:ind w:left="1176" w:hanging="1176"/>
        <w:spacing w:after="0"/>
        <w:tabs>
          <w:tab w:leader="none" w:pos="1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0.18</w:t>
      </w:r>
    </w:p>
    <w:p>
      <w:pPr>
        <w:spacing w:after="0" w:line="45" w:lineRule="exact"/>
        <w:rPr>
          <w:rFonts w:ascii="Arial" w:cs="Arial" w:eastAsia="Arial" w:hAnsi="Arial"/>
          <w:sz w:val="16"/>
          <w:szCs w:val="16"/>
          <w:color w:val="auto"/>
        </w:rPr>
      </w:pPr>
    </w:p>
    <w:p>
      <w:pPr>
        <w:ind w:left="1176" w:hanging="1176"/>
        <w:spacing w:after="0"/>
        <w:tabs>
          <w:tab w:leader="none" w:pos="1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0.36</w:t>
      </w:r>
    </w:p>
    <w:p>
      <w:pPr>
        <w:spacing w:after="0" w:line="245" w:lineRule="exact"/>
        <w:rPr>
          <w:sz w:val="20"/>
          <w:szCs w:val="20"/>
          <w:color w:val="auto"/>
        </w:rPr>
      </w:pPr>
    </w:p>
    <w:p>
      <w:pPr>
        <w:sectPr>
          <w:pgSz w:w="11900" w:h="16838" w:orient="portrait"/>
          <w:cols w:equalWidth="0" w:num="2">
            <w:col w:w="9400" w:space="224"/>
            <w:col w:w="1576"/>
          </w:cols>
          <w:pgMar w:left="320" w:top="125" w:right="379" w:bottom="1440" w:gutter="0" w:footer="0" w:header="0"/>
          <w:type w:val="continuous"/>
        </w:sectPr>
      </w:pPr>
    </w:p>
    <w:p>
      <w:pPr>
        <w:spacing w:after="0" w:line="328"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October 30, 2020 for the period from July 1, 2020 through September 30, 2020.</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22"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nine months of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Distribution to AAP</w:t>
            </w:r>
            <w:r>
              <w:rPr>
                <w:rFonts w:ascii="Arial" w:cs="Arial" w:eastAsia="Arial" w:hAnsi="Arial"/>
                <w:sz w:val="17"/>
                <w:szCs w:val="17"/>
                <w:color w:val="auto"/>
                <w:w w:val="95"/>
              </w:rPr>
              <w:t>’</w:t>
            </w:r>
            <w:r>
              <w:rPr>
                <w:rFonts w:ascii="Arial" w:cs="Arial" w:eastAsia="Arial" w:hAnsi="Arial"/>
                <w:sz w:val="14"/>
                <w:szCs w:val="14"/>
                <w:b w:val="1"/>
                <w:bCs w:val="1"/>
                <w:color w:val="auto"/>
                <w:w w:val="95"/>
              </w:rPr>
              <w:t>s Partners</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181"/>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40" w:type="dxa"/>
            <w:vAlign w:val="bottom"/>
          </w:tcPr>
          <w:p>
            <w:pPr>
              <w:spacing w:after="0"/>
              <w:rPr>
                <w:sz w:val="15"/>
                <w:szCs w:val="15"/>
                <w:color w:val="auto"/>
              </w:rPr>
            </w:pPr>
          </w:p>
        </w:tc>
        <w:tc>
          <w:tcPr>
            <w:tcW w:w="17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PAGP</w:t>
            </w:r>
          </w:p>
        </w:tc>
        <w:tc>
          <w:tcPr>
            <w:tcW w:w="160" w:type="dxa"/>
            <w:vAlign w:val="bottom"/>
          </w:tcPr>
          <w:p>
            <w:pPr>
              <w:spacing w:after="0"/>
              <w:rPr>
                <w:sz w:val="15"/>
                <w:szCs w:val="15"/>
                <w:color w:val="auto"/>
              </w:rPr>
            </w:pPr>
          </w:p>
        </w:tc>
        <w:tc>
          <w:tcPr>
            <w:tcW w:w="17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Total Cash Distributions</w:t>
            </w:r>
          </w:p>
        </w:tc>
      </w:tr>
      <w:tr>
        <w:trPr>
          <w:trHeight w:val="224"/>
        </w:trPr>
        <w:tc>
          <w:tcPr>
            <w:tcW w:w="52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13, 2020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August 14,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15,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30, 2020 for the period from July 1, 2020 through September 30,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1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260" w:firstLine="607"/>
        <w:spacing w:after="0" w:line="259" w:lineRule="auto"/>
        <w:rPr>
          <w:sz w:val="20"/>
          <w:szCs w:val="20"/>
          <w:color w:val="auto"/>
        </w:rPr>
      </w:pPr>
      <w:r>
        <w:rPr>
          <w:rFonts w:ascii="Arial" w:cs="Arial" w:eastAsia="Arial" w:hAnsi="Arial"/>
          <w:sz w:val="18"/>
          <w:szCs w:val="18"/>
          <w:color w:val="auto"/>
        </w:rPr>
        <w:t>At September 30, 2020 and December 31, 2019,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2020, net derivative positions related to these activities included:</w:t>
      </w:r>
    </w:p>
    <w:p>
      <w:pPr>
        <w:spacing w:after="0" w:line="146" w:lineRule="exact"/>
        <w:rPr>
          <w:sz w:val="20"/>
          <w:szCs w:val="20"/>
          <w:color w:val="auto"/>
        </w:rPr>
      </w:pPr>
    </w:p>
    <w:p>
      <w:pPr>
        <w:ind w:left="980" w:right="12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net long position of 6.5 million barrels associated with our crude oil purchases, which was unwound ratably during October 2020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net short time spread position of 4.7 million barrels, which hedges a portion of our anticipated crude oil lease gathering purchases through October 2021.</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net crude oil basis spread position of 3.1 million barrels at multiple locations through December 2021.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net short position of 36.5 million barrels through December 2022 related to anticipated net sales of crude oil and NGL inventory.</w:t>
      </w:r>
    </w:p>
    <w:p>
      <w:pPr>
        <w:spacing w:after="0" w:line="23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195"/>
        </w:trPr>
        <w:tc>
          <w:tcPr>
            <w:tcW w:w="678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23.8 Bcf</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2021</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(4.1)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2021</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(1.3)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2021</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(0.5)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2021</w:t>
            </w:r>
          </w:p>
        </w:tc>
      </w:tr>
      <w:tr>
        <w:trPr>
          <w:trHeight w:val="230"/>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16.2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0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0.8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2459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as a hedging relationship, as such, changes in the fair value are reported in earnings. A summary of the impact of our commodity derivatives recognized in earnings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05"/>
        </w:trPr>
        <w:tc>
          <w:tcPr>
            <w:tcW w:w="58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676"/>
              <w:spacing w:after="0"/>
              <w:rPr>
                <w:sz w:val="20"/>
                <w:szCs w:val="20"/>
                <w:color w:val="auto"/>
              </w:rPr>
            </w:pPr>
            <w:r>
              <w:rPr>
                <w:rFonts w:ascii="Arial" w:cs="Arial" w:eastAsia="Arial" w:hAnsi="Arial"/>
                <w:sz w:val="18"/>
                <w:szCs w:val="18"/>
                <w:color w:val="auto"/>
                <w:w w:val="89"/>
              </w:rPr>
              <w:t>73</w:t>
            </w:r>
          </w:p>
        </w:tc>
      </w:tr>
      <w:tr>
        <w:trPr>
          <w:trHeight w:val="283"/>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14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left="676"/>
              <w:spacing w:after="0"/>
              <w:rPr>
                <w:sz w:val="20"/>
                <w:szCs w:val="20"/>
                <w:color w:val="auto"/>
              </w:rPr>
            </w:pPr>
            <w:r>
              <w:rPr>
                <w:rFonts w:ascii="Arial" w:cs="Arial" w:eastAsia="Arial" w:hAnsi="Arial"/>
                <w:sz w:val="18"/>
                <w:szCs w:val="18"/>
                <w:color w:val="auto"/>
                <w:w w:val="93"/>
              </w:rPr>
              <w:t>(45)</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3"/>
              </w:rPr>
              <w:t>(75)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6"/>
              <w:spacing w:after="0"/>
              <w:rPr>
                <w:sz w:val="20"/>
                <w:szCs w:val="20"/>
                <w:color w:val="auto"/>
              </w:rPr>
            </w:pPr>
            <w:r>
              <w:rPr>
                <w:rFonts w:ascii="Arial" w:cs="Arial" w:eastAsia="Arial" w:hAnsi="Arial"/>
                <w:sz w:val="18"/>
                <w:szCs w:val="18"/>
                <w:color w:val="auto"/>
                <w:w w:val="93"/>
              </w:rPr>
              <w:t>(73)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676"/>
              <w:spacing w:after="0"/>
              <w:rPr>
                <w:sz w:val="20"/>
                <w:szCs w:val="20"/>
                <w:color w:val="auto"/>
              </w:rPr>
            </w:pPr>
            <w:r>
              <w:rPr>
                <w:rFonts w:ascii="Arial" w:cs="Arial" w:eastAsia="Arial" w:hAnsi="Arial"/>
                <w:sz w:val="18"/>
                <w:szCs w:val="18"/>
                <w:color w:val="auto"/>
                <w:w w:val="93"/>
              </w:rPr>
              <w:t>(45)</w:t>
            </w:r>
          </w:p>
        </w:tc>
      </w:tr>
      <w:tr>
        <w:trPr>
          <w:trHeight w:val="21"/>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ectPr>
          <w:pgSz w:w="11900" w:h="16838" w:orient="portrait"/>
          <w:cols w:equalWidth="0" w:num="1">
            <w:col w:w="11240"/>
          </w:cols>
          <w:pgMar w:left="320" w:top="125" w:right="339" w:bottom="1440" w:gutter="0" w:footer="0" w:header="0"/>
        </w:sect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199"/>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4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25"/>
        </w:trPr>
        <w:tc>
          <w:tcPr>
            <w:tcW w:w="254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33"/>
        </w:trPr>
        <w:tc>
          <w:tcPr>
            <w:tcW w:w="254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(49)</w:t>
            </w:r>
          </w:p>
        </w:tc>
        <w:tc>
          <w:tcPr>
            <w:tcW w:w="0" w:type="dxa"/>
            <w:vAlign w:val="bottom"/>
          </w:tcPr>
          <w:p>
            <w:pPr>
              <w:spacing w:after="0"/>
              <w:rPr>
                <w:sz w:val="1"/>
                <w:szCs w:val="1"/>
                <w:color w:val="auto"/>
              </w:rPr>
            </w:pPr>
          </w:p>
        </w:tc>
      </w:tr>
      <w:tr>
        <w:trPr>
          <w:trHeight w:val="176"/>
        </w:trPr>
        <w:tc>
          <w:tcPr>
            <w:tcW w:w="2540" w:type="dxa"/>
            <w:vAlign w:val="bottom"/>
          </w:tcPr>
          <w:p>
            <w:pPr>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center"/>
              <w:ind w:left="459"/>
              <w:spacing w:after="0"/>
              <w:rPr>
                <w:sz w:val="20"/>
                <w:szCs w:val="20"/>
                <w:color w:val="auto"/>
              </w:rPr>
            </w:pPr>
            <w:r>
              <w:rPr>
                <w:rFonts w:ascii="Arial" w:cs="Arial" w:eastAsia="Arial" w:hAnsi="Arial"/>
                <w:sz w:val="18"/>
                <w:szCs w:val="18"/>
                <w:color w:val="auto"/>
                <w:w w:val="93"/>
              </w:rPr>
              <w:t>(54)</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1157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000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440"/>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center"/>
              <w:ind w:left="419"/>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center"/>
              <w:ind w:left="459"/>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center"/>
              <w:ind w:left="419"/>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6" w:lineRule="exact"/>
        <w:rPr>
          <w:sz w:val="20"/>
          <w:szCs w:val="20"/>
          <w:color w:val="auto"/>
        </w:rPr>
      </w:pPr>
    </w:p>
    <w:p>
      <w:pPr>
        <w:sectPr>
          <w:pgSz w:w="11900" w:h="16838" w:orient="portrait"/>
          <w:cols w:equalWidth="0" w:num="2">
            <w:col w:w="6800" w:space="180"/>
            <w:col w:w="4260"/>
          </w:cols>
          <w:pgMar w:left="320" w:top="125" w:right="339" w:bottom="1440" w:gutter="0" w:footer="0" w:header="0"/>
          <w:type w:val="continuous"/>
        </w:sectPr>
      </w:pPr>
    </w:p>
    <w:p>
      <w:pPr>
        <w:spacing w:after="0" w:line="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of our outstanding interest rate derivatives as of September 30, 2020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Expected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Rate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Derivatives Employed</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 Date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Locked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0"/>
        </w:trPr>
        <w:tc>
          <w:tcPr>
            <w:tcW w:w="27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6/15/2023</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89"/>
              </w:rPr>
              <w:t>6/14/2024</w:t>
            </w:r>
          </w:p>
        </w:tc>
        <w:tc>
          <w:tcPr>
            <w:tcW w:w="1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of September 30, 2020, there was a net loss of $290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losses of $3 million and $2 million during the three months ended September 30,</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2020 and 2019, respectively, and losses of $8 million and $7 million during the nine months ended September 30, 2020 and 2019, respectively. Of the total net loss deferred in AOCI at September 30, 2020, we expect to reclassify a loss of $13 million to earnings in the next twelve months. We estimate that substantially all of the remaining deferred loss will be reclassified to earnings through 2054 as the underlying hedged transactions impact earnings. A portion of these amounts is based on market prices as of September 30, 2020; thus, actual amounts to be reclassified will differ and could vary materially as a result of changes in market conditions.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94"/>
              </w:rPr>
              <w:t>Nine Months Ended</w:t>
            </w:r>
          </w:p>
        </w:tc>
        <w:tc>
          <w:tcPr>
            <w:tcW w:w="440" w:type="dxa"/>
            <w:vAlign w:val="bottom"/>
          </w:tcPr>
          <w:p>
            <w:pPr>
              <w:spacing w:after="0"/>
              <w:rPr>
                <w:sz w:val="14"/>
                <w:szCs w:val="14"/>
                <w:color w:val="auto"/>
              </w:rPr>
            </w:pP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w:t>
            </w:r>
          </w:p>
        </w:tc>
      </w:tr>
    </w:tbl>
    <w:p>
      <w:pPr>
        <w:spacing w:after="0" w:line="33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At September 30, 2020, the net fair value of our interest rate hedges, which were included in “Other long-term assets” and “Other long-term liabilities and deferred credits” on our Condensed Consolidated Balance Sheet, totaled $23 million and $6 million, respectively. At December 31, 2019, the fair value of these hedges was $44 million and included in “Other current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2020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11"/>
        </w:trPr>
        <w:tc>
          <w:tcPr>
            <w:tcW w:w="6780" w:type="dxa"/>
            <w:vAlign w:val="bottom"/>
            <w:tcBorders>
              <w:top w:val="single" w:sz="8" w:color="CCEEFF"/>
            </w:tcBorders>
            <w:shd w:val="clear" w:color="auto" w:fill="CCEEFF"/>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$1.00 - $1.34</w:t>
            </w:r>
          </w:p>
        </w:tc>
        <w:tc>
          <w:tcPr>
            <w:tcW w:w="0" w:type="dxa"/>
            <w:vAlign w:val="bottom"/>
          </w:tcPr>
          <w:p>
            <w:pPr>
              <w:spacing w:after="0"/>
              <w:rPr>
                <w:sz w:val="1"/>
                <w:szCs w:val="1"/>
                <w:color w:val="auto"/>
              </w:rPr>
            </w:pPr>
          </w:p>
        </w:tc>
      </w:tr>
      <w:tr>
        <w:trPr>
          <w:trHeight w:val="256"/>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2020</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118</w:t>
            </w:r>
          </w:p>
        </w:tc>
        <w:tc>
          <w:tcPr>
            <w:tcW w:w="20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$1.00 - $1.34</w:t>
            </w:r>
          </w:p>
        </w:tc>
      </w:tr>
      <w:tr>
        <w:trPr>
          <w:trHeight w:val="230"/>
        </w:trPr>
        <w:tc>
          <w:tcPr>
            <w:tcW w:w="6580" w:type="dxa"/>
            <w:vAlign w:val="bottom"/>
          </w:tcPr>
          <w:p>
            <w:pPr>
              <w:jc w:val="right"/>
              <w:ind w:right="130"/>
              <w:spacing w:after="0"/>
              <w:rPr>
                <w:sz w:val="20"/>
                <w:szCs w:val="20"/>
                <w:color w:val="auto"/>
              </w:rPr>
            </w:pPr>
            <w:r>
              <w:rPr>
                <w:rFonts w:ascii="Arial" w:cs="Arial" w:eastAsia="Arial" w:hAnsi="Arial"/>
                <w:sz w:val="18"/>
                <w:szCs w:val="18"/>
                <w:color w:val="auto"/>
              </w:rPr>
              <w:t>2021</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2020" w:type="dxa"/>
            <w:vAlign w:val="bottom"/>
          </w:tcPr>
          <w:p>
            <w:pPr>
              <w:jc w:val="right"/>
              <w:ind w:right="550"/>
              <w:spacing w:after="0"/>
              <w:rPr>
                <w:sz w:val="20"/>
                <w:szCs w:val="20"/>
                <w:color w:val="auto"/>
              </w:rPr>
            </w:pPr>
            <w:r>
              <w:rPr>
                <w:rFonts w:ascii="Arial" w:cs="Arial" w:eastAsia="Arial" w:hAnsi="Arial"/>
                <w:sz w:val="18"/>
                <w:szCs w:val="18"/>
                <w:color w:val="auto"/>
              </w:rPr>
              <w:t>$1.00 - $1.32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derivatives are not designated as a hedging relationship. As such, changes in fair value are recognized in earnings as a component of Supply and Logistics segment revenues. For the three months ended September 30, 2020 and 2019, the amounts recognized in earnings for our currency exchange rate hedges were a gain of $2 million and a loss of $1 million, respectively. For the nine months ended September 30, 2020 and 2019, the amounts recognized in earnings for our currency exchange rate hedges were a loss of $2 million and a gain of $6 million, respectively.</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At September 30, 2020, the net fair value of these currency exchange rate hedges was less than $1 million included in both “Other current assets” and “Other current liabilities” on our Condensed Consolidated Balance Sheet. At December 31, 2019, the net fair value of these currency exchange rate hedges, which was included in “Other current assets” and “Other current liabilities” on our Condensed Consolidated Balance Sheet, totaled $2 million and $1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52" w:lineRule="exact"/>
        <w:rPr>
          <w:sz w:val="20"/>
          <w:szCs w:val="20"/>
          <w:color w:val="auto"/>
        </w:rPr>
      </w:pPr>
    </w:p>
    <w:p>
      <w:pPr>
        <w:ind w:right="240" w:firstLine="648"/>
        <w:spacing w:after="0" w:line="284" w:lineRule="auto"/>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This embedded derivative is not designated as a hedging relationship and corresponding changes in fair value are recognized in “Other income/(expense), net” in our Condensed Consolidated Statement of Operations. For the three months ended September 30, 2020 and 2019, we recognized a loss of $10 million and a gain of</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 million, respectively. For the nine months ended September 30, 2020 and 2019, we recognized net gains of $7 million and $16 million, respectively. The fair value of the Preferred Distribution Rate Reset Option, which was included in “Other long-term liabilities and deferred credits” on our Condensed Consolidated Balance Sheets, totaled $27 million and $34 million at September 30, 2020 and December 31, 2019, respectively. See Note 13 to our Consolidated Financial Statements included in Part IV of our 2019 Annual Report on Form 10-K for additional information regarding the Series A preferred units and Preferred Distribution Rate Reset 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ectPr>
          <w:pgSz w:w="11900" w:h="16838" w:orient="portrait"/>
          <w:cols w:equalWidth="0" w:num="1">
            <w:col w:w="11220"/>
          </w:cols>
          <w:pgMar w:left="320" w:top="125" w:right="359" w:bottom="1440" w:gutter="0" w:footer="0" w:header="0"/>
        </w:sect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derivatives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derivatives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derivatives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Preferred Distribution Rate Reset Option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net derivative asset/(liability)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459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Fair Value as of September 30,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center"/>
              <w:ind w:left="173"/>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center"/>
              <w:ind w:left="153"/>
              <w:spacing w:after="0"/>
              <w:rPr>
                <w:sz w:val="20"/>
                <w:szCs w:val="20"/>
                <w:color w:val="auto"/>
              </w:rPr>
            </w:pPr>
            <w:r>
              <w:rPr>
                <w:rFonts w:ascii="Arial" w:cs="Arial" w:eastAsia="Arial" w:hAnsi="Arial"/>
                <w:sz w:val="18"/>
                <w:szCs w:val="18"/>
                <w:color w:val="auto"/>
                <w:w w:val="93"/>
              </w:rPr>
              <w:t>(20)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center"/>
              <w:ind w:left="133"/>
              <w:spacing w:after="0"/>
              <w:rPr>
                <w:sz w:val="20"/>
                <w:szCs w:val="20"/>
                <w:color w:val="auto"/>
              </w:rPr>
            </w:pPr>
            <w:r>
              <w:rPr>
                <w:rFonts w:ascii="Arial" w:cs="Arial" w:eastAsia="Arial" w:hAnsi="Arial"/>
                <w:sz w:val="18"/>
                <w:szCs w:val="18"/>
                <w:color w:val="auto"/>
                <w:w w:val="93"/>
              </w:rPr>
              <w:t>(77)</w:t>
            </w:r>
          </w:p>
        </w:tc>
      </w:tr>
      <w:tr>
        <w:trPr>
          <w:trHeight w:val="230"/>
        </w:trPr>
        <w:tc>
          <w:tcPr>
            <w:tcW w:w="140" w:type="dxa"/>
            <w:vAlign w:val="bottom"/>
          </w:tcPr>
          <w:p>
            <w:pPr>
              <w:spacing w:after="0"/>
              <w:rPr>
                <w:sz w:val="19"/>
                <w:szCs w:val="19"/>
                <w:color w:val="auto"/>
              </w:rPr>
            </w:pPr>
          </w:p>
        </w:tc>
        <w:tc>
          <w:tcPr>
            <w:tcW w:w="70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560" w:type="dxa"/>
            <w:vAlign w:val="bottom"/>
          </w:tcPr>
          <w:p>
            <w:pPr>
              <w:jc w:val="center"/>
              <w:ind w:left="173"/>
              <w:spacing w:after="0"/>
              <w:rPr>
                <w:sz w:val="20"/>
                <w:szCs w:val="20"/>
                <w:color w:val="auto"/>
              </w:rPr>
            </w:pPr>
            <w:r>
              <w:rPr>
                <w:rFonts w:ascii="Arial" w:cs="Arial" w:eastAsia="Arial" w:hAnsi="Arial"/>
                <w:sz w:val="18"/>
                <w:szCs w:val="18"/>
                <w:color w:val="auto"/>
                <w:w w:val="89"/>
              </w:rPr>
              <w:t>17</w:t>
            </w:r>
          </w:p>
        </w:tc>
      </w:tr>
      <w:tr>
        <w:trPr>
          <w:trHeight w:val="230"/>
        </w:trPr>
        <w:tc>
          <w:tcPr>
            <w:tcW w:w="140" w:type="dxa"/>
            <w:vAlign w:val="bottom"/>
          </w:tcPr>
          <w:p>
            <w:pPr>
              <w:spacing w:after="0"/>
              <w:rPr>
                <w:sz w:val="19"/>
                <w:szCs w:val="19"/>
                <w:color w:val="auto"/>
              </w:rPr>
            </w:pPr>
          </w:p>
        </w:tc>
        <w:tc>
          <w:tcPr>
            <w:tcW w:w="70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560" w:type="dxa"/>
            <w:vAlign w:val="bottom"/>
          </w:tcPr>
          <w:p>
            <w:pPr>
              <w:jc w:val="center"/>
              <w:ind w:left="173"/>
              <w:spacing w:after="0"/>
              <w:rPr>
                <w:sz w:val="20"/>
                <w:szCs w:val="20"/>
                <w:color w:val="auto"/>
              </w:rPr>
            </w:pPr>
            <w:r>
              <w:rPr>
                <w:rFonts w:ascii="Arial" w:cs="Arial" w:eastAsia="Arial" w:hAnsi="Arial"/>
                <w:sz w:val="18"/>
                <w:szCs w:val="18"/>
                <w:color w:val="auto"/>
                <w:w w:val="99"/>
              </w:rPr>
              <w:t>—</w:t>
            </w:r>
          </w:p>
        </w:tc>
      </w:tr>
      <w:tr>
        <w:trPr>
          <w:trHeight w:val="230"/>
        </w:trPr>
        <w:tc>
          <w:tcPr>
            <w:tcW w:w="140" w:type="dxa"/>
            <w:vAlign w:val="bottom"/>
          </w:tcPr>
          <w:p>
            <w:pPr>
              <w:spacing w:after="0"/>
              <w:rPr>
                <w:sz w:val="20"/>
                <w:szCs w:val="20"/>
                <w:color w:val="auto"/>
              </w:rPr>
            </w:pPr>
          </w:p>
        </w:tc>
        <w:tc>
          <w:tcPr>
            <w:tcW w:w="70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center"/>
              <w:ind w:left="153"/>
              <w:spacing w:after="0"/>
              <w:rPr>
                <w:sz w:val="20"/>
                <w:szCs w:val="20"/>
                <w:color w:val="auto"/>
              </w:rPr>
            </w:pPr>
            <w:r>
              <w:rPr>
                <w:rFonts w:ascii="Arial" w:cs="Arial" w:eastAsia="Arial" w:hAnsi="Arial"/>
                <w:sz w:val="18"/>
                <w:szCs w:val="18"/>
                <w:color w:val="auto"/>
                <w:w w:val="93"/>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center"/>
              <w:ind w:left="133"/>
              <w:spacing w:after="0"/>
              <w:rPr>
                <w:sz w:val="20"/>
                <w:szCs w:val="20"/>
                <w:color w:val="auto"/>
              </w:rPr>
            </w:pPr>
            <w:r>
              <w:rPr>
                <w:rFonts w:ascii="Arial" w:cs="Arial" w:eastAsia="Arial" w:hAnsi="Arial"/>
                <w:sz w:val="18"/>
                <w:szCs w:val="18"/>
                <w:color w:val="auto"/>
                <w:w w:val="93"/>
              </w:rPr>
              <w:t>(27)</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center"/>
              <w:ind w:left="173"/>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center"/>
              <w:ind w:left="153"/>
              <w:spacing w:after="0"/>
              <w:rPr>
                <w:sz w:val="20"/>
                <w:szCs w:val="20"/>
                <w:color w:val="auto"/>
              </w:rPr>
            </w:pPr>
            <w:r>
              <w:rPr>
                <w:rFonts w:ascii="Arial" w:cs="Arial" w:eastAsia="Arial" w:hAnsi="Arial"/>
                <w:sz w:val="18"/>
                <w:szCs w:val="18"/>
                <w:color w:val="auto"/>
                <w:w w:val="93"/>
              </w:rPr>
              <w:t>(47)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center"/>
              <w:ind w:left="133"/>
              <w:spacing w:after="0"/>
              <w:rPr>
                <w:sz w:val="20"/>
                <w:szCs w:val="20"/>
                <w:color w:val="auto"/>
              </w:rPr>
            </w:pPr>
            <w:r>
              <w:rPr>
                <w:rFonts w:ascii="Arial" w:cs="Arial" w:eastAsia="Arial" w:hAnsi="Arial"/>
                <w:sz w:val="18"/>
                <w:szCs w:val="18"/>
                <w:color w:val="auto"/>
                <w:w w:val="93"/>
              </w:rPr>
              <w:t>(87)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-779145</wp:posOffset>
            </wp:positionV>
            <wp:extent cx="7054850" cy="762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54850" cy="762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Fair Value as of 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center"/>
              <w:ind w:left="19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center"/>
              <w:ind w:left="193"/>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680" w:space="720"/>
            <w:col w:w="3240" w:space="220"/>
            <w:col w:w="3360"/>
          </w:cols>
          <w:pgMar w:left="320" w:top="125" w:right="35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100"/>
        <w:spacing w:after="0" w:line="311" w:lineRule="auto"/>
        <w:rPr>
          <w:sz w:val="20"/>
          <w:szCs w:val="20"/>
          <w:color w:val="auto"/>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80"/>
        <w:spacing w:after="0" w:line="342" w:lineRule="auto"/>
        <w:rPr>
          <w:sz w:val="20"/>
          <w:szCs w:val="20"/>
          <w:color w:val="auto"/>
        </w:rPr>
      </w:pPr>
      <w:r>
        <w:rPr>
          <w:rFonts w:ascii="Arial" w:cs="Arial" w:eastAsia="Arial" w:hAnsi="Arial"/>
          <w:sz w:val="16"/>
          <w:szCs w:val="16"/>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124"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rPr>
                <w:sz w:val="20"/>
                <w:szCs w:val="20"/>
                <w:color w:val="auto"/>
              </w:rPr>
            </w:pPr>
            <w:r>
              <w:rPr>
                <w:rFonts w:ascii="Arial" w:cs="Arial" w:eastAsia="Arial" w:hAnsi="Arial"/>
                <w:sz w:val="18"/>
                <w:szCs w:val="18"/>
                <w:color w:val="auto"/>
              </w:rPr>
              <w:t>Derivatives entered into during the period</w:t>
            </w: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Change in unrealized gains/(losses) included in earnings relating to Level 3</w:t>
            </w:r>
          </w:p>
        </w:tc>
        <w:tc>
          <w:tcPr>
            <w:tcW w:w="820" w:type="dxa"/>
            <w:vAlign w:val="bottom"/>
            <w:vMerge w:val="restart"/>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2019 Annual Report on Form 10-K for a complete discussion of our related party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Ownership of our Class C Shares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September 30, 2020 and December 31, 2019, PAA owned 553,800,444 and 549,538,139, respectively, Class C shares. The Class C shares represent a non-economic limited partner interest in us that provides PAA a “pass-through” voting mechanism through which PAA, as the sole holder, votes on behalf of PAA’s common unitholders and Series A preferred unitholders, who have the right to vote, pro rata with the holders of our Class A and Class B shares, for the election of eligible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7 for information regarding such entities). We recognize as our principal owners entities that have a designated representative on the board of directors of our general partner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 As of September 30, 2020, Kayne Anderson Capital Advisors, L.P. was a principal owner.</w:t>
      </w:r>
    </w:p>
    <w:p>
      <w:pPr>
        <w:spacing w:after="0" w:line="18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During the three and nine months ended September 30, 2020 and 2019,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3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24"/>
        </w:trPr>
        <w:tc>
          <w:tcPr>
            <w:tcW w:w="5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 (2)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56"/>
        </w:trPr>
        <w:tc>
          <w:tcPr>
            <w:tcW w:w="5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 (2)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27"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40" w:lineRule="exact"/>
        <w:rPr>
          <w:rFonts w:ascii="Arial" w:cs="Arial" w:eastAsia="Arial" w:hAnsi="Arial"/>
          <w:sz w:val="23"/>
          <w:szCs w:val="23"/>
          <w:color w:val="auto"/>
          <w:vertAlign w:val="superscript"/>
        </w:rPr>
      </w:pPr>
    </w:p>
    <w:p>
      <w:pPr>
        <w:ind w:left="660" w:right="140" w:hanging="652"/>
        <w:spacing w:after="0" w:line="254" w:lineRule="auto"/>
        <w:tabs>
          <w:tab w:leader="none" w:pos="648"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Revenues and purchases and related costs from related parties for 2019 include transactions with The Energy &amp; Minerals Group (“EMG”) and its subsidiaries through May 2019 and Occidental Petroleum Corporation (“Oxy”) and its subsidiaries through September 2019. Following transactions reducing EMG and Oxy’s ownership interest in AAP in May and September 2019, respectively, EMG and Oxy are no longer recognized as principal owners. See Note 17 to our 2019 Annual Report on Form 10-K for additional information.</w:t>
      </w:r>
    </w:p>
    <w:p>
      <w:pPr>
        <w:spacing w:after="0" w:line="2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56"/>
        </w:trPr>
        <w:tc>
          <w:tcPr>
            <w:tcW w:w="8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120" w:hanging="652"/>
        <w:spacing w:after="0" w:line="227" w:lineRule="auto"/>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services and amounts owed to us or advanced to us related to investment capital projects of equity method investees where we serve as construction manager.</w:t>
      </w:r>
    </w:p>
    <w:p>
      <w:pPr>
        <w:spacing w:after="0" w:line="94" w:lineRule="exact"/>
        <w:rPr>
          <w:rFonts w:ascii="Arial" w:cs="Arial" w:eastAsia="Arial" w:hAnsi="Arial"/>
          <w:sz w:val="23"/>
          <w:szCs w:val="23"/>
          <w:color w:val="auto"/>
          <w:vertAlign w:val="superscript"/>
        </w:rPr>
      </w:pPr>
    </w:p>
    <w:p>
      <w:pPr>
        <w:ind w:left="660" w:right="100" w:hanging="652"/>
        <w:spacing w:after="0" w:line="234" w:lineRule="auto"/>
        <w:tabs>
          <w:tab w:leader="none" w:pos="64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and transport crude oil at posted tariff rates on pipelines or at facilities that are owned by equity method investees, in which we own a 50% interest. A portion of our commitment to transport is supported by crude oil buy/sell or other agreements with third parties with commensurate quantities.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At September 30, 2020, our estimated undiscounted reserve for environmental liabilities (including liabilities related to the Line 901 incident, as discussed further below) totaled $188 million, of which $143 million was classified as short-term and $45 million was classified as long-term. At December 31, 2019, our estimated undiscounted reserve for environmental liabilities (including liabilities related to the Line 901 incident) totaled $140 million, of which $60 million was classified as short-term and $80 million was classified as long-term. Such short- and long-term environmental liabilities are reflected in “Other current liabilities” and “Other long-term liabilities and deferred credits,” respectively, on our Condensed Consolidated Balance Sheets. At September 30, 2020, we had recorded receivables totaling $120 million for amounts probable of recovery under insurance and from third parties under indemnification agreements, of which $119 million was classified as short-term and $1 million was classified as long-term. At December 31, 2019, we had recorded $72 million of such receivables, of which $35 million was classified as short-term and $37 million was classified as long-term. Such short- and long-term receivables are reflected in “Trade accounts receivable and other receivables, net” and “Other long-term assets, net,” respectively, on our Condensed Consolidated Balance Sheets.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7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Set forth below is a brief summary of actions and matters that are currently pending: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PAA and the Trustees jointly and independently planned and conducted a number of natural resource assessment activities related to the Line 901 incident. On March 13, 2020, the United States and the People of the State of California filed a civil complaint against Plains All American Pipeline, L.P. and Plains Pipeline L.P. along with a pre-negotiated settlement agreement in the form of a Consent Decree (the “Consent Decree”). The Consent Decree, which was signed by the United States Department of Justice, Environmental and Natural Resources Division, the United States Department of Transportation, Pipeline and Hazardous Materials Safety Administration, the United States Environmental Protection Agency,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settles all of the claims asserted in the lawsuit. The Consent Decree requires Plains to pay $24 million in civil penalties and implement certain agreed-upon injunctive relief, and pay $22.325 million as compensation for injuries to, destruction of, loss of, or loss of use of natural resources resulting from the Line 901 incident. The Consent Decree also contains the requirements for restarting Line 901 and the Sisquoc to Pentland portion of Line 903. The Consent Decree was approved and entered by the Federal District Court for the Central District of California on October 14, 2020. We have included the costs associated with the Consent Decree settlement in the loss accrual described below.</w:t>
      </w:r>
    </w:p>
    <w:p>
      <w:pPr>
        <w:spacing w:after="0" w:line="21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processed those claims and made payments as appropriate. In addition, we have also had nine class action lawsuits filed against us, six of which were administratively consolidated into a single proceeding in the United States District Court for the Central District of California. In general, the plaintiffs are seeking to establish different classes of claimants that have allegedly been damaged by the release. The court originally certified three sub-classes of claimants and denied certification of the other proposed sub-class. On appeal, the Ninth Circuit Court of Appeals overturned the certification of one of the three sub-classes, the oil-industry sub-class, and the District Court subsequently dismissed the oil-industry sub-class representatives’ claims. The two remaining sub-classes include (i) commercial fishermen who landed fish in certain specified fishing blocks in the waters off the coast of Southern California or persons or businesses who resold commercial seafood landed in such areas; and (ii) residential beachfront properties on a beach and residential properties with a private easement to a beach where oil from the spill washed up. The September 2020 trial date initially set by the Court has been postponed due to COVID-19 related trial suspensions.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9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four unitholder derivative lawsuits were filed by certain purported investors in PAA against PAGP and certain of PAA’s affiliates,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9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Following the order dismissing the Texas Federal Court suits, a new derivative suit brought by different plaintiffs was filed in Delaware Chancery Court and subsequently dismissed without prejudice. Plaintiffs amended and refiled their complaint on June 3, 2019. All claims against the officers and directors of PAA and all affiliates of PAA, except PAGP, were dismissed with prejudice in January 2020. Consistent with and subject to the terms of our governing organizational documents (and to the extent applicable, insurance policies), we have indemnified and funded the defense costs of our officers and directors in connection with these lawsuits. We will vigorously defend the remaining derivative claim against PAGP.</w:t>
      </w:r>
    </w:p>
    <w:p>
      <w:pPr>
        <w:spacing w:after="0" w:line="17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 The majority of these lawsuits have been settled or dismissed by the court. We may be subject to additional claims and lawsuits, which could materially impact the liabilities and costs we currently expect to incur as a result of the Line 901 incident.</w:t>
      </w:r>
    </w:p>
    <w:p>
      <w:pPr>
        <w:spacing w:after="0" w:line="19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September 30, 2020, we estimate that the aggregate total costs we have incurred or will incur with respect to the Line 901 incident will be approximately $455 million, which estimate includes actual and projected emergency response and clean-up costs, natural resource damage assessments, fines and penalties payable pursuant to the Consent Decree and certain third party claims settlements, as well as estimates for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of September 30, 2020, we had a remaining undiscounted gross liability of $134 million related to this event, which is presented in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2020, we had collected, subject to customary reservations, $218 million out of the approximate $330 million of release costs that we believe are probable of recovery from insurance carriers, net of deductibles. Therefore, as of September 30, 2020, we have recognized a receivable of approximately $112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2019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697"/>
              <w:spacing w:after="0"/>
              <w:rPr>
                <w:sz w:val="20"/>
                <w:szCs w:val="20"/>
                <w:color w:val="auto"/>
              </w:rPr>
            </w:pPr>
            <w:r>
              <w:rPr>
                <w:rFonts w:ascii="Arial" w:cs="Arial" w:eastAsia="Arial" w:hAnsi="Arial"/>
                <w:sz w:val="18"/>
                <w:szCs w:val="18"/>
                <w:color w:val="auto"/>
                <w:w w:val="93"/>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37"/>
              <w:spacing w:after="0"/>
              <w:rPr>
                <w:sz w:val="20"/>
                <w:szCs w:val="20"/>
                <w:color w:val="auto"/>
              </w:rPr>
            </w:pPr>
            <w:r>
              <w:rPr>
                <w:rFonts w:ascii="Arial" w:cs="Arial" w:eastAsia="Arial" w:hAnsi="Arial"/>
                <w:sz w:val="18"/>
                <w:szCs w:val="18"/>
                <w:color w:val="auto"/>
                <w:w w:val="89"/>
              </w:rPr>
              <w:t>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2019</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2019</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60" w:hanging="11"/>
        <w:spacing w:after="0" w:line="273" w:lineRule="auto"/>
        <w:rPr>
          <w:sz w:val="20"/>
          <w:szCs w:val="20"/>
          <w:color w:val="auto"/>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2019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70" w:lineRule="exact"/>
        <w:rPr>
          <w:sz w:val="20"/>
          <w:szCs w:val="20"/>
          <w:color w:val="auto"/>
        </w:rPr>
      </w:pPr>
    </w:p>
    <w:p>
      <w:pPr>
        <w:ind w:right="10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ectPr>
          <w:pgSz w:w="11900" w:h="16838" w:orient="portrait"/>
          <w:cols w:equalWidth="0" w:num="2">
            <w:col w:w="140" w:space="520"/>
            <w:col w:w="1052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PAGP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94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7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29"/>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7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7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(9)</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Goodwill impairment losses</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Income/(loss) before tax</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Net income/(loss) attributable to PAGP</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1"/>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87"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00"/>
          </w:cols>
          <w:pgMar w:left="320" w:top="125" w:right="37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PAA common units.</w:t>
      </w:r>
    </w:p>
    <w:p>
      <w:pPr>
        <w:spacing w:after="0" w:line="117"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for additional information regarding the Line 901 incident.</w:t>
      </w:r>
    </w:p>
    <w:p>
      <w:pPr>
        <w:spacing w:after="0" w:line="62" w:lineRule="exact"/>
        <w:rPr>
          <w:sz w:val="20"/>
          <w:szCs w:val="20"/>
          <w:color w:val="auto"/>
        </w:rPr>
      </w:pPr>
    </w:p>
    <w:p>
      <w:pPr>
        <w:ind w:left="20" w:right="60" w:hanging="11"/>
        <w:spacing w:after="0" w:line="286" w:lineRule="auto"/>
        <w:rPr>
          <w:sz w:val="20"/>
          <w:szCs w:val="20"/>
          <w:color w:val="auto"/>
        </w:rPr>
      </w:pPr>
      <w:r>
        <w:rPr>
          <w:rFonts w:ascii="Arial" w:cs="Arial" w:eastAsia="Arial" w:hAnsi="Arial"/>
          <w:sz w:val="17"/>
          <w:szCs w:val="17"/>
          <w:color w:val="auto"/>
        </w:rPr>
        <w:t>Includes acquisition-related expenses associated with the Felix Midstream LLC acquisition. See Note 14 for additional discussion. An adjustment for these non-recurring expenses is included in the calculation of Segment Adjusted EBITDA for the nine months ended September 30, 2020 as our CODM does not view such expenses as integral to understanding our core segment operating performance.</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14—Acquisitions, Divestitures and Asset Impairments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 xml:space="preserve">Felix Midstream LLC. </w:t>
      </w:r>
      <w:r>
        <w:rPr>
          <w:rFonts w:ascii="Arial" w:cs="Arial" w:eastAsia="Arial" w:hAnsi="Arial"/>
          <w:sz w:val="16"/>
          <w:szCs w:val="16"/>
          <w:color w:val="auto"/>
        </w:rPr>
        <w:t>In February 2020, we acquired Felix Midstream LLC, now known as FM Gathering LLC (“FM Gathering”) from Felix</w:t>
      </w:r>
      <w:r>
        <w:rPr>
          <w:rFonts w:ascii="Arial" w:cs="Arial" w:eastAsia="Arial" w:hAnsi="Arial"/>
          <w:sz w:val="16"/>
          <w:szCs w:val="16"/>
          <w:i w:val="1"/>
          <w:iCs w:val="1"/>
          <w:color w:val="auto"/>
        </w:rPr>
        <w:t xml:space="preserve"> </w:t>
      </w:r>
      <w:r>
        <w:rPr>
          <w:rFonts w:ascii="Arial" w:cs="Arial" w:eastAsia="Arial" w:hAnsi="Arial"/>
          <w:sz w:val="16"/>
          <w:szCs w:val="16"/>
          <w:color w:val="auto"/>
        </w:rPr>
        <w:t>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primarily included in our Transportation and Supply and Logistics segments. This acquisition was accounted for using the acquisition method of accounting and the determination of the fair value of the assets acquired and liabilities assumed has been estimated in accordance with the applicable accounting guidance. The assets acquired primarily consisted of property and equipment of $115 million and intangible assets of $187 million. The fair value of the tangible assets is a Level 3 measurement in the fair value hierarchy and was determined using a cost approach. The cost approach was based on costs incurred on similar recent construction projects. The fair value of the intangible assets is also a Level 3 measurement in the fair value hierarchy and was determined by applying a discounted cash flow approach. Such approach utilized discount rates varying from 18% to 19%, based on our estimate of the risk that a theoretical market participant would assign to the respective intangible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i w:val="1"/>
          <w:iCs w:val="1"/>
          <w:color w:val="auto"/>
        </w:rPr>
        <w:t xml:space="preserve">Saddlehorn Pipeline Company, LLC. </w:t>
      </w:r>
      <w:r>
        <w:rPr>
          <w:rFonts w:ascii="Arial" w:cs="Arial" w:eastAsia="Arial" w:hAnsi="Arial"/>
          <w:sz w:val="18"/>
          <w:szCs w:val="18"/>
          <w:color w:val="auto"/>
        </w:rPr>
        <w:t>In February 2020, we sold a 10% ownership interest in Saddlehorn Pipeline Company, LLC for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$78 million. We recorded a gain of approximately $21 million related to this sale, which is included in “Gain on/(impairment of) investments in unconsolidated entities, net” on our Condensed Consolidated Statement of Operations.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i w:val="1"/>
          <w:iCs w:val="1"/>
          <w:color w:val="auto"/>
        </w:rPr>
        <w:t xml:space="preserve">Assets Held For Sale. </w:t>
      </w:r>
      <w:r>
        <w:rPr>
          <w:rFonts w:ascii="Arial" w:cs="Arial" w:eastAsia="Arial" w:hAnsi="Arial"/>
          <w:sz w:val="17"/>
          <w:szCs w:val="17"/>
          <w:color w:val="auto"/>
        </w:rPr>
        <w:t>As of September 30, 2020, we classified approximately $224 million as assets held for sale on our Condensed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(in “Other current assets”). The assets held for sale, which were valued at the lower of the carrying amount or fair value less costs to sell, are primarily property and equipment related to transactions to divest our interests in certain Los Angeles Basin (“LA Basin”) terminals included in our Facilities segment. In January 2020, we signed a definitive agreement to sell certain of our LA Basin crude oil terminals. This transaction closed in the fourth quarter of 2020 for proceeds of approximately $200 million, subject to certain adjustments.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quarter of 2020, certain NGL terminals included in our Facilities segment were also classified as held for sale. In April 2020, the transaction closed for proceeds of approximately $163 million, subject to certain adjustments.</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Upon these classifications to assets held for sale, we recognized non-cash impairment losses of approximately $167 million during the first quarter of 2020. Such impairment losses are reflected in “(Gains)/losses on asset sales and asset impairments, net” on our Condensed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 (Held and Used)</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nine months ended September 30, 2020, we recognized approximately $648 million of non-cash impairment losses related to certain pipeline and other long-lived assets included in our Transportation and Facilities segments, along with certain of our investments in unconsolidated entities. Of these losses, approximately $446 million is reflected in “(Gains)/losses on asset sales and asset impairments, net” with the remainder reflected in “Gain on/(impairment of) investments in unconsolidated entities, net” on our Condensed Consolidated Statement of Operations. See Note 7 for additional information regarding our investments in unconsolidated entities.</w:t>
      </w:r>
    </w:p>
    <w:p>
      <w:pPr>
        <w:spacing w:after="0" w:line="21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current macroeconomic and geopolitical conditions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2019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 purposes. As of September 30, 2020, our sole cash-generating assets consisted of (i) a 100% managing member interest in Plains All American GP LLC (“GP LLC”) that has also elected to be taxed as a corporation for United States federal income tax purposes and (ii) an approximate 77% limited partner interest in AAP through our direct ownership of approximately 186.3 million AAP units and indirect ownership of approximately 1.0 million AAP units through GP LLC. GP LLC is a Delaware limited liability company that also holds the non-economic general partner interest in AAP. AAP is a Delaware limited partnership that, as of September 30, 2020, directly owned a limited partner interest in PAA through its ownership of approximately 245.8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PAA’s operations are conducted directly and indirectly through its operating subsidiaries and are managed through three operating segments: Transportation, Facilities and Supply and Logistics. See “—Results of Operations— Analysis of Operating Segments”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&amp; Outlook</w:t>
      </w:r>
    </w:p>
    <w:p>
      <w:pPr>
        <w:spacing w:after="0" w:line="25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During the first quarter of 2020, COVID-19 escalated into a global pandemic, which led to widespread shelter-in-place or similar requirements throughout North America and across the world, resulting in significantly reduced energy demand. As a result, North American producers responded aggressively by shutting in significant levels of production early in the second quarter, which mitigated the pace of crude oil inventory builds and the risk of testing storage maximums. Subsequently, United States refinery utilization increased, the previously steep contango market structure tempered, and crude oil prices improved to more constructive levels. This supported the ability for producers to bring a substantial portion of previously shut-in production back on line and resume completion activity during the third quarter at a level likely to be sufficient to offset natural declines.</w:t>
      </w:r>
    </w:p>
    <w:p>
      <w:pPr>
        <w:spacing w:after="0" w:line="191"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Additionally, in the third quarter, United States Lower 48 horizontal crude oil rig counts increased modestly but as of quarter end represented approximately 25% of peak levels reached in 2019. Additionally, although United States inventories of crude oil and distillate had constructive draws during the third quarter, they remained elevated relative to their prior five-year range. The combination of steep shale declines relative to drilling and completion activity, substantial inventory overhang, and the potential for a prolonged demand recovery has challenged the ability of North American liquids production to return to a sustainable growth trajectory in 2020, and which is likely to persist into 2021. Furthermore, we expect a continuation of elevated near-term market uncertainty to be driven by various risks, including potential COVID-19 resurgence, regulatory changes and evolving geo-political dynamics. In aggregate, we expect these market dynamics to have a negative impact on our business relative to pre-pandemic levels, with the impacts in 2021 potentially being more pronounced than in 2020.</w:t>
      </w:r>
    </w:p>
    <w:p>
      <w:pPr>
        <w:spacing w:after="0" w:line="20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believe our business is well positioned to manage through the current challenging market environment. We expect global demand for hydrocarbons will recover, which should drive a return of constructive crude oil price levels and higher production levels in key onshore shale basins, which should support growing demand for our assets.</w:t>
      </w:r>
    </w:p>
    <w:p>
      <w:pPr>
        <w:spacing w:after="0" w:line="211"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In addition, in response to the challenging near-term market conditions, we have taken steps to further strengthen our balance sheet, liquidity and long-term financial flexibility. These actions include significantly reducing and continuing to challenge our capital program, reducing the amount of PAA’s common unit distribution payable, progressing asset sales, and reducing costs, while remaining focused on operating safely and responsibly.</w:t>
      </w:r>
    </w:p>
    <w:p>
      <w:pPr>
        <w:spacing w:after="0" w:line="176"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7"/>
          <w:szCs w:val="17"/>
          <w:color w:val="auto"/>
        </w:rPr>
        <w:t>Specifically, since April, we have reduced our 2020/2021 capital program by $850 million, or 37%, and have decreased PAA’s common unit distributions and our Class A share distributions by 50% versus the distributions paid in February 2020, which reflects a reduction of $525 million on an annualized basis. We have completed approximately $450 million of asset sales (which amount includes an approximately $200 million asset sale that closed in October 2020). While each of these actions should contribute to a stronger balance sheet and enhanced liquidity and long-term financial flexibility, we can provide no assurance that we will be able to effect certain future actions (such as additional capital reductions, asset sales and expense reductions) and additional actions may be necessary to achieve our balance sheet, liquidity and financial security objectives. See “Risk Factors—Risks Related to PAA’s Business” discussed in Item 1A. of our 2019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Part II, Item 1A. “Risk Factors” in our Quarterly Report on Form 10-Q for the period ended March 31, 2020.</w:t>
      </w:r>
    </w:p>
    <w:p>
      <w:pPr>
        <w:spacing w:after="0" w:line="231"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While some modifications in our operations have been necessary to deal with risks associated with the COVID-19 pandemic, we have not experienced any material constraints in our ability to continue our essential business functions and have not incurred any significant additional operating costs as a result of the pandemic, including costs associated with navigating the applicable shelter-in-place or similar restrictions and implementing our business continuity plans. We remain focused on the health and safety of our workforce, and have modified our operations in ways that we believe are prudent and appropriate in order to protect our employees while continuing to operate our assets in an effective, safe and responsible manner.</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many governments have enacted or are contemplating measures to provide aid and economic stimulus in response to the COVID-19 pandemic. These measures include actions by both the United States federal government and the government of Canada. There has been no material impact to our financial position, results of operations or cash flows resulting from these measures. However, our Canadian subsidiary participated in a wage subsidy program during the second and third quarters of 2020 for subsidies totaling approximately $20 million. The impact of such subsidies is included in the line items “Field operating costs” and “Segment general and administrative expenses” of the applicable segments. See “—Results of Operations— Analysis of Operating Segments”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macroeconomic and industry specific challenges discussed above have resulted in a number of impairment charges recognized during 2020 as discussed further below. See “—Liquidity and Capital Resources” for additional discussion of the expected and potential impact of COVID-19 and related market conditions on our business.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first nine months of 2020, we recognized a net loss of $2.417 billion as compared to net income of $1.771 billion recognized during the first nine months of 2019. The net loss for the period was driven by goodwill impairment losses of $2.5 billion and was also impacted by non-cash impairment charges of approximately $815 million related to the write-down of certain pipeline and other long-lived assets, certain of our investments in unconsolidated entities, and assets upon classification as held for sale. In addition, we recognized approximately $233 million of inventory valuation adjustments due to declines in commodity prices primarily during the first quarter of 2020.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 were also impacted by:</w:t>
      </w:r>
    </w:p>
    <w:p>
      <w:pPr>
        <w:spacing w:after="0" w:line="239" w:lineRule="exact"/>
        <w:rPr>
          <w:sz w:val="20"/>
          <w:szCs w:val="20"/>
          <w:color w:val="auto"/>
        </w:rPr>
      </w:pPr>
    </w:p>
    <w:p>
      <w:pPr>
        <w:ind w:left="1300" w:right="100" w:hanging="320"/>
        <w:spacing w:after="0" w:line="259"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 favorable results from our Supply and Logistics segment due to less favorable crude oil differentials, lower NGL margins and the unfavorable impact of the mark-to-market of certain derivative instruments, resulting from losses recognized in the 2020 period compared to gains in the 2019 period, partially offset by the favorable impact of contango market conditions during the second and third quarters of 2020;</w:t>
      </w:r>
    </w:p>
    <w:p>
      <w:pPr>
        <w:spacing w:after="0" w:line="213" w:lineRule="exact"/>
        <w:rPr>
          <w:rFonts w:ascii="Arial" w:cs="Arial" w:eastAsia="Arial" w:hAnsi="Arial"/>
          <w:sz w:val="18"/>
          <w:szCs w:val="18"/>
          <w:color w:val="auto"/>
        </w:rPr>
      </w:pPr>
    </w:p>
    <w:p>
      <w:pPr>
        <w:jc w:val="both"/>
        <w:ind w:left="1300" w:right="140" w:hanging="320"/>
        <w:spacing w:after="0" w:line="259" w:lineRule="auto"/>
        <w:tabs>
          <w:tab w:leader="none" w:pos="1295"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Less favorable results from our Transportation segment driven by lower volumes from shut-ins of crude oil production, reduced drilling and completion activity and compressed regional basis differentials, a portion of which are covered by minimum volume commitments that will be made up or paid for in future periods, and lower pipeline loss allowance revenue in 2020 due to lower prices and volumes, partially offset by lower field operating costs;</w:t>
      </w:r>
    </w:p>
    <w:p>
      <w:pPr>
        <w:spacing w:after="0" w:line="213" w:lineRule="exact"/>
        <w:rPr>
          <w:rFonts w:ascii="Arial" w:cs="Arial" w:eastAsia="Arial" w:hAnsi="Arial"/>
          <w:sz w:val="18"/>
          <w:szCs w:val="18"/>
          <w:i w:val="1"/>
          <w:iCs w:val="1"/>
          <w:color w:val="auto"/>
        </w:rPr>
      </w:pPr>
    </w:p>
    <w:p>
      <w:pPr>
        <w:ind w:left="1300" w:right="300" w:hanging="320"/>
        <w:spacing w:after="0" w:line="308" w:lineRule="auto"/>
        <w:tabs>
          <w:tab w:leader="none" w:pos="1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Higher depreciation and amortization expense in the 2020 period primarily due to additional depreciation expense associated with the completion of various investment capital projects and by a reduction in the useful lives of certain assets;</w:t>
      </w:r>
    </w:p>
    <w:p>
      <w:pPr>
        <w:spacing w:after="0" w:line="173" w:lineRule="exact"/>
        <w:rPr>
          <w:rFonts w:ascii="Arial" w:cs="Arial" w:eastAsia="Arial" w:hAnsi="Arial"/>
          <w:sz w:val="17"/>
          <w:szCs w:val="17"/>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foreign currency impacts of $20 million recognized in “Other income/(expense), net” in the 2020 period;</w:t>
      </w:r>
    </w:p>
    <w:p>
      <w:pPr>
        <w:spacing w:after="0" w:line="252" w:lineRule="exact"/>
        <w:rPr>
          <w:rFonts w:ascii="Arial" w:cs="Arial" w:eastAsia="Arial" w:hAnsi="Arial"/>
          <w:sz w:val="18"/>
          <w:szCs w:val="18"/>
          <w:color w:val="auto"/>
        </w:rPr>
      </w:pPr>
    </w:p>
    <w:p>
      <w:pPr>
        <w:ind w:left="1300" w:right="200" w:hanging="320"/>
        <w:spacing w:after="0" w:line="259"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gain of $21 million recognized in the current period related to the sale of a portion of our interest in Saddlehorn Pipeline Company, LLC in February 2020, compared to a non-cash gain of $269 million recognized in the 2019 period related to a fair value adjustment resulting from the accounting for the contribution of our undivided joint interest in the Capline pipeline system for an equity interest in Capline Pipeline Company LLC; partially offset by</w:t>
      </w:r>
    </w:p>
    <w:p>
      <w:pPr>
        <w:spacing w:after="0" w:line="213"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Favorable results from our Facilities segment primarily due to lower field operating costs; and</w:t>
      </w:r>
    </w:p>
    <w:p>
      <w:pPr>
        <w:spacing w:after="0" w:line="252" w:lineRule="exact"/>
        <w:rPr>
          <w:rFonts w:ascii="Arial" w:cs="Arial" w:eastAsia="Arial" w:hAnsi="Arial"/>
          <w:sz w:val="18"/>
          <w:szCs w:val="18"/>
          <w:i w:val="1"/>
          <w:iCs w:val="1"/>
          <w:color w:val="auto"/>
        </w:rPr>
      </w:pPr>
    </w:p>
    <w:p>
      <w:pPr>
        <w:ind w:left="1300" w:hanging="320"/>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income tax benefit associated with lower earnings at PAA, including goodwill impairment losses, on income attributable to PAGP.</w:t>
      </w:r>
    </w:p>
    <w:p>
      <w:pPr>
        <w:spacing w:after="0" w:line="27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invested $785 million in midstream infrastructure projects during the nine months ended September 30, 2020, which primarily related to projects under development in the Permian Basin. Additionally, during the first quarter of 2020, we acquired approximately $310 million of assets, which primarily included a crude oil gathering system located in the Delaware Basin. See the “—Acquisitions and Capital Projects” section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June 2020, PAA completed the issuance of $750 million, 3.80% senior notes due September 2030. We used the net proceeds from this offering of $742 million, after deducting the underwriting discount and offering expenses, to repay the principal amounts of PAA’s 5.00% senior notes due February 2021 (which were redeemed on November 3, 2020). Prior to such repayment, we used a portion of the proceeds to repay outstanding borrowings under PAA’s commercial paper program and credit facilities and for general partnership purposes.</w:t>
      </w:r>
    </w:p>
    <w:p>
      <w:pPr>
        <w:spacing w:after="0" w:line="21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paid approximately $667 million of cash distributions to our Class A shareholders and noncontrolling interests during the nine months ended September 30, 2020.</w:t>
      </w:r>
    </w:p>
    <w:p>
      <w:pPr>
        <w:spacing w:after="0" w:line="19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7"/>
          <w:szCs w:val="17"/>
          <w:color w:val="auto"/>
        </w:rPr>
        <w:t>On November 2, 2020, we announced that the board of directors of our general partner has approved a $500 million common equity repurchase program (the “Program”) to be utilized as an additional method of returning capital to investors. The Program authorizes the repurchase from time to time of up to $500 million of PAA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 common units and PAGP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PAA common units or PAGP Class A shares. Any PAA common units or PAGP Class A shares that are repurchased will be canceled.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investment capital and maintenance capital (in millions):</w:t>
      </w:r>
    </w:p>
    <w:p>
      <w:pPr>
        <w:spacing w:after="0" w:line="27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capital</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 (3)</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(3)</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824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360" w:hanging="11"/>
        <w:spacing w:after="0" w:line="277" w:lineRule="auto"/>
        <w:rPr>
          <w:sz w:val="20"/>
          <w:szCs w:val="20"/>
          <w:color w:val="auto"/>
        </w:rPr>
      </w:pPr>
      <w:r>
        <w:rPr>
          <w:rFonts w:ascii="Arial" w:cs="Arial" w:eastAsia="Arial" w:hAnsi="Arial"/>
          <w:sz w:val="18"/>
          <w:szCs w:val="18"/>
          <w:color w:val="auto"/>
        </w:rPr>
        <w:t>“Investment capital” was previously termed “Expansion capital”. Although what is included in this category has not changed, we consider the term “Investment capital” to be more descriptive.</w:t>
      </w:r>
    </w:p>
    <w:p>
      <w:pPr>
        <w:spacing w:after="0" w:line="62" w:lineRule="exact"/>
        <w:rPr>
          <w:sz w:val="20"/>
          <w:szCs w:val="20"/>
          <w:color w:val="auto"/>
        </w:rPr>
      </w:pPr>
    </w:p>
    <w:p>
      <w:pPr>
        <w:ind w:right="140" w:hanging="11"/>
        <w:spacing w:after="0" w:line="277" w:lineRule="auto"/>
        <w:rPr>
          <w:sz w:val="20"/>
          <w:szCs w:val="20"/>
          <w:color w:val="auto"/>
        </w:rPr>
      </w:pPr>
      <w:r>
        <w:rPr>
          <w:rFonts w:ascii="Arial" w:cs="Arial" w:eastAsia="Arial" w:hAnsi="Arial"/>
          <w:sz w:val="18"/>
          <w:szCs w:val="18"/>
          <w:color w:val="auto"/>
        </w:rPr>
        <w:t>Contributions to unconsolidated entities related to investment capital projects of such entities are recognized in “Investment capital.” We account for our investments in such entities under the equity method of accounting.</w:t>
      </w:r>
    </w:p>
    <w:p>
      <w:pPr>
        <w:spacing w:after="0" w:line="62" w:lineRule="exact"/>
        <w:rPr>
          <w:sz w:val="20"/>
          <w:szCs w:val="20"/>
          <w:color w:val="auto"/>
        </w:rPr>
      </w:pPr>
    </w:p>
    <w:p>
      <w:pPr>
        <w:jc w:val="both"/>
        <w:ind w:right="24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Capital Projects</w:t>
      </w:r>
    </w:p>
    <w:p>
      <w:pPr>
        <w:spacing w:after="0" w:line="22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April 2020, in response to the current dynamic and uncertain market conditions, we announced our plan to significantly reduce and continue to challenge our capital program. Total investment capital for 2020/2021 is now targeted to be approximately $1.45 billion, or $850 million (37%) lower than the previously targeted $2.3 billion investment capital program, and $1.45 billion (50%) lower when eliminating $600 million of assumed joint venture project financing (net to our share) for the Red Oak project, which was deferred in March 2020. Subsequently, the partners of Red Oak determined that the project would not proceed as previously contemplated. The balance of the investment capital reductions relate to cancellations, cost savings and scope adjustments to other investment capital projects. The following table summarizes our notable projects in progress during 2020 and the estimated cost for the year ending December 31, 2020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Projects</w:t>
            </w: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Long-haul Pipeline Projects (Non-Permian)</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Selected Facilities/Downstream Projects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9680" w:type="dxa"/>
            <w:vAlign w:val="bottom"/>
            <w:gridSpan w:val="2"/>
          </w:tcPr>
          <w:p>
            <w:pPr>
              <w:ind w:left="120"/>
              <w:spacing w:after="0"/>
              <w:rPr>
                <w:sz w:val="20"/>
                <w:szCs w:val="20"/>
                <w:color w:val="auto"/>
              </w:rPr>
            </w:pPr>
            <w:r>
              <w:rPr>
                <w:rFonts w:ascii="Arial" w:cs="Arial" w:eastAsia="Arial" w:hAnsi="Arial"/>
                <w:sz w:val="18"/>
                <w:szCs w:val="18"/>
                <w:color w:val="auto"/>
              </w:rPr>
              <w:t>Total Projected 2020 Investment Capital Expenditures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136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8"/>
        </w:trPr>
        <w:tc>
          <w:tcPr>
            <w:tcW w:w="1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ind w:left="46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30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line="205" w:lineRule="auto"/>
        <w:rPr>
          <w:sz w:val="20"/>
          <w:szCs w:val="20"/>
          <w:color w:val="auto"/>
        </w:rPr>
      </w:pPr>
      <w:r>
        <w:rPr>
          <w:rFonts w:ascii="Arial" w:cs="Arial" w:eastAsia="Arial" w:hAnsi="Arial"/>
          <w:sz w:val="13"/>
          <w:szCs w:val="13"/>
          <w:color w:val="auto"/>
        </w:rPr>
        <w:t>Transportation Segment Adjusted EBITDA</w:t>
      </w:r>
    </w:p>
    <w:p>
      <w:pPr>
        <w:ind w:left="180"/>
        <w:spacing w:after="0"/>
        <w:rPr>
          <w:sz w:val="20"/>
          <w:szCs w:val="20"/>
          <w:color w:val="auto"/>
        </w:rPr>
      </w:pPr>
      <w:r>
        <w:rPr>
          <w:rFonts w:ascii="Arial" w:cs="Arial" w:eastAsia="Arial" w:hAnsi="Arial"/>
          <w:sz w:val="12"/>
          <w:szCs w:val="12"/>
          <w:color w:val="auto"/>
        </w:rPr>
        <w:t>(1)</w:t>
      </w:r>
    </w:p>
    <w:p>
      <w:pPr>
        <w:spacing w:after="0" w:line="73" w:lineRule="exact"/>
        <w:rPr>
          <w:sz w:val="20"/>
          <w:szCs w:val="20"/>
          <w:color w:val="auto"/>
        </w:rPr>
      </w:pPr>
    </w:p>
    <w:p>
      <w:pPr>
        <w:ind w:left="200" w:right="1120" w:hanging="179"/>
        <w:spacing w:after="0" w:line="214" w:lineRule="auto"/>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p>
      <w:pPr>
        <w:spacing w:after="0" w:line="1" w:lineRule="exact"/>
        <w:rPr>
          <w:sz w:val="20"/>
          <w:szCs w:val="20"/>
          <w:color w:val="auto"/>
        </w:rPr>
      </w:pPr>
    </w:p>
    <w:p>
      <w:pPr>
        <w:ind w:left="180" w:right="260" w:hanging="161"/>
        <w:spacing w:after="0" w:line="206" w:lineRule="auto"/>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Adjustments:</w:t>
      </w:r>
    </w:p>
    <w:p>
      <w:pPr>
        <w:spacing w:after="0" w:line="7" w:lineRule="exact"/>
        <w:rPr>
          <w:sz w:val="20"/>
          <w:szCs w:val="20"/>
          <w:color w:val="auto"/>
        </w:rPr>
      </w:pPr>
    </w:p>
    <w:p>
      <w:pPr>
        <w:ind w:left="220" w:right="580"/>
        <w:spacing w:after="0" w:line="248" w:lineRule="auto"/>
        <w:rPr>
          <w:sz w:val="20"/>
          <w:szCs w:val="20"/>
          <w:color w:val="auto"/>
        </w:rPr>
      </w:pPr>
      <w:r>
        <w:rPr>
          <w:rFonts w:ascii="Arial" w:cs="Arial" w:eastAsia="Arial" w:hAnsi="Arial"/>
          <w:sz w:val="17"/>
          <w:szCs w:val="17"/>
          <w:color w:val="auto"/>
        </w:rPr>
        <w:t>Depreciation and amortization of unconsolidated entities</w:t>
      </w:r>
    </w:p>
    <w:p>
      <w:pPr>
        <w:spacing w:after="0" w:line="1" w:lineRule="exact"/>
        <w:rPr>
          <w:sz w:val="20"/>
          <w:szCs w:val="20"/>
          <w:color w:val="auto"/>
        </w:rPr>
      </w:pPr>
    </w:p>
    <w:p>
      <w:pPr>
        <w:ind w:left="220"/>
        <w:spacing w:after="0" w:line="248" w:lineRule="auto"/>
        <w:rPr>
          <w:sz w:val="20"/>
          <w:szCs w:val="20"/>
          <w:color w:val="auto"/>
        </w:rPr>
      </w:pPr>
      <w:r>
        <w:rPr>
          <w:rFonts w:ascii="Arial" w:cs="Arial" w:eastAsia="Arial" w:hAnsi="Arial"/>
          <w:sz w:val="17"/>
          <w:szCs w:val="17"/>
          <w:color w:val="auto"/>
        </w:rPr>
        <w:t>Selected items impacting comparability - Segment Adjusted EBITDA</w:t>
      </w:r>
    </w:p>
    <w:p>
      <w:pPr>
        <w:spacing w:after="0" w:line="1" w:lineRule="exact"/>
        <w:rPr>
          <w:sz w:val="20"/>
          <w:szCs w:val="20"/>
          <w:color w:val="auto"/>
        </w:rPr>
      </w:pPr>
    </w:p>
    <w:p>
      <w:pPr>
        <w:ind w:left="180" w:right="340" w:hanging="161"/>
        <w:spacing w:after="0" w:line="234" w:lineRule="auto"/>
        <w:rPr>
          <w:sz w:val="20"/>
          <w:szCs w:val="20"/>
          <w:color w:val="auto"/>
        </w:rPr>
      </w:pPr>
      <w:r>
        <w:rPr>
          <w:rFonts w:ascii="Arial" w:cs="Arial" w:eastAsia="Arial" w:hAnsi="Arial"/>
          <w:sz w:val="18"/>
          <w:szCs w:val="18"/>
          <w:color w:val="auto"/>
        </w:rPr>
        <w:t>Unallocated general and administrative expenses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23" w:lineRule="exact"/>
        <w:rPr>
          <w:sz w:val="20"/>
          <w:szCs w:val="20"/>
          <w:color w:val="auto"/>
        </w:rPr>
      </w:pPr>
    </w:p>
    <w:p>
      <w:pPr>
        <w:ind w:left="180" w:right="420" w:hanging="161"/>
        <w:spacing w:after="0" w:line="234" w:lineRule="auto"/>
        <w:rPr>
          <w:sz w:val="20"/>
          <w:szCs w:val="20"/>
          <w:color w:val="auto"/>
        </w:rPr>
      </w:pPr>
      <w:r>
        <w:rPr>
          <w:rFonts w:ascii="Arial" w:cs="Arial" w:eastAsia="Arial" w:hAnsi="Arial"/>
          <w:sz w:val="18"/>
          <w:szCs w:val="18"/>
          <w:color w:val="auto"/>
        </w:rPr>
        <w:t>Gains/(losses) on asset sales and asset impairments,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impairment losses</w:t>
      </w:r>
    </w:p>
    <w:p>
      <w:pPr>
        <w:spacing w:after="0" w:line="23" w:lineRule="exact"/>
        <w:rPr>
          <w:sz w:val="20"/>
          <w:szCs w:val="20"/>
          <w:color w:val="auto"/>
        </w:rPr>
      </w:pPr>
    </w:p>
    <w:p>
      <w:pPr>
        <w:ind w:left="180" w:right="300" w:hanging="161"/>
        <w:spacing w:after="0" w:line="248" w:lineRule="auto"/>
        <w:rPr>
          <w:sz w:val="20"/>
          <w:szCs w:val="20"/>
          <w:color w:val="auto"/>
        </w:rPr>
      </w:pPr>
      <w:r>
        <w:rPr>
          <w:rFonts w:ascii="Arial" w:cs="Arial" w:eastAsia="Arial" w:hAnsi="Arial"/>
          <w:sz w:val="17"/>
          <w:szCs w:val="17"/>
          <w:color w:val="auto"/>
        </w:rPr>
        <w:t>Gain on/(impairment of) investments in unconsolidated entities,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income/(expense),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(expense)/benefit</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w:t>
      </w:r>
    </w:p>
    <w:p>
      <w:pPr>
        <w:spacing w:after="0" w:line="23" w:lineRule="exact"/>
        <w:rPr>
          <w:sz w:val="20"/>
          <w:szCs w:val="20"/>
          <w:color w:val="auto"/>
        </w:rPr>
      </w:pPr>
    </w:p>
    <w:p>
      <w:pPr>
        <w:ind w:left="180" w:right="660"/>
        <w:spacing w:after="0" w:line="257" w:lineRule="auto"/>
        <w:rPr>
          <w:sz w:val="20"/>
          <w:szCs w:val="20"/>
          <w:color w:val="auto"/>
        </w:rPr>
      </w:pPr>
      <w:r>
        <w:rPr>
          <w:rFonts w:ascii="Arial" w:cs="Arial" w:eastAsia="Arial" w:hAnsi="Arial"/>
          <w:sz w:val="17"/>
          <w:szCs w:val="17"/>
          <w:color w:val="auto"/>
        </w:rPr>
        <w:t>Net (income)/loss attributable to noncontrolling interests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PAGP</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5"/>
        </w:trPr>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405"/>
        </w:trPr>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634"/>
        </w:trPr>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405"/>
        </w:trPr>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4"/>
        </w:trPr>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04"/>
        </w:trPr>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2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404"/>
        </w:trPr>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r>
      <w:tr>
        <w:trPr>
          <w:trHeight w:val="224"/>
        </w:trPr>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04"/>
        </w:trPr>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-3488690</wp:posOffset>
            </wp:positionV>
            <wp:extent cx="7132320" cy="4448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448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05"/>
        </w:trPr>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405"/>
        </w:trPr>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634"/>
        </w:trPr>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4"/>
        </w:trPr>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4"/>
        </w:trPr>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404"/>
        </w:trPr>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201 %</w:t>
            </w:r>
          </w:p>
        </w:tc>
      </w:tr>
      <w:tr>
        <w:trPr>
          <w:trHeight w:val="224"/>
        </w:trPr>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404"/>
        </w:trPr>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1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226 %</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180" w:space="160"/>
            <w:col w:w="3820" w:space="220"/>
            <w:col w:w="3860"/>
          </w:cols>
          <w:pgMar w:left="320" w:top="125" w:right="339" w:bottom="1440" w:gutter="0" w:footer="0" w:header="0"/>
          <w:type w:val="continuous"/>
        </w:sectPr>
      </w:pP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w w:val="96"/>
              </w:rPr>
              <w:t>Basic net income/(loss) per Class A share</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(0.32)</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w w:val="93"/>
              </w:rPr>
              <w:t>Diluted net income/(loss) per Class A share</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(0.32)</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6"/>
        </w:trPr>
        <w:tc>
          <w:tcPr>
            <w:tcW w:w="3240" w:type="dxa"/>
            <w:vAlign w:val="bottom"/>
          </w:tcPr>
          <w:p>
            <w:pPr>
              <w:spacing w:after="0" w:line="176" w:lineRule="exact"/>
              <w:rPr>
                <w:sz w:val="20"/>
                <w:szCs w:val="20"/>
                <w:color w:val="auto"/>
              </w:rPr>
            </w:pPr>
            <w:r>
              <w:rPr>
                <w:rFonts w:ascii="Arial" w:cs="Arial" w:eastAsia="Arial" w:hAnsi="Arial"/>
                <w:sz w:val="18"/>
                <w:szCs w:val="18"/>
                <w:color w:val="auto"/>
              </w:rPr>
              <w:t>Basic weighted average Class A shares</w:t>
            </w:r>
          </w:p>
        </w:tc>
        <w:tc>
          <w:tcPr>
            <w:tcW w:w="360" w:type="dxa"/>
            <w:vAlign w:val="bottom"/>
          </w:tcPr>
          <w:p>
            <w:pPr>
              <w:spacing w:after="0"/>
              <w:rPr>
                <w:sz w:val="15"/>
                <w:szCs w:val="15"/>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15"/>
                <w:szCs w:val="15"/>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5"/>
                <w:szCs w:val="15"/>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18</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line="176" w:lineRule="exact"/>
              <w:rPr>
                <w:sz w:val="20"/>
                <w:szCs w:val="20"/>
                <w:color w:val="auto"/>
              </w:rPr>
            </w:pPr>
            <w:r>
              <w:rPr>
                <w:rFonts w:ascii="Arial" w:cs="Arial" w:eastAsia="Arial" w:hAnsi="Arial"/>
                <w:sz w:val="18"/>
                <w:szCs w:val="18"/>
                <w:color w:val="auto"/>
                <w:w w:val="97"/>
              </w:rPr>
              <w:t>Diluted weighted average Class A shares</w:t>
            </w:r>
          </w:p>
        </w:tc>
        <w:tc>
          <w:tcPr>
            <w:tcW w:w="360" w:type="dxa"/>
            <w:vAlign w:val="bottom"/>
          </w:tcPr>
          <w:p>
            <w:pPr>
              <w:spacing w:after="0"/>
              <w:rPr>
                <w:sz w:val="15"/>
                <w:szCs w:val="15"/>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15"/>
                <w:szCs w:val="15"/>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5"/>
                <w:szCs w:val="15"/>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18</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(4.70)</w:t>
            </w: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(4.69)</w:t>
            </w: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405"/>
        </w:trPr>
        <w:tc>
          <w:tcPr>
            <w:tcW w:w="22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4"/>
                <w:szCs w:val="24"/>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8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405"/>
        </w:trPr>
        <w:tc>
          <w:tcPr>
            <w:tcW w:w="22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24"/>
                <w:szCs w:val="24"/>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200" w:lineRule="exact"/>
        <w:rPr>
          <w:sz w:val="20"/>
          <w:szCs w:val="20"/>
          <w:color w:val="auto"/>
        </w:rPr>
      </w:pPr>
    </w:p>
    <w:p>
      <w:pPr>
        <w:sectPr>
          <w:pgSz w:w="11900" w:h="16838" w:orient="portrait"/>
          <w:cols w:equalWidth="0" w:num="2">
            <w:col w:w="7140" w:space="260"/>
            <w:col w:w="3840"/>
          </w:cols>
          <w:pgMar w:left="320" w:top="125" w:right="339" w:bottom="1440" w:gutter="0" w:footer="0" w:header="0"/>
          <w:type w:val="continuous"/>
        </w:sectPr>
      </w:pPr>
    </w:p>
    <w:p>
      <w:pPr>
        <w:spacing w:after="0" w:line="304"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94" w:lineRule="exact"/>
        <w:rPr>
          <w:sz w:val="20"/>
          <w:szCs w:val="20"/>
          <w:color w:val="auto"/>
        </w:rPr>
      </w:pPr>
    </w:p>
    <w:p>
      <w:pPr>
        <w:ind w:left="660" w:right="280" w:hanging="652"/>
        <w:spacing w:after="0" w:line="269" w:lineRule="auto"/>
        <w:tabs>
          <w:tab w:leader="none" w:pos="64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w:t>
      </w:r>
    </w:p>
    <w:p>
      <w:pPr>
        <w:spacing w:after="0" w:line="19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primary additional measure used by management is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w:t>
      </w:r>
    </w:p>
    <w:p>
      <w:pPr>
        <w:spacing w:after="0" w:line="14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Income/(Loss), the most directly comparable measure as reported in accordance with GAAP, and should be viewed in addition to, and not in lieu of, our Condensed Consolidated Financial Statements and accompanying notes.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Management believes that the presentation of Adjusted EBITDA provides useful information to investors regarding our performance and results of operations because this measure,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 Adjusted EBITDA from Net Income/(Loss) (in millions):</w:t>
      </w:r>
    </w:p>
    <w:p>
      <w:pPr>
        <w:sectPr>
          <w:pgSz w:w="11900" w:h="16838" w:orient="portrait"/>
          <w:cols w:equalWidth="0" w:num="1">
            <w:col w:w="11240"/>
          </w:cols>
          <w:pgMar w:left="320" w:top="125" w:right="339" w:bottom="1440" w:gutter="0" w:footer="0" w:header="0"/>
        </w:sect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80" w:type="dxa"/>
            <w:vAlign w:val="bottom"/>
            <w:gridSpan w:val="3"/>
            <w:vMerge w:val="restart"/>
          </w:tcPr>
          <w:p>
            <w:pPr>
              <w:ind w:left="400"/>
              <w:spacing w:after="0"/>
              <w:rPr>
                <w:sz w:val="20"/>
                <w:szCs w:val="20"/>
                <w:color w:val="auto"/>
              </w:rPr>
            </w:pPr>
            <w:r>
              <w:rPr>
                <w:rFonts w:ascii="Arial" w:cs="Arial" w:eastAsia="Arial" w:hAnsi="Arial"/>
                <w:sz w:val="18"/>
                <w:szCs w:val="18"/>
                <w:color w:val="auto"/>
                <w:w w:val="92"/>
              </w:rPr>
              <w:t>Variance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3320" w:type="dxa"/>
            <w:vAlign w:val="bottom"/>
          </w:tcPr>
          <w:p>
            <w:pPr>
              <w:spacing w:after="0"/>
              <w:rPr>
                <w:sz w:val="20"/>
                <w:szCs w:val="20"/>
                <w:color w:val="auto"/>
              </w:rPr>
            </w:pPr>
            <w:r>
              <w:rPr>
                <w:rFonts w:ascii="Arial" w:cs="Arial" w:eastAsia="Arial" w:hAnsi="Arial"/>
                <w:sz w:val="18"/>
                <w:szCs w:val="18"/>
                <w:color w:val="auto"/>
              </w:rPr>
              <w:t>Net income/(loss)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Add/(Subtract):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320" w:type="dxa"/>
            <w:vAlign w:val="bottom"/>
          </w:tcPr>
          <w:p>
            <w:pPr>
              <w:ind w:left="100"/>
              <w:spacing w:after="0"/>
              <w:rPr>
                <w:sz w:val="20"/>
                <w:szCs w:val="20"/>
                <w:color w:val="auto"/>
              </w:rPr>
            </w:pPr>
            <w:r>
              <w:rPr>
                <w:rFonts w:ascii="Arial" w:cs="Arial" w:eastAsia="Arial" w:hAnsi="Arial"/>
                <w:sz w:val="18"/>
                <w:szCs w:val="18"/>
                <w:color w:val="auto"/>
              </w:rPr>
              <w:t>Income tax expense/(benefit)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33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76"/>
        </w:trPr>
        <w:tc>
          <w:tcPr>
            <w:tcW w:w="3320" w:type="dxa"/>
            <w:vAlign w:val="bottom"/>
          </w:tcPr>
          <w:p>
            <w:pPr>
              <w:ind w:left="100"/>
              <w:spacing w:after="0" w:line="176" w:lineRule="exact"/>
              <w:rPr>
                <w:sz w:val="20"/>
                <w:szCs w:val="20"/>
                <w:color w:val="auto"/>
              </w:rPr>
            </w:pPr>
            <w:r>
              <w:rPr>
                <w:rFonts w:ascii="Arial" w:cs="Arial" w:eastAsia="Arial" w:hAnsi="Arial"/>
                <w:sz w:val="18"/>
                <w:szCs w:val="18"/>
                <w:color w:val="auto"/>
              </w:rPr>
              <w:t>(Gains)/losses on asset sales and asset</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9"/>
        </w:trPr>
        <w:tc>
          <w:tcPr>
            <w:tcW w:w="3320" w:type="dxa"/>
            <w:vAlign w:val="bottom"/>
          </w:tcPr>
          <w:p>
            <w:pPr>
              <w:ind w:left="100"/>
              <w:spacing w:after="0"/>
              <w:rPr>
                <w:sz w:val="20"/>
                <w:szCs w:val="20"/>
                <w:color w:val="auto"/>
              </w:rPr>
            </w:pPr>
            <w:r>
              <w:rPr>
                <w:rFonts w:ascii="Arial" w:cs="Arial" w:eastAsia="Arial" w:hAnsi="Arial"/>
                <w:sz w:val="18"/>
                <w:szCs w:val="18"/>
                <w:color w:val="auto"/>
              </w:rPr>
              <w:t>impairments, net</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00"/>
              <w:spacing w:after="0"/>
              <w:rPr>
                <w:sz w:val="20"/>
                <w:szCs w:val="20"/>
                <w:color w:val="auto"/>
              </w:rPr>
            </w:pPr>
            <w:r>
              <w:rPr>
                <w:rFonts w:ascii="Arial" w:cs="Arial" w:eastAsia="Arial" w:hAnsi="Arial"/>
                <w:sz w:val="18"/>
                <w:szCs w:val="18"/>
                <w:color w:val="auto"/>
              </w:rPr>
              <w:t>Goodwill impairment losses</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6"/>
        </w:trPr>
        <w:tc>
          <w:tcPr>
            <w:tcW w:w="3320" w:type="dxa"/>
            <w:vAlign w:val="bottom"/>
          </w:tcPr>
          <w:p>
            <w:pPr>
              <w:ind w:left="100"/>
              <w:spacing w:after="0" w:line="176" w:lineRule="exact"/>
              <w:rPr>
                <w:sz w:val="20"/>
                <w:szCs w:val="20"/>
                <w:color w:val="auto"/>
              </w:rPr>
            </w:pPr>
            <w:r>
              <w:rPr>
                <w:rFonts w:ascii="Arial" w:cs="Arial" w:eastAsia="Arial" w:hAnsi="Arial"/>
                <w:sz w:val="18"/>
                <w:szCs w:val="18"/>
                <w:color w:val="auto"/>
              </w:rPr>
              <w:t>(Gain on)/impairment of investments in</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100"/>
              <w:spacing w:after="0"/>
              <w:rPr>
                <w:sz w:val="20"/>
                <w:szCs w:val="20"/>
                <w:color w:val="auto"/>
              </w:rPr>
            </w:pPr>
            <w:r>
              <w:rPr>
                <w:rFonts w:ascii="Arial" w:cs="Arial" w:eastAsia="Arial" w:hAnsi="Arial"/>
                <w:sz w:val="18"/>
                <w:szCs w:val="18"/>
                <w:color w:val="auto"/>
              </w:rPr>
              <w:t>unconsolidated entities, net</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120"/>
              <w:spacing w:after="0" w:line="176" w:lineRule="exact"/>
              <w:rPr>
                <w:sz w:val="20"/>
                <w:szCs w:val="20"/>
                <w:color w:val="auto"/>
              </w:rPr>
            </w:pPr>
            <w:r>
              <w:rPr>
                <w:rFonts w:ascii="Arial" w:cs="Arial" w:eastAsia="Arial" w:hAnsi="Arial"/>
                <w:sz w:val="18"/>
                <w:szCs w:val="18"/>
                <w:color w:val="auto"/>
              </w:rPr>
              <w:t>Depreciation and amortization of</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vMerge w:val="restart"/>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320" w:type="dxa"/>
            <w:vAlign w:val="bottom"/>
          </w:tcPr>
          <w:p>
            <w:pPr>
              <w:ind w:left="120"/>
              <w:spacing w:after="0" w:line="229"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00"/>
              <w:spacing w:after="0"/>
              <w:rPr>
                <w:sz w:val="20"/>
                <w:szCs w:val="20"/>
                <w:color w:val="auto"/>
              </w:rPr>
            </w:pPr>
            <w:r>
              <w:rPr>
                <w:rFonts w:ascii="Arial" w:cs="Arial" w:eastAsia="Arial" w:hAnsi="Arial"/>
                <w:sz w:val="18"/>
                <w:szCs w:val="18"/>
                <w:color w:val="auto"/>
                <w:w w:val="99"/>
              </w:rPr>
              <w:t>Selected Items Impacting Comparability:</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w w:val="97"/>
              </w:rPr>
              <w:t>(Gains)/losses from derivative activities,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380"/>
              <w:spacing w:after="0" w:line="176" w:lineRule="exact"/>
              <w:rPr>
                <w:sz w:val="20"/>
                <w:szCs w:val="20"/>
                <w:color w:val="auto"/>
              </w:rPr>
            </w:pPr>
            <w:r>
              <w:rPr>
                <w:rFonts w:ascii="Arial" w:cs="Arial" w:eastAsia="Arial" w:hAnsi="Arial"/>
                <w:sz w:val="18"/>
                <w:szCs w:val="18"/>
                <w:color w:val="auto"/>
                <w:w w:val="96"/>
              </w:rPr>
              <w:t>net of inventory valuation adjustments</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3320" w:type="dxa"/>
            <w:vAlign w:val="bottom"/>
          </w:tcPr>
          <w:p>
            <w:pPr>
              <w:ind w:left="380"/>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w w:val="95"/>
              </w:rPr>
              <w:t>Long-term inventory costing adjustments</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3320" w:type="dxa"/>
            <w:vAlign w:val="bottom"/>
          </w:tcPr>
          <w:p>
            <w:pPr>
              <w:ind w:left="380"/>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rPr>
              <w:t>Deficiencies under minimum volume</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Pr>
          <w:p>
            <w:pPr>
              <w:ind w:left="380"/>
              <w:spacing w:after="0" w:line="223"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320" w:type="dxa"/>
            <w:vAlign w:val="bottom"/>
          </w:tcPr>
          <w:p>
            <w:pPr>
              <w:ind w:left="220"/>
              <w:spacing w:after="0" w:line="235" w:lineRule="exact"/>
              <w:rPr>
                <w:sz w:val="20"/>
                <w:szCs w:val="20"/>
                <w:color w:val="auto"/>
              </w:rPr>
            </w:pPr>
            <w:r>
              <w:rPr>
                <w:rFonts w:ascii="Arial" w:cs="Arial" w:eastAsia="Arial" w:hAnsi="Arial"/>
                <w:sz w:val="18"/>
                <w:szCs w:val="18"/>
                <w:color w:val="auto"/>
                <w:w w:val="92"/>
              </w:rPr>
              <w:t xml:space="preserve">Equity-indexed compensation expense </w:t>
            </w:r>
            <w:r>
              <w:rPr>
                <w:rFonts w:ascii="Arial" w:cs="Arial" w:eastAsia="Arial" w:hAnsi="Arial"/>
                <w:sz w:val="23"/>
                <w:szCs w:val="23"/>
                <w:color w:val="auto"/>
                <w:w w:val="92"/>
                <w:vertAlign w:val="superscript"/>
              </w:rPr>
              <w:t>(5)</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rPr>
              <w:t>Net (gain)/loss on foreign currency</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Pr>
          <w:p>
            <w:pPr>
              <w:ind w:left="380"/>
              <w:spacing w:after="0" w:line="223"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(6)</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320" w:type="dxa"/>
            <w:vAlign w:val="bottom"/>
          </w:tcPr>
          <w:p>
            <w:pPr>
              <w:ind w:left="220"/>
              <w:spacing w:after="0" w:line="235" w:lineRule="exact"/>
              <w:rPr>
                <w:sz w:val="20"/>
                <w:szCs w:val="20"/>
                <w:color w:val="auto"/>
              </w:rPr>
            </w:pPr>
            <w:r>
              <w:rPr>
                <w:rFonts w:ascii="Arial" w:cs="Arial" w:eastAsia="Arial" w:hAnsi="Arial"/>
                <w:sz w:val="18"/>
                <w:szCs w:val="18"/>
                <w:color w:val="auto"/>
                <w:w w:val="90"/>
              </w:rPr>
              <w:t xml:space="preserve">Significant acquisition-related expenses </w:t>
            </w:r>
            <w:r>
              <w:rPr>
                <w:rFonts w:ascii="Arial" w:cs="Arial" w:eastAsia="Arial" w:hAnsi="Arial"/>
                <w:sz w:val="23"/>
                <w:szCs w:val="23"/>
                <w:color w:val="auto"/>
                <w:w w:val="90"/>
                <w:vertAlign w:val="superscript"/>
              </w:rPr>
              <w:t>(8)</w:t>
            </w: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100"/>
              <w:spacing w:after="0" w:line="156" w:lineRule="exact"/>
              <w:rPr>
                <w:sz w:val="20"/>
                <w:szCs w:val="20"/>
                <w:color w:val="auto"/>
              </w:rPr>
            </w:pPr>
            <w:r>
              <w:rPr>
                <w:rFonts w:ascii="Arial" w:cs="Arial" w:eastAsia="Arial" w:hAnsi="Arial"/>
                <w:sz w:val="18"/>
                <w:szCs w:val="18"/>
                <w:color w:val="auto"/>
                <w:w w:val="97"/>
              </w:rPr>
              <w:t>Selected Items Impacting Comparability -</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Pr>
          <w:p>
            <w:pPr>
              <w:ind w:left="100"/>
              <w:spacing w:after="0"/>
              <w:rPr>
                <w:sz w:val="20"/>
                <w:szCs w:val="20"/>
                <w:color w:val="auto"/>
              </w:rPr>
            </w:pPr>
            <w:r>
              <w:rPr>
                <w:rFonts w:ascii="Arial" w:cs="Arial" w:eastAsia="Arial" w:hAnsi="Arial"/>
                <w:sz w:val="18"/>
                <w:szCs w:val="18"/>
                <w:color w:val="auto"/>
              </w:rPr>
              <w:t>Segment Adjusted EBITDA</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320" w:type="dxa"/>
            <w:vAlign w:val="bottom"/>
          </w:tcPr>
          <w:p>
            <w:pPr>
              <w:ind w:left="220"/>
              <w:spacing w:after="0" w:line="235" w:lineRule="exact"/>
              <w:rPr>
                <w:sz w:val="20"/>
                <w:szCs w:val="20"/>
                <w:color w:val="auto"/>
              </w:rPr>
            </w:pPr>
            <w:r>
              <w:rPr>
                <w:rFonts w:ascii="Arial" w:cs="Arial" w:eastAsia="Arial" w:hAnsi="Arial"/>
                <w:sz w:val="18"/>
                <w:szCs w:val="18"/>
                <w:color w:val="auto"/>
                <w:w w:val="91"/>
              </w:rPr>
              <w:t xml:space="preserve">(Gains)/losses from derivative activities </w:t>
            </w:r>
            <w:r>
              <w:rPr>
                <w:rFonts w:ascii="Arial" w:cs="Arial" w:eastAsia="Arial" w:hAnsi="Arial"/>
                <w:sz w:val="23"/>
                <w:szCs w:val="23"/>
                <w:color w:val="auto"/>
                <w:w w:val="91"/>
                <w:vertAlign w:val="superscript"/>
              </w:rPr>
              <w:t>(2)</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rPr>
              <w:t>Net (gain)/loss on foreign currency</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380"/>
              <w:spacing w:after="0" w:line="229"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(6)</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rPr>
              <w:t>Net gain on early repayment of senior</w:t>
            </w:r>
          </w:p>
        </w:tc>
        <w:tc>
          <w:tcPr>
            <w:tcW w:w="18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80" w:type="dxa"/>
            <w:vAlign w:val="bottom"/>
            <w:gridSpan w:val="3"/>
            <w:vMerge w:val="restart"/>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3"/>
                <w:szCs w:val="23"/>
                <w:color w:val="auto"/>
                <w:vertAlign w:val="superscript"/>
              </w:rPr>
              <w:t>(9)</w:t>
            </w:r>
          </w:p>
        </w:tc>
        <w:tc>
          <w:tcPr>
            <w:tcW w:w="1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20" w:type="dxa"/>
            <w:vAlign w:val="bottom"/>
          </w:tcPr>
          <w:p>
            <w:pPr>
              <w:ind w:left="120"/>
              <w:spacing w:after="0" w:line="156" w:lineRule="exact"/>
              <w:rPr>
                <w:sz w:val="20"/>
                <w:szCs w:val="20"/>
                <w:color w:val="auto"/>
              </w:rPr>
            </w:pPr>
            <w:r>
              <w:rPr>
                <w:rFonts w:ascii="Arial" w:cs="Arial" w:eastAsia="Arial" w:hAnsi="Arial"/>
                <w:sz w:val="18"/>
                <w:szCs w:val="18"/>
                <w:color w:val="auto"/>
                <w:w w:val="96"/>
              </w:rPr>
              <w:t>Selected Items Impacting Comparability -</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120"/>
              <w:spacing w:after="0" w:line="176" w:lineRule="exact"/>
              <w:rPr>
                <w:sz w:val="20"/>
                <w:szCs w:val="20"/>
                <w:color w:val="auto"/>
              </w:rPr>
            </w:pPr>
            <w:r>
              <w:rPr>
                <w:rFonts w:ascii="Arial" w:cs="Arial" w:eastAsia="Arial" w:hAnsi="Arial"/>
                <w:sz w:val="18"/>
                <w:szCs w:val="18"/>
                <w:color w:val="auto"/>
              </w:rPr>
              <w:t>Adjusted</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(10)</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-4765675</wp:posOffset>
            </wp:positionV>
            <wp:extent cx="7132320" cy="5048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50488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457"/>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404"/>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743"/>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4"/>
        </w:trPr>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0"/>
        </w:trPr>
        <w:tc>
          <w:tcPr>
            <w:tcW w:w="2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3" w:lineRule="exact"/>
        <w:rPr>
          <w:sz w:val="20"/>
          <w:szCs w:val="20"/>
          <w:color w:val="auto"/>
        </w:rPr>
      </w:pPr>
    </w:p>
    <w:p>
      <w:pPr>
        <w:sectPr>
          <w:pgSz w:w="11900" w:h="16838" w:orient="portrait"/>
          <w:cols w:equalWidth="0" w:num="2">
            <w:col w:w="7140" w:space="220"/>
            <w:col w:w="3880"/>
          </w:cols>
          <w:pgMar w:left="320" w:top="125" w:right="339" w:bottom="1440" w:gutter="0" w:footer="0" w:header="0"/>
          <w:type w:val="continuous"/>
        </w:sectPr>
      </w:pPr>
    </w:p>
    <w:p>
      <w:pPr>
        <w:ind w:left="660" w:right="400" w:hanging="652"/>
        <w:spacing w:after="0" w:line="232" w:lineRule="auto"/>
        <w:tabs>
          <w:tab w:leader="none" w:pos="64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such unconsolidated entities when reviewing Adjusted EBITDA, similar to our consolidated assets.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hanging="11"/>
        <w:spacing w:after="0" w:line="271"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10 to our Condensed Consolidated Financial Statements for a comprehensive discussion regarding our derivatives and risk management activities.</w:t>
      </w:r>
    </w:p>
    <w:p>
      <w:pPr>
        <w:spacing w:after="0" w:line="70" w:lineRule="exact"/>
        <w:rPr>
          <w:sz w:val="20"/>
          <w:szCs w:val="20"/>
          <w:color w:val="auto"/>
        </w:rPr>
      </w:pPr>
    </w:p>
    <w:p>
      <w:pPr>
        <w:ind w:left="20" w:right="40" w:hanging="11"/>
        <w:spacing w:after="0" w:line="254" w:lineRule="auto"/>
        <w:rPr>
          <w:sz w:val="20"/>
          <w:szCs w:val="20"/>
          <w:color w:val="auto"/>
        </w:rPr>
      </w:pPr>
      <w:r>
        <w:rPr>
          <w:rFonts w:ascii="Arial" w:cs="Arial" w:eastAsia="Arial" w:hAnsi="Arial"/>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2019 Annual Report on Form 10-K for additional inventory disclosures.</w:t>
      </w:r>
    </w:p>
    <w:p>
      <w:pPr>
        <w:spacing w:after="0" w:line="87" w:lineRule="exact"/>
        <w:rPr>
          <w:sz w:val="20"/>
          <w:szCs w:val="20"/>
          <w:color w:val="auto"/>
        </w:rPr>
      </w:pPr>
    </w:p>
    <w:p>
      <w:pPr>
        <w:ind w:left="20" w:right="4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ind w:left="20" w:right="8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18 to our Consolidated Financial Statements included in Part IV of our 2019 Annual Report on Form 10-K for a comprehensive discussion regarding our equity-indexed compensation plans.</w:t>
      </w:r>
    </w:p>
    <w:p>
      <w:pPr>
        <w:spacing w:after="0" w:line="84" w:lineRule="exact"/>
        <w:rPr>
          <w:sz w:val="20"/>
          <w:szCs w:val="20"/>
          <w:color w:val="auto"/>
        </w:rPr>
      </w:pPr>
    </w:p>
    <w:p>
      <w:pPr>
        <w:ind w:left="20" w:right="20" w:hanging="11"/>
        <w:spacing w:after="0" w:line="30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 See Note 10 to our Condensed Consolidated Financial Statements for discussion regarding our currency exchange rate risk hedging activities.</w:t>
      </w:r>
    </w:p>
    <w:p>
      <w:pPr>
        <w:spacing w:after="0" w:line="49" w:lineRule="exact"/>
        <w:rPr>
          <w:sz w:val="20"/>
          <w:szCs w:val="20"/>
          <w:color w:val="auto"/>
        </w:rPr>
      </w:pPr>
    </w:p>
    <w:p>
      <w:pPr>
        <w:ind w:left="20" w:right="100" w:hanging="11"/>
        <w:spacing w:after="0" w:line="263"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to our Condensed Consolidated Financial Statements for additional information regarding the Line 901 incident.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Includes acquisition-related expenses associated with the Felix Midstream acquisition in February 2020. See Note 14 for additional information.</w:t>
      </w:r>
    </w:p>
    <w:p>
      <w:pPr>
        <w:spacing w:after="0" w:line="140" w:lineRule="exact"/>
        <w:rPr>
          <w:sz w:val="20"/>
          <w:szCs w:val="20"/>
          <w:color w:val="auto"/>
        </w:rPr>
      </w:pPr>
    </w:p>
    <w:p>
      <w:pPr>
        <w:ind w:left="20" w:right="520" w:hanging="11"/>
        <w:spacing w:after="0" w:line="277" w:lineRule="auto"/>
        <w:rPr>
          <w:sz w:val="20"/>
          <w:szCs w:val="20"/>
          <w:color w:val="auto"/>
        </w:rPr>
      </w:pPr>
      <w:r>
        <w:rPr>
          <w:rFonts w:ascii="Arial" w:cs="Arial" w:eastAsia="Arial" w:hAnsi="Arial"/>
          <w:sz w:val="18"/>
          <w:szCs w:val="18"/>
          <w:color w:val="auto"/>
        </w:rPr>
        <w:t>Includes net gains recognized in connection with the PAA’s repurchase of its outstanding senior notes on the open market. See Note 8 to our Condensed Consolidated Financial Statements for additional information.</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460" w:hanging="652"/>
        <w:spacing w:after="0" w:line="267" w:lineRule="auto"/>
        <w:tabs>
          <w:tab w:leader="none" w:pos="652"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income/(loss) attributable to PAGP.</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7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1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4"/>
                <w:szCs w:val="14"/>
                <w:color w:val="auto"/>
              </w:rPr>
            </w:pPr>
          </w:p>
        </w:tc>
        <w:tc>
          <w:tcPr>
            <w:tcW w:w="10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40" w:type="dxa"/>
            <w:vAlign w:val="bottom"/>
            <w:gridSpan w:val="5"/>
            <w:vMerge w:val="continue"/>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420" w:type="dxa"/>
            <w:vAlign w:val="bottom"/>
            <w:gridSpan w:val="5"/>
          </w:tcPr>
          <w:p>
            <w:pPr>
              <w:ind w:left="20"/>
              <w:spacing w:after="0"/>
              <w:rPr>
                <w:sz w:val="20"/>
                <w:szCs w:val="20"/>
                <w:color w:val="auto"/>
              </w:rPr>
            </w:pPr>
            <w:r>
              <w:rPr>
                <w:rFonts w:ascii="Arial" w:cs="Arial" w:eastAsia="Arial" w:hAnsi="Arial"/>
                <w:sz w:val="18"/>
                <w:szCs w:val="18"/>
                <w:color w:val="auto"/>
              </w:rPr>
              <w:t>Purchases and related costs</w:t>
            </w: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4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76"/>
        </w:trPr>
        <w:tc>
          <w:tcPr>
            <w:tcW w:w="34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42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20" w:type="dxa"/>
            <w:vAlign w:val="bottom"/>
            <w:gridSpan w:val="5"/>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3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60" w:type="dxa"/>
            <w:vAlign w:val="bottom"/>
            <w:gridSpan w:val="4"/>
          </w:tcPr>
          <w:p>
            <w:pPr>
              <w:ind w:left="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 w:type="dxa"/>
            <w:vAlign w:val="bottom"/>
            <w:shd w:val="clear" w:color="auto" w:fill="CCEEFF"/>
          </w:tcPr>
          <w:p>
            <w:pPr>
              <w:spacing w:after="0"/>
              <w:rPr>
                <w:sz w:val="15"/>
                <w:szCs w:val="15"/>
                <w:color w:val="auto"/>
              </w:rPr>
            </w:pPr>
          </w:p>
        </w:tc>
        <w:tc>
          <w:tcPr>
            <w:tcW w:w="3360" w:type="dxa"/>
            <w:vAlign w:val="bottom"/>
            <w:gridSpan w:val="4"/>
            <w:shd w:val="clear" w:color="auto" w:fill="CCEEFF"/>
          </w:tcPr>
          <w:p>
            <w:pPr>
              <w:ind w:left="60"/>
              <w:spacing w:after="0" w:line="176" w:lineRule="exact"/>
              <w:rPr>
                <w:sz w:val="20"/>
                <w:szCs w:val="20"/>
                <w:color w:val="auto"/>
              </w:rPr>
            </w:pPr>
            <w:r>
              <w:rPr>
                <w:rFonts w:ascii="Arial" w:cs="Arial" w:eastAsia="Arial" w:hAnsi="Arial"/>
                <w:sz w:val="18"/>
                <w:szCs w:val="18"/>
                <w:color w:val="auto"/>
              </w:rPr>
              <w:t>(Gains)/losses from derivative activities,</w:t>
            </w:r>
          </w:p>
        </w:tc>
        <w:tc>
          <w:tcPr>
            <w:tcW w:w="140" w:type="dxa"/>
            <w:vAlign w:val="bottom"/>
            <w:shd w:val="clear" w:color="auto" w:fill="CCEEFF"/>
          </w:tcPr>
          <w:p>
            <w:pPr>
              <w:spacing w:after="0"/>
              <w:rPr>
                <w:sz w:val="15"/>
                <w:szCs w:val="15"/>
                <w:color w:val="auto"/>
              </w:rPr>
            </w:pPr>
          </w:p>
        </w:tc>
        <w:tc>
          <w:tcPr>
            <w:tcW w:w="80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3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net of inventory valuation adjustments</w:t>
            </w:r>
          </w:p>
        </w:tc>
        <w:tc>
          <w:tcPr>
            <w:tcW w:w="140" w:type="dxa"/>
            <w:vAlign w:val="bottom"/>
            <w:shd w:val="clear" w:color="auto" w:fill="CCEEFF"/>
          </w:tcPr>
          <w:p>
            <w:pPr>
              <w:spacing w:after="0"/>
              <w:rPr>
                <w:sz w:val="19"/>
                <w:szCs w:val="19"/>
                <w:color w:val="auto"/>
              </w:rPr>
            </w:pPr>
          </w:p>
        </w:tc>
        <w:tc>
          <w:tcPr>
            <w:tcW w:w="800" w:type="dxa"/>
            <w:vAlign w:val="bottom"/>
            <w:gridSpan w:val="4"/>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4"/>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360" w:type="dxa"/>
            <w:vAlign w:val="bottom"/>
            <w:gridSpan w:val="4"/>
          </w:tcPr>
          <w:p>
            <w:pPr>
              <w:ind w:left="60"/>
              <w:spacing w:after="0" w:line="176" w:lineRule="exact"/>
              <w:rPr>
                <w:sz w:val="20"/>
                <w:szCs w:val="20"/>
                <w:color w:val="auto"/>
              </w:rPr>
            </w:pPr>
            <w:r>
              <w:rPr>
                <w:rFonts w:ascii="Arial" w:cs="Arial" w:eastAsia="Arial" w:hAnsi="Arial"/>
                <w:sz w:val="18"/>
                <w:szCs w:val="18"/>
                <w:color w:val="auto"/>
              </w:rPr>
              <w:t>Deficiencies under minimum volume</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tcPr>
          <w:p>
            <w:pPr>
              <w:ind w:left="60"/>
              <w:spacing w:after="0"/>
              <w:rPr>
                <w:sz w:val="20"/>
                <w:szCs w:val="20"/>
                <w:color w:val="auto"/>
              </w:rPr>
            </w:pPr>
            <w:r>
              <w:rPr>
                <w:rFonts w:ascii="Arial" w:cs="Arial" w:eastAsia="Arial" w:hAnsi="Arial"/>
                <w:sz w:val="18"/>
                <w:szCs w:val="18"/>
                <w:color w:val="auto"/>
              </w:rPr>
              <w:t>commitments, net</w:t>
            </w: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3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tcPr>
          <w:p>
            <w:pPr>
              <w:ind w:left="6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9"/>
                <w:szCs w:val="1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5"/>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3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Significant acquisition-related expenses</w:t>
            </w:r>
          </w:p>
        </w:tc>
        <w:tc>
          <w:tcPr>
            <w:tcW w:w="14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gridSpan w:val="5"/>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8"/>
                <w:szCs w:val="18"/>
                <w:color w:val="auto"/>
              </w:rPr>
              <w:t>Segment Adjusted EBITDA per barrel</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gridSpan w:val="5"/>
            <w:vMerge w:val="continue"/>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0.79</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0.71</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11 %</w:t>
            </w:r>
          </w:p>
        </w:tc>
        <w:tc>
          <w:tcPr>
            <w:tcW w:w="1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0.69</w:t>
            </w:r>
          </w:p>
        </w:tc>
        <w:tc>
          <w:tcPr>
            <w:tcW w:w="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507"/>
        </w:trPr>
        <w:tc>
          <w:tcPr>
            <w:tcW w:w="60" w:type="dxa"/>
            <w:vAlign w:val="bottom"/>
          </w:tcPr>
          <w:p>
            <w:pPr>
              <w:spacing w:after="0"/>
              <w:rPr>
                <w:sz w:val="24"/>
                <w:szCs w:val="24"/>
                <w:color w:val="auto"/>
              </w:rPr>
            </w:pPr>
          </w:p>
        </w:tc>
        <w:tc>
          <w:tcPr>
            <w:tcW w:w="3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40" w:type="dxa"/>
            <w:vAlign w:val="bottom"/>
          </w:tcPr>
          <w:p>
            <w:pPr>
              <w:spacing w:after="0"/>
              <w:rPr>
                <w:sz w:val="24"/>
                <w:szCs w:val="24"/>
                <w:color w:val="auto"/>
              </w:rPr>
            </w:pPr>
          </w:p>
        </w:tc>
        <w:tc>
          <w:tcPr>
            <w:tcW w:w="17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16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9"/>
          </w:tcPr>
          <w:p>
            <w:pPr>
              <w:ind w:left="6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24"/>
                <w:szCs w:val="24"/>
                <w:color w:val="auto"/>
              </w:rPr>
            </w:pPr>
          </w:p>
        </w:tc>
        <w:tc>
          <w:tcPr>
            <w:tcW w:w="104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Variance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3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9"/>
          </w:tcPr>
          <w:p>
            <w:pPr>
              <w:ind w:left="2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040" w:type="dxa"/>
            <w:vAlign w:val="bottom"/>
            <w:gridSpan w:val="5"/>
            <w:vMerge w:val="continue"/>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3300" w:type="dxa"/>
            <w:vAlign w:val="bottom"/>
            <w:gridSpan w:val="3"/>
          </w:tcPr>
          <w:p>
            <w:pPr>
              <w:ind w:left="20"/>
              <w:spacing w:after="0" w:line="184"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5"/>
          </w:tcPr>
          <w:p>
            <w:pPr>
              <w:spacing w:after="0"/>
              <w:rPr>
                <w:sz w:val="20"/>
                <w:szCs w:val="20"/>
                <w:color w:val="auto"/>
              </w:rPr>
            </w:pPr>
            <w:r>
              <w:rPr>
                <w:rFonts w:ascii="Arial" w:cs="Arial" w:eastAsia="Arial" w:hAnsi="Arial"/>
                <w:sz w:val="14"/>
                <w:szCs w:val="14"/>
                <w:b w:val="1"/>
                <w:bCs w:val="1"/>
                <w:color w:val="auto"/>
              </w:rPr>
              <w:t>Volumes</w:t>
            </w:r>
          </w:p>
        </w:tc>
        <w:tc>
          <w:tcPr>
            <w:tcW w:w="58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Volumes</w:t>
            </w:r>
          </w:p>
        </w:tc>
        <w:tc>
          <w:tcPr>
            <w:tcW w:w="58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tcPr>
          <w:p>
            <w:pPr>
              <w:ind w:left="120"/>
              <w:spacing w:after="0"/>
              <w:rPr>
                <w:sz w:val="20"/>
                <w:szCs w:val="20"/>
                <w:color w:val="auto"/>
              </w:rPr>
            </w:pPr>
            <w:r>
              <w:rPr>
                <w:rFonts w:ascii="Arial" w:cs="Arial" w:eastAsia="Arial" w:hAnsi="Arial"/>
                <w:sz w:val="18"/>
                <w:szCs w:val="18"/>
                <w:color w:val="auto"/>
              </w:rPr>
              <w:t>Crude oil pipelines (by region):</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60" w:type="dxa"/>
            <w:vAlign w:val="bottom"/>
            <w:gridSpan w:val="4"/>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tcPr>
          <w:p>
            <w:pPr>
              <w:ind w:left="220"/>
              <w:spacing w:after="0"/>
              <w:rPr>
                <w:sz w:val="20"/>
                <w:szCs w:val="20"/>
                <w:color w:val="auto"/>
              </w:rPr>
            </w:pPr>
            <w:r>
              <w:rPr>
                <w:rFonts w:ascii="Arial" w:cs="Arial" w:eastAsia="Arial" w:hAnsi="Arial"/>
                <w:sz w:val="18"/>
                <w:szCs w:val="18"/>
                <w:color w:val="auto"/>
              </w:rPr>
              <w:t>Gulf Coast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60" w:type="dxa"/>
            <w:vAlign w:val="bottom"/>
            <w:gridSpan w:val="4"/>
          </w:tcPr>
          <w:p>
            <w:pPr>
              <w:ind w:left="220"/>
              <w:spacing w:after="0"/>
              <w:rPr>
                <w:sz w:val="20"/>
                <w:szCs w:val="20"/>
                <w:color w:val="auto"/>
              </w:rPr>
            </w:pPr>
            <w:r>
              <w:rPr>
                <w:rFonts w:ascii="Arial" w:cs="Arial" w:eastAsia="Arial" w:hAnsi="Arial"/>
                <w:sz w:val="18"/>
                <w:szCs w:val="18"/>
                <w:color w:val="auto"/>
              </w:rPr>
              <w:t>Western</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9 %</w:t>
            </w:r>
          </w:p>
        </w:tc>
        <w:tc>
          <w:tcPr>
            <w:tcW w:w="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00" w:type="dxa"/>
            <w:vAlign w:val="bottom"/>
            <w:gridSpan w:val="3"/>
          </w:tcPr>
          <w:p>
            <w:pPr>
              <w:ind w:left="120"/>
              <w:spacing w:after="0"/>
              <w:rPr>
                <w:sz w:val="20"/>
                <w:szCs w:val="20"/>
                <w:color w:val="auto"/>
              </w:rPr>
            </w:pPr>
            <w:r>
              <w:rPr>
                <w:rFonts w:ascii="Arial" w:cs="Arial" w:eastAsia="Arial" w:hAnsi="Arial"/>
                <w:sz w:val="18"/>
                <w:szCs w:val="18"/>
                <w:color w:val="auto"/>
              </w:rPr>
              <w:t>Crude oil pipelines</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NGL pipelines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00" w:type="dxa"/>
            <w:vAlign w:val="bottom"/>
            <w:gridSpan w:val="3"/>
          </w:tcPr>
          <w:p>
            <w:pPr>
              <w:ind w:left="20"/>
              <w:spacing w:after="0"/>
              <w:rPr>
                <w:sz w:val="20"/>
                <w:szCs w:val="20"/>
                <w:color w:val="auto"/>
              </w:rPr>
            </w:pPr>
            <w:r>
              <w:rPr>
                <w:rFonts w:ascii="Arial" w:cs="Arial" w:eastAsia="Arial" w:hAnsi="Arial"/>
                <w:sz w:val="18"/>
                <w:szCs w:val="18"/>
                <w:color w:val="auto"/>
              </w:rPr>
              <w:t>Tariff activities total volumes</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Trucking volumes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300" w:type="dxa"/>
            <w:vAlign w:val="bottom"/>
            <w:gridSpan w:val="3"/>
          </w:tcPr>
          <w:p>
            <w:pPr>
              <w:ind w:left="20"/>
              <w:spacing w:after="0"/>
              <w:rPr>
                <w:sz w:val="20"/>
                <w:szCs w:val="20"/>
                <w:color w:val="auto"/>
              </w:rPr>
            </w:pPr>
            <w:r>
              <w:rPr>
                <w:rFonts w:ascii="Arial" w:cs="Arial" w:eastAsia="Arial" w:hAnsi="Arial"/>
                <w:sz w:val="18"/>
                <w:szCs w:val="18"/>
                <w:color w:val="auto"/>
              </w:rPr>
              <w:t>Transportation segment total volumes</w:t>
            </w:r>
          </w:p>
        </w:tc>
        <w:tc>
          <w:tcPr>
            <w:tcW w:w="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44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ectPr>
          <w:pgSz w:w="11900" w:h="16838" w:orient="portrait"/>
          <w:cols w:equalWidth="0" w:num="1">
            <w:col w:w="11240"/>
          </w:cols>
          <w:pgMar w:left="320" w:top="125" w:right="339" w:bottom="1440" w:gutter="0" w:footer="0" w:header="0"/>
          <w:type w:val="continuous"/>
        </w:sectPr>
      </w:pP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7"/>
          </w:tcPr>
          <w:p>
            <w:pPr>
              <w:jc w:val="center"/>
              <w:ind w:right="54"/>
              <w:spacing w:after="0" w:line="135" w:lineRule="exact"/>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2020-2019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4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0"/>
              </w:rPr>
              <w:t>Purchases and</w:t>
            </w:r>
          </w:p>
        </w:tc>
        <w:tc>
          <w:tcPr>
            <w:tcW w:w="140" w:type="dxa"/>
            <w:vAlign w:val="bottom"/>
          </w:tcPr>
          <w:p>
            <w:pPr>
              <w:spacing w:after="0"/>
              <w:rPr>
                <w:sz w:val="11"/>
                <w:szCs w:val="11"/>
                <w:color w:val="auto"/>
              </w:rPr>
            </w:pPr>
          </w:p>
        </w:tc>
        <w:tc>
          <w:tcPr>
            <w:tcW w:w="800" w:type="dxa"/>
            <w:vAlign w:val="bottom"/>
          </w:tcPr>
          <w:p>
            <w:pPr>
              <w:jc w:val="right"/>
              <w:ind w:right="174"/>
              <w:spacing w:after="0" w:line="130"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3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Related Costs</w:t>
            </w:r>
          </w:p>
        </w:tc>
        <w:tc>
          <w:tcPr>
            <w:tcW w:w="140" w:type="dxa"/>
            <w:vAlign w:val="bottom"/>
          </w:tcPr>
          <w:p>
            <w:pPr>
              <w:spacing w:after="0"/>
              <w:rPr>
                <w:sz w:val="16"/>
                <w:szCs w:val="16"/>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24"/>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Permian Basin region</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Rocky Mountain region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Canada region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regions, trucking and pipeline loss</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allowance revenue</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100"/>
              <w:spacing w:after="0"/>
              <w:rPr>
                <w:sz w:val="20"/>
                <w:szCs w:val="20"/>
                <w:color w:val="auto"/>
              </w:rPr>
            </w:pPr>
            <w:r>
              <w:rPr>
                <w:rFonts w:ascii="Arial" w:cs="Arial" w:eastAsia="Arial" w:hAnsi="Arial"/>
                <w:sz w:val="18"/>
                <w:szCs w:val="18"/>
                <w:color w:val="auto"/>
              </w:rPr>
              <w:t>Total variance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-1182370</wp:posOffset>
            </wp:positionV>
            <wp:extent cx="6275070" cy="1165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75070"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left="440" w:right="700"/>
        <w:spacing w:after="0" w:line="226" w:lineRule="auto"/>
        <w:rPr>
          <w:sz w:val="20"/>
          <w:szCs w:val="20"/>
          <w:color w:val="auto"/>
        </w:rPr>
      </w:pPr>
      <w:r>
        <w:rPr>
          <w:rFonts w:ascii="Arial" w:cs="Arial" w:eastAsia="Arial" w:hAnsi="Arial"/>
          <w:sz w:val="14"/>
          <w:szCs w:val="14"/>
          <w:b w:val="1"/>
          <w:bCs w:val="1"/>
          <w:color w:val="auto"/>
        </w:rPr>
        <w:t>Favorable/(Unfavorable) Variance Nine Months Ended September 30, 2020-2019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40" w:type="dxa"/>
            <w:vAlign w:val="bottom"/>
            <w:tcBorders>
              <w:top w:val="single" w:sz="8" w:color="auto"/>
            </w:tcBorders>
            <w:gridSpan w:val="3"/>
          </w:tcPr>
          <w:p>
            <w:pPr>
              <w:ind w:left="20"/>
              <w:spacing w:after="0" w:line="141" w:lineRule="exact"/>
              <w:rPr>
                <w:sz w:val="20"/>
                <w:szCs w:val="20"/>
                <w:color w:val="auto"/>
              </w:rPr>
            </w:pPr>
            <w:r>
              <w:rPr>
                <w:rFonts w:ascii="Arial" w:cs="Arial" w:eastAsia="Arial" w:hAnsi="Arial"/>
                <w:sz w:val="14"/>
                <w:szCs w:val="14"/>
                <w:b w:val="1"/>
                <w:bCs w:val="1"/>
                <w:color w:val="auto"/>
              </w:rPr>
              <w:t>Purchases and</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4"/>
              <w:spacing w:after="0" w:line="141"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Related Costs</w:t>
            </w:r>
          </w:p>
        </w:tc>
        <w:tc>
          <w:tcPr>
            <w:tcW w:w="160" w:type="dxa"/>
            <w:vAlign w:val="bottom"/>
          </w:tcPr>
          <w:p>
            <w:pPr>
              <w:spacing w:after="0"/>
              <w:rPr>
                <w:sz w:val="16"/>
                <w:szCs w:val="16"/>
                <w:color w:val="auto"/>
              </w:rPr>
            </w:pPr>
          </w:p>
        </w:tc>
        <w:tc>
          <w:tcPr>
            <w:tcW w:w="78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center"/>
              <w:ind w:left="150"/>
              <w:spacing w:after="0"/>
              <w:rPr>
                <w:sz w:val="20"/>
                <w:szCs w:val="20"/>
                <w:color w:val="auto"/>
              </w:rPr>
            </w:pPr>
            <w:r>
              <w:rPr>
                <w:rFonts w:ascii="Arial" w:cs="Arial" w:eastAsia="Arial" w:hAnsi="Arial"/>
                <w:sz w:val="18"/>
                <w:szCs w:val="18"/>
                <w:color w:val="auto"/>
                <w:w w:val="93"/>
              </w:rPr>
              <w:t>(50)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3"/>
              </w:rPr>
              <w:t>(29)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20" w:space="200"/>
            <w:col w:w="3720"/>
          </w:cols>
          <w:pgMar w:left="320" w:top="125" w:right="339" w:bottom="1440" w:gutter="0" w:footer="0" w:header="0"/>
          <w:type w:val="continuous"/>
        </w:sectPr>
      </w:pPr>
    </w:p>
    <w:p>
      <w:pPr>
        <w:spacing w:after="0" w:line="110" w:lineRule="exact"/>
        <w:rPr>
          <w:sz w:val="20"/>
          <w:szCs w:val="20"/>
          <w:color w:val="auto"/>
        </w:rPr>
      </w:pPr>
    </w:p>
    <w:p>
      <w:pPr>
        <w:ind w:left="980" w:right="40" w:hanging="324"/>
        <w:spacing w:after="0" w:line="290" w:lineRule="auto"/>
        <w:tabs>
          <w:tab w:leader="none" w:pos="975"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Permian Basin region. </w:t>
      </w:r>
      <w:r>
        <w:rPr>
          <w:rFonts w:ascii="Arial" w:cs="Arial" w:eastAsia="Arial" w:hAnsi="Arial"/>
          <w:sz w:val="16"/>
          <w:szCs w:val="16"/>
          <w:color w:val="auto"/>
        </w:rPr>
        <w:t>The decrease in revenues, net of purchases and related costs, of $64 million and $90 million for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respectively, compared to the same periods in 2019, was primarily due to lower long-haul pipeline movements to Cushing and Corpus Christi due to compressed regional basis differentials. Some shippers on the pipelines to Cushing and Corpus Christi have under-delivered relative to their minimum volume commitments; however, the earnings related to these volume shortfalls will not be recognized until future periods when either the shortfall is made up or when the shipper’s make-up rights expire. Such deficiencies are reflected as an “Adjustment” in the table above as discussed further below under “—</w:t>
      </w:r>
      <w:r>
        <w:rPr>
          <w:rFonts w:ascii="Arial" w:cs="Arial" w:eastAsia="Arial" w:hAnsi="Arial"/>
          <w:sz w:val="16"/>
          <w:szCs w:val="16"/>
          <w:i w:val="1"/>
          <w:iCs w:val="1"/>
          <w:color w:val="auto"/>
        </w:rPr>
        <w:t>Adjustments: Deficiencies under minimum volume</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commitments, net.</w:t>
      </w:r>
      <w:r>
        <w:rPr>
          <w:rFonts w:ascii="Arial" w:cs="Arial" w:eastAsia="Arial" w:hAnsi="Arial"/>
          <w:sz w:val="16"/>
          <w:szCs w:val="16"/>
          <w:color w:val="auto"/>
        </w:rPr>
        <w:t>” For the nine-month comparative period, increased volumes from our gathering pipelines, including the gathering system</w:t>
      </w:r>
      <w:r>
        <w:rPr>
          <w:rFonts w:ascii="Arial" w:cs="Arial" w:eastAsia="Arial" w:hAnsi="Arial"/>
          <w:sz w:val="16"/>
          <w:szCs w:val="16"/>
          <w:i w:val="1"/>
          <w:iCs w:val="1"/>
          <w:color w:val="auto"/>
        </w:rPr>
        <w:t xml:space="preserve"> </w:t>
      </w:r>
      <w:r>
        <w:rPr>
          <w:rFonts w:ascii="Arial" w:cs="Arial" w:eastAsia="Arial" w:hAnsi="Arial"/>
          <w:sz w:val="16"/>
          <w:szCs w:val="16"/>
          <w:color w:val="auto"/>
        </w:rPr>
        <w:t>we acquired from Felix Midstream in February 2020, were more than offset by declines on our long-haul pipelines.</w:t>
      </w:r>
    </w:p>
    <w:p>
      <w:pPr>
        <w:spacing w:after="0" w:line="192" w:lineRule="exact"/>
        <w:rPr>
          <w:rFonts w:ascii="Arial" w:cs="Arial" w:eastAsia="Arial" w:hAnsi="Arial"/>
          <w:sz w:val="16"/>
          <w:szCs w:val="16"/>
          <w:b w:val="1"/>
          <w:bCs w:val="1"/>
          <w:i w:val="1"/>
          <w:iCs w:val="1"/>
          <w:color w:val="auto"/>
        </w:rPr>
      </w:pPr>
    </w:p>
    <w:p>
      <w:pPr>
        <w:jc w:val="both"/>
        <w:ind w:left="980"/>
        <w:spacing w:after="0" w:line="263"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increase in equity earnings over the comparative periods was primarily from our 65% interest in the Cactus II pipeline, which was placed in service in August 2019, partially offset by lower equity earnings from our 30% interest in BridgeTex Pipeline Company, LLC primarily due to lower volumes.</w:t>
      </w:r>
    </w:p>
    <w:p>
      <w:pPr>
        <w:spacing w:after="0" w:line="210" w:lineRule="exact"/>
        <w:rPr>
          <w:rFonts w:ascii="Arial" w:cs="Arial" w:eastAsia="Arial" w:hAnsi="Arial"/>
          <w:sz w:val="16"/>
          <w:szCs w:val="16"/>
          <w:b w:val="1"/>
          <w:bCs w:val="1"/>
          <w:i w:val="1"/>
          <w:iCs w:val="1"/>
          <w:color w:val="auto"/>
        </w:rPr>
      </w:pPr>
    </w:p>
    <w:p>
      <w:pPr>
        <w:ind w:left="980" w:right="140" w:hanging="324"/>
        <w:spacing w:after="0" w:line="286" w:lineRule="auto"/>
        <w:tabs>
          <w:tab w:leader="none" w:pos="975"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South Texas / Eagle Ford region. </w:t>
      </w:r>
      <w:r>
        <w:rPr>
          <w:rFonts w:ascii="Arial" w:cs="Arial" w:eastAsia="Arial" w:hAnsi="Arial"/>
          <w:sz w:val="17"/>
          <w:szCs w:val="17"/>
          <w:color w:val="auto"/>
        </w:rPr>
        <w:t>Equity earnings from our 50% interest in Eagle Ford Pipeline LLC decreased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compared to the three and nine months ended September 30, 2019 due to a combination of lower joint tariff volumes from the Permian Basin via our Cactus I pipeline, and to a lesser extent, lower regional receipts.</w:t>
      </w:r>
    </w:p>
    <w:p>
      <w:pPr>
        <w:spacing w:after="0" w:line="192" w:lineRule="exact"/>
        <w:rPr>
          <w:rFonts w:ascii="Arial" w:cs="Arial" w:eastAsia="Arial" w:hAnsi="Arial"/>
          <w:sz w:val="17"/>
          <w:szCs w:val="17"/>
          <w:i w:val="1"/>
          <w:iCs w:val="1"/>
          <w:color w:val="auto"/>
        </w:rPr>
      </w:pPr>
    </w:p>
    <w:p>
      <w:pPr>
        <w:jc w:val="both"/>
        <w:ind w:left="980" w:right="640" w:hanging="324"/>
        <w:spacing w:after="0" w:line="263" w:lineRule="auto"/>
        <w:tabs>
          <w:tab w:leader="none" w:pos="97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net of purchases and related costs, for the three and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2019 was primarily due to lower volumes as a result of (i) voluntary curtailments and shut-ins by oil producers and (ii) a significant decrease in drilling and completion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00"/>
        <w:spacing w:after="0" w:line="342" w:lineRule="auto"/>
        <w:rPr>
          <w:sz w:val="20"/>
          <w:szCs w:val="20"/>
          <w:color w:val="auto"/>
        </w:rPr>
      </w:pPr>
      <w:r>
        <w:rPr>
          <w:rFonts w:ascii="Arial" w:cs="Arial" w:eastAsia="Arial" w:hAnsi="Arial"/>
          <w:sz w:val="16"/>
          <w:szCs w:val="16"/>
          <w:color w:val="auto"/>
        </w:rPr>
        <w:t>activity in the Mid-Continent, both factors are due to the low crude oil prices during the current year. In addition, the production declines in this area, like other areas in which we operate, has resulted in an increase in competition for the remaining production in this region.</w:t>
      </w:r>
    </w:p>
    <w:p>
      <w:pPr>
        <w:spacing w:after="0" w:line="151" w:lineRule="exact"/>
        <w:rPr>
          <w:sz w:val="20"/>
          <w:szCs w:val="20"/>
          <w:color w:val="auto"/>
        </w:rPr>
      </w:pPr>
    </w:p>
    <w:p>
      <w:pPr>
        <w:ind w:left="980" w:right="20"/>
        <w:spacing w:after="0" w:line="286" w:lineRule="auto"/>
        <w:rPr>
          <w:sz w:val="20"/>
          <w:szCs w:val="20"/>
          <w:color w:val="auto"/>
        </w:rPr>
      </w:pPr>
      <w:r>
        <w:rPr>
          <w:rFonts w:ascii="Arial" w:cs="Arial" w:eastAsia="Arial" w:hAnsi="Arial"/>
          <w:sz w:val="17"/>
          <w:szCs w:val="17"/>
          <w:color w:val="auto"/>
        </w:rPr>
        <w:t>The decrease in equity earnings for the three and nine months ended September 30, 2020 compared to the same periods in 2019 was primarily due to the impact of refinery downtime on certain of the demand pull pipelines out of Cushing, Oklahoma, in which we own a 50% interest, as well as voluntary curtailments and shut-ins by oil producers due to the low crude oil prices during the current year.</w:t>
      </w:r>
    </w:p>
    <w:p>
      <w:pPr>
        <w:spacing w:after="0" w:line="192" w:lineRule="exact"/>
        <w:rPr>
          <w:sz w:val="20"/>
          <w:szCs w:val="20"/>
          <w:color w:val="auto"/>
        </w:rPr>
      </w:pPr>
    </w:p>
    <w:p>
      <w:pPr>
        <w:ind w:left="980" w:right="20" w:hanging="324"/>
        <w:spacing w:after="0" w:line="259" w:lineRule="auto"/>
        <w:tabs>
          <w:tab w:leader="none" w:pos="97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Equity earnings decreased for the three and nine months ended September 30, 2020 compared to the same periods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primarily due to (i) the sale of a 10% interest in Saddlehorn in February 2020 and (ii) lower volumes of higher tariff crude oil movements, partially offset by new movements of lower tariff NGL volumes on the pipelines owned by White Cliffs, in which we own a 36% interest.</w:t>
      </w:r>
    </w:p>
    <w:p>
      <w:pPr>
        <w:spacing w:after="0" w:line="213" w:lineRule="exact"/>
        <w:rPr>
          <w:rFonts w:ascii="Arial" w:cs="Arial" w:eastAsia="Arial" w:hAnsi="Arial"/>
          <w:sz w:val="18"/>
          <w:szCs w:val="18"/>
          <w:i w:val="1"/>
          <w:iCs w:val="1"/>
          <w:color w:val="auto"/>
        </w:rPr>
      </w:pPr>
    </w:p>
    <w:p>
      <w:pPr>
        <w:jc w:val="both"/>
        <w:ind w:left="980" w:right="180" w:hanging="324"/>
        <w:spacing w:after="0" w:line="263"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Revenues decreased for the three and nine months ended September 30, 2020 compared to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primarily due to voluntary curtailments and shut-ins by oil producers due to the low crude oil prices during the current year.</w:t>
      </w:r>
    </w:p>
    <w:p>
      <w:pPr>
        <w:spacing w:after="0" w:line="210" w:lineRule="exact"/>
        <w:rPr>
          <w:rFonts w:ascii="Arial" w:cs="Arial" w:eastAsia="Arial" w:hAnsi="Arial"/>
          <w:sz w:val="18"/>
          <w:szCs w:val="18"/>
          <w:color w:val="auto"/>
        </w:rPr>
      </w:pPr>
    </w:p>
    <w:p>
      <w:pPr>
        <w:ind w:left="980" w:right="40" w:hanging="324"/>
        <w:spacing w:after="0" w:line="301" w:lineRule="auto"/>
        <w:tabs>
          <w:tab w:leader="none" w:pos="975"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regions, trucking and pipeline loss allowance revenue. </w:t>
      </w:r>
      <w:r>
        <w:rPr>
          <w:rFonts w:ascii="Arial" w:cs="Arial" w:eastAsia="Arial" w:hAnsi="Arial"/>
          <w:sz w:val="16"/>
          <w:szCs w:val="16"/>
          <w:color w:val="auto"/>
        </w:rPr>
        <w:t>The decrease in other revenues, net of purchases and related costs,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nine months ended September 30, 2020 compared to the three and nine months ended September 30, 2019 was primarily due to lower pipeline loss allowance revenue in 2020 due to lower prices and volumes. Additionally, volumes in our Gulf Coast region were impacted by a decrease in throughput due to reduced refinery demand on a lower tariff pipeline, which did not result in a significant impact on revenue.</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three and nine months ended September 30, 2020, amounts billed to counterparties exceeded revenue recognized during the period that was previously deferred. For the three and nine months ended September 30, 2019, the recognition of previously deferred revenue exceeded amounts billed to counterparties associated with deficiencies under minimum volume commitments.</w:t>
      </w:r>
    </w:p>
    <w:p>
      <w:pPr>
        <w:spacing w:after="0" w:line="2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and nine months ended September 30,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was primarily due to (i) a decrease in variable costs including reductions in generator and power costs, the use of drag reducing agents and corrosion inhibiting chemicals due to lower volumes, (ii) reductions in compensation costs, including the benefit of wage subsidies received by our Canadian subsidiary, and (iii) a decrease of maintenance and integrity management activities, primarily due to interval changes facilitated through risk-based data application, partially offset by (iv) higher property taxes due to assets placed in service in 2020. In addition, the nine-month comparative period was favorably impacted by (i) lower equity-based compensation costs on liability-classified awards (which are not included as an “Adjustment” in the table above) due to a decrease in PAA’s common unit price and (ii) additional estimated costs recognized in the second quarter of 2019 associated with the Line 901 incident (which impact field operating costs but are excluded from Segment Adjusted EBITDA and thus are reflected as an “Adjustment” in the table above).</w:t>
      </w:r>
    </w:p>
    <w:p>
      <w:pPr>
        <w:spacing w:after="0" w:line="223"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the same periods in 2019 was primarily due to lower equity-based compensation costs on liability-classified awards (which are not included as an “Adjustment” in the table above), due to a decrease in PAA’s common unit price, and lower compensation costs including the benefit of wage subsidies received by our Canadian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Maintenance capital consists of capital expenditures for the replacement and/or refurbishment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spending for the three and nine months ended September 30, 2020 compared to the same periods in 2019 was primarily due to interval changes facilitated through risk-based data application to integrity management activities.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00" w:type="dxa"/>
            <w:vAlign w:val="bottom"/>
          </w:tcPr>
          <w:p>
            <w:pPr>
              <w:spacing w:after="0"/>
              <w:rPr>
                <w:sz w:val="14"/>
                <w:szCs w:val="14"/>
                <w:color w:val="auto"/>
              </w:rPr>
            </w:pPr>
          </w:p>
        </w:tc>
        <w:tc>
          <w:tcPr>
            <w:tcW w:w="17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2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w w:val="95"/>
              </w:rPr>
              <w:t>Variance</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9"/>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9"/>
          </w:tcPr>
          <w:p>
            <w:pPr>
              <w:ind w:left="2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46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75"/>
        </w:trPr>
        <w:tc>
          <w:tcPr>
            <w:tcW w:w="346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2"/>
              </w:rPr>
              <w:t>Segment general and administrative expenses</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2"/>
        </w:trPr>
        <w:tc>
          <w:tcPr>
            <w:tcW w:w="322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6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Depreciation and amortization of</w:t>
            </w:r>
          </w:p>
        </w:tc>
        <w:tc>
          <w:tcPr>
            <w:tcW w:w="10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4"/>
          </w:tcPr>
          <w:p>
            <w:pPr>
              <w:ind w:left="120"/>
              <w:spacing w:after="0"/>
              <w:rPr>
                <w:sz w:val="20"/>
                <w:szCs w:val="20"/>
                <w:color w:val="auto"/>
              </w:rPr>
            </w:pPr>
            <w:r>
              <w:rPr>
                <w:rFonts w:ascii="Arial" w:cs="Arial" w:eastAsia="Arial" w:hAnsi="Arial"/>
                <w:sz w:val="18"/>
                <w:szCs w:val="18"/>
                <w:color w:val="auto"/>
              </w:rPr>
              <w:t>unconsolidated entities</w:t>
            </w: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Gains from derivative activities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Deficiencies under minimum volume</w:t>
            </w:r>
          </w:p>
        </w:tc>
        <w:tc>
          <w:tcPr>
            <w:tcW w:w="100" w:type="dxa"/>
            <w:vAlign w:val="bottom"/>
          </w:tcPr>
          <w:p>
            <w:pPr>
              <w:spacing w:after="0"/>
              <w:rPr>
                <w:sz w:val="15"/>
                <w:szCs w:val="15"/>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gridSpan w:val="5"/>
            <w:vMerge w:val="restart"/>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gridSpan w:val="4"/>
          </w:tcPr>
          <w:p>
            <w:pPr>
              <w:ind w:left="120"/>
              <w:spacing w:after="0"/>
              <w:rPr>
                <w:sz w:val="20"/>
                <w:szCs w:val="20"/>
                <w:color w:val="auto"/>
              </w:rPr>
            </w:pPr>
            <w:r>
              <w:rPr>
                <w:rFonts w:ascii="Arial" w:cs="Arial" w:eastAsia="Arial" w:hAnsi="Arial"/>
                <w:sz w:val="18"/>
                <w:szCs w:val="18"/>
                <w:color w:val="auto"/>
              </w:rPr>
              <w:t>commitments, net</w:t>
            </w:r>
          </w:p>
        </w:tc>
        <w:tc>
          <w:tcPr>
            <w:tcW w:w="10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vMerge w:val="continue"/>
          </w:tcPr>
          <w:p>
            <w:pPr>
              <w:spacing w:after="0"/>
              <w:rPr>
                <w:sz w:val="19"/>
                <w:szCs w:val="19"/>
                <w:color w:val="auto"/>
              </w:rPr>
            </w:pPr>
          </w:p>
        </w:tc>
        <w:tc>
          <w:tcPr>
            <w:tcW w:w="7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0.46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gridSpan w:val="2"/>
          </w:tcPr>
          <w:p>
            <w:pPr>
              <w:jc w:val="right"/>
              <w:ind w:right="140"/>
              <w:spacing w:after="0" w:line="203" w:lineRule="exact"/>
              <w:rPr>
                <w:sz w:val="20"/>
                <w:szCs w:val="20"/>
                <w:color w:val="auto"/>
              </w:rPr>
            </w:pPr>
            <w:r>
              <w:rPr>
                <w:rFonts w:ascii="Arial" w:cs="Arial" w:eastAsia="Arial" w:hAnsi="Arial"/>
                <w:sz w:val="18"/>
                <w:szCs w:val="18"/>
                <w:color w:val="auto"/>
              </w:rPr>
              <w:t>2 %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507"/>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02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9"/>
          </w:tcPr>
          <w:p>
            <w:pPr>
              <w:ind w:left="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1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9"/>
          </w:tcPr>
          <w:p>
            <w:pPr>
              <w:ind w:left="2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line="184"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14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Volumes</w:t>
            </w:r>
          </w:p>
        </w:tc>
        <w:tc>
          <w:tcPr>
            <w:tcW w:w="6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2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4"/>
              </w:rPr>
              <w:t>Liquids storage (average monthly capacity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46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in millions of barrels) </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rPr>
              <w:t>Natural gas storage (average monthly</w:t>
            </w: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gridSpan w:val="2"/>
            <w:vMerge w:val="continue"/>
          </w:tcPr>
          <w:p>
            <w:pPr>
              <w:spacing w:after="0"/>
              <w:rPr>
                <w:sz w:val="10"/>
                <w:szCs w:val="10"/>
                <w:color w:val="auto"/>
              </w:rPr>
            </w:pPr>
          </w:p>
        </w:tc>
        <w:tc>
          <w:tcPr>
            <w:tcW w:w="1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6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working capacity in billions of cubic</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346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feet)</w:t>
            </w: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NGL fractionation (average volumes in</w:t>
            </w:r>
          </w:p>
        </w:tc>
        <w:tc>
          <w:tcPr>
            <w:tcW w:w="1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4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thousands of barrels per day)</w:t>
            </w: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w w:val="99"/>
              </w:rPr>
              <w:t>Facilities segment total volumes (average</w:t>
            </w: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gridSpan w:val="2"/>
            <w:vMerge w:val="continue"/>
          </w:tcPr>
          <w:p>
            <w:pPr>
              <w:spacing w:after="0"/>
              <w:rPr>
                <w:sz w:val="10"/>
                <w:szCs w:val="10"/>
                <w:color w:val="auto"/>
              </w:rPr>
            </w:pPr>
          </w:p>
        </w:tc>
        <w:tc>
          <w:tcPr>
            <w:tcW w:w="1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6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monthly volumes in millions of barrels)</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tcPr>
          <w:p>
            <w:pPr>
              <w:spacing w:after="0"/>
              <w:rPr>
                <w:sz w:val="15"/>
                <w:szCs w:val="15"/>
                <w:color w:val="auto"/>
              </w:rPr>
            </w:pPr>
          </w:p>
        </w:tc>
        <w:tc>
          <w:tcPr>
            <w:tcW w:w="380" w:type="dxa"/>
            <w:vAlign w:val="bottom"/>
            <w:gridSpan w:val="2"/>
            <w:vMerge w:val="restart"/>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line="135" w:lineRule="exact"/>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80" w:type="dxa"/>
            <w:vAlign w:val="bottom"/>
            <w:tcBorders>
              <w:bottom w:val="single" w:sz="8" w:color="auto"/>
            </w:tcBorders>
            <w:gridSpan w:val="2"/>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180" w:hanging="11"/>
        <w:spacing w:after="0" w:line="291" w:lineRule="auto"/>
        <w:rPr>
          <w:sz w:val="20"/>
          <w:szCs w:val="20"/>
          <w:color w:val="auto"/>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120" w:hanging="4"/>
        <w:spacing w:after="0" w:line="508"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period and divided by the number of months in the period. The following is a discussion of items impacting Facilities segment operating results.</w:t>
      </w:r>
    </w:p>
    <w:p>
      <w:pPr>
        <w:spacing w:after="0" w:line="1"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hanging="324"/>
        <w:spacing w:after="0" w:line="259" w:lineRule="auto"/>
        <w:tabs>
          <w:tab w:leader="none" w:pos="97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from our crude oil storage operations increased by $13 million and $28 million for the three and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compared to three and nine months ended September 30, 2019, respectively, primarily due to (i) the addition of an aggregate of 3.1 million barrels of storage capacity at our Cushing, St. James and Midland terminals, (ii) increased activity at our Cushing and Midland terminals and (iii) increased spot activity at certain of our West Coast terminals.</w:t>
      </w:r>
    </w:p>
    <w:p>
      <w:pPr>
        <w:spacing w:after="0" w:line="213" w:lineRule="exact"/>
        <w:rPr>
          <w:rFonts w:ascii="Arial" w:cs="Arial" w:eastAsia="Arial" w:hAnsi="Arial"/>
          <w:sz w:val="18"/>
          <w:szCs w:val="18"/>
          <w:i w:val="1"/>
          <w:iCs w:val="1"/>
          <w:color w:val="auto"/>
        </w:rPr>
      </w:pPr>
    </w:p>
    <w:p>
      <w:pPr>
        <w:ind w:left="980" w:right="3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increase in equity earnings over the comparative periods was from our 50% interest in Eagle Ford Terminals, which owns a crude oil storage facility in Corpus Christi that was placed in service in September of 2019.</w:t>
      </w:r>
    </w:p>
    <w:p>
      <w:pPr>
        <w:spacing w:after="0" w:line="197" w:lineRule="exact"/>
        <w:rPr>
          <w:rFonts w:ascii="Arial" w:cs="Arial" w:eastAsia="Arial" w:hAnsi="Arial"/>
          <w:sz w:val="18"/>
          <w:szCs w:val="18"/>
          <w:i w:val="1"/>
          <w:iCs w:val="1"/>
          <w:color w:val="auto"/>
        </w:rPr>
      </w:pPr>
    </w:p>
    <w:p>
      <w:pPr>
        <w:ind w:left="980" w:right="60" w:hanging="324"/>
        <w:spacing w:after="0" w:line="311" w:lineRule="auto"/>
        <w:tabs>
          <w:tab w:leader="none" w:pos="97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Rail Terminals. </w:t>
      </w:r>
      <w:r>
        <w:rPr>
          <w:rFonts w:ascii="Arial" w:cs="Arial" w:eastAsia="Arial" w:hAnsi="Arial"/>
          <w:sz w:val="16"/>
          <w:szCs w:val="16"/>
          <w:color w:val="auto"/>
        </w:rPr>
        <w:t>Revenues from our rail terminals decreased by $13 million and $29 million for the three and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compared to three and nine months ended September 30, 2019, respectively, primarily due to decreased activity at certain of our rail terminals as a result of lower volumes due to voluntary shut-ins and curtailments, as well as less favorable market conditions.</w:t>
      </w:r>
    </w:p>
    <w:p>
      <w:pPr>
        <w:spacing w:after="0" w:line="175" w:lineRule="exact"/>
        <w:rPr>
          <w:rFonts w:ascii="Arial" w:cs="Arial" w:eastAsia="Arial" w:hAnsi="Arial"/>
          <w:sz w:val="16"/>
          <w:szCs w:val="16"/>
          <w:color w:val="auto"/>
        </w:rPr>
      </w:pPr>
    </w:p>
    <w:p>
      <w:pPr>
        <w:ind w:left="980" w:right="120" w:hanging="324"/>
        <w:spacing w:after="0" w:line="254" w:lineRule="auto"/>
        <w:tabs>
          <w:tab w:leader="none" w:pos="97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from our NGL operations decreased by $18 million and $12 million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the same periods in 2019, respectively, primarily due to the sale of certain NGL terminals in the fourth quarter of 2019 and the second quarter of 2020 and net unfavorable foreign exchange impacts of approximately $1 million and $7 million, respectively. The three and nine month comparative periods were further unfavorably impacted by lower revenues from our NGL processing facilities. The decrease in revenues for the nine months ended September 30, 2020 compared to the nine months ended September 30, 2019 was partially offset by the favorable impact of the receipt of a deficiency payment of approximately $20 million upon the expiration of a multi-year contract.</w:t>
      </w:r>
    </w:p>
    <w:p>
      <w:pPr>
        <w:spacing w:after="0" w:line="221" w:lineRule="exact"/>
        <w:rPr>
          <w:rFonts w:ascii="Arial" w:cs="Arial" w:eastAsia="Arial" w:hAnsi="Arial"/>
          <w:sz w:val="18"/>
          <w:szCs w:val="18"/>
          <w:i w:val="1"/>
          <w:iCs w:val="1"/>
          <w:color w:val="auto"/>
        </w:rPr>
      </w:pPr>
    </w:p>
    <w:p>
      <w:pPr>
        <w:ind w:left="980" w:right="20" w:hanging="324"/>
        <w:spacing w:after="0" w:line="311" w:lineRule="auto"/>
        <w:tabs>
          <w:tab w:leader="none" w:pos="975"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Natural Gas and Condensate Processing. </w:t>
      </w:r>
      <w:r>
        <w:rPr>
          <w:rFonts w:ascii="Arial" w:cs="Arial" w:eastAsia="Arial" w:hAnsi="Arial"/>
          <w:sz w:val="16"/>
          <w:szCs w:val="16"/>
          <w:color w:val="auto"/>
        </w:rPr>
        <w:t>Revenues, net of purchases and related costs, from our natural gas and condensate processing</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decreased by $9 million for nine months ended September 30, 2020 compared to the same period in 2019 primarily due to the unfavorable impact of a $5 million payment to resolve a contractual dispute as well as a decrease in condensate processing volumes and rates.</w:t>
      </w:r>
    </w:p>
    <w:p>
      <w:pPr>
        <w:spacing w:after="0" w:line="176"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for the three and nine months ended September 30, 2020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in 2019 was primarily due to (i) lower integrity management and maintenance activities due to interval changes facilitated through risk-based data application, (ii) reduced activity at our rail terminals and (iii) reductions in compensation costs including the benefit of wage subsidies received by our Canadian subsidiary. In addition, the three-month comparative period was favorably impacted by mark-to-market gains in the current period on fuel hedges (which impacts field operating costs but are excluded from Segment Adjusted EBITDA and thus are reflected as an “Adjustment” in the table above), and the nine-month comparative period was favorably impacted by lower insurance claims costs.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firstLine="648"/>
        <w:spacing w:after="0" w:line="248"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the same period in 2019 was primarily driven by lower compensation costs including the benefit of wage subsidies received by our Canadian subsidiary.</w:t>
      </w:r>
    </w:p>
    <w:p>
      <w:pPr>
        <w:spacing w:after="0" w:line="20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decrease in maintenance capital spending for the three and nine months ended September 30, 2020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periods in 2019 was primarily due to interval changes facilitated through risk-based data application to integrity management activities.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22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7"/>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(22,599)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75"/>
        </w:trPr>
        <w:tc>
          <w:tcPr>
            <w:tcW w:w="3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31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(Gains)/losses from derivative activities,</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net of inventory valuation adjustments</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Long-term inventory costing</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gridSpan w:val="2"/>
          </w:tcPr>
          <w:p>
            <w:pPr>
              <w:ind w:left="1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Equity-indexed compensation expense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Net (gain)/loss on foreign currency</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revaluation</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180" w:type="dxa"/>
            <w:vAlign w:val="bottom"/>
          </w:tcPr>
          <w:p>
            <w:pPr>
              <w:spacing w:after="0"/>
              <w:rPr>
                <w:sz w:val="24"/>
                <w:szCs w:val="2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22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7"/>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Volumes</w:t>
            </w:r>
          </w:p>
        </w:tc>
        <w:tc>
          <w:tcPr>
            <w:tcW w:w="64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Volumes</w:t>
            </w:r>
          </w:p>
        </w:tc>
        <w:tc>
          <w:tcPr>
            <w:tcW w:w="6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w w:val="97"/>
              </w:rPr>
              <w:t>— %</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NGL sales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55"/>
        </w:trPr>
        <w:tc>
          <w:tcPr>
            <w:tcW w:w="3160" w:type="dxa"/>
            <w:vAlign w:val="bottom"/>
            <w:gridSpan w:val="2"/>
            <w:shd w:val="clear" w:color="auto" w:fill="CCEEFF"/>
          </w:tcPr>
          <w:p>
            <w:pPr>
              <w:ind w:left="180"/>
              <w:spacing w:after="0" w:line="156" w:lineRule="exact"/>
              <w:rPr>
                <w:sz w:val="20"/>
                <w:szCs w:val="20"/>
                <w:color w:val="auto"/>
              </w:rPr>
            </w:pPr>
            <w:r>
              <w:rPr>
                <w:rFonts w:ascii="Arial" w:cs="Arial" w:eastAsia="Arial" w:hAnsi="Arial"/>
                <w:sz w:val="18"/>
                <w:szCs w:val="18"/>
                <w:color w:val="auto"/>
              </w:rPr>
              <w:t>Supply and Logistics segment total</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volumes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72"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left="660" w:right="460" w:hanging="652"/>
        <w:spacing w:after="0" w:line="227" w:lineRule="auto"/>
        <w:tabs>
          <w:tab w:leader="none" w:pos="648"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40" w:lineRule="exact"/>
        <w:rPr>
          <w:rFonts w:ascii="Arial" w:cs="Arial" w:eastAsia="Arial" w:hAnsi="Arial"/>
          <w:sz w:val="23"/>
          <w:szCs w:val="23"/>
          <w:color w:val="auto"/>
          <w:vertAlign w:val="superscript"/>
        </w:rPr>
      </w:pPr>
    </w:p>
    <w:p>
      <w:pPr>
        <w:ind w:left="660" w:right="2140" w:hanging="652"/>
        <w:spacing w:after="0" w:line="584" w:lineRule="auto"/>
        <w:tabs>
          <w:tab w:leader="none" w:pos="648"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spacing w:after="0" w:line="14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NYMEX WTI</w:t>
      </w: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89"/>
              </w:rPr>
              <w:t>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September 30,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74"/>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Nine Months Ended September 30,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93"/>
              </w:rPr>
              <w:t>(38)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bl>
    <w:p>
      <w:pPr>
        <w:spacing w:after="0" w:line="33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71"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80" w:hanging="324"/>
        <w:spacing w:after="0" w:line="255"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Revenues, net of purchases and related costs, (“net revenues”) from our crude oil operations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2020 compared to the three and nine months ended September 30, 2019, primarily due to a combination of (i) less favorable market conditions, (ii) the impact of lower volumes in higher margin areas, partially offset by volume increases in lower margin areas, and (iii) the impact of weighted average inventory costing resulting in lower margins during the period (which will result in higher margins in subsequent periods), partially offset by the favorable impact of contango market conditions during the second and third quarters of 2020.</w:t>
      </w:r>
    </w:p>
    <w:p>
      <w:pPr>
        <w:spacing w:after="0" w:line="219" w:lineRule="exact"/>
        <w:rPr>
          <w:rFonts w:ascii="Arial" w:cs="Arial" w:eastAsia="Arial" w:hAnsi="Arial"/>
          <w:sz w:val="18"/>
          <w:szCs w:val="18"/>
          <w:color w:val="auto"/>
        </w:rPr>
      </w:pPr>
    </w:p>
    <w:p>
      <w:pPr>
        <w:ind w:left="980" w:right="40" w:hanging="324"/>
        <w:spacing w:after="0" w:line="279" w:lineRule="auto"/>
        <w:tabs>
          <w:tab w:leader="none" w:pos="975"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decreased for the three and nine months ended September 30, 2020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nine months ended September 30, 2019, primarily due to weaker fractionation spreads, lower border flows through our straddle plants and the decision to decrease shoulder month sales volumes and increase winter month sales volumes, as well as the absence of the favorable impact from certain non-recurring items recorded in the second quarter of 2019.</w:t>
      </w:r>
    </w:p>
    <w:p>
      <w:pPr>
        <w:spacing w:after="0" w:line="171" w:lineRule="exact"/>
        <w:rPr>
          <w:rFonts w:ascii="Arial" w:cs="Arial" w:eastAsia="Arial" w:hAnsi="Arial"/>
          <w:sz w:val="17"/>
          <w:szCs w:val="17"/>
          <w:color w:val="auto"/>
        </w:rPr>
      </w:pPr>
    </w:p>
    <w:p>
      <w:pPr>
        <w:ind w:left="980" w:right="60" w:hanging="324"/>
        <w:spacing w:after="0" w:line="254" w:lineRule="auto"/>
        <w:tabs>
          <w:tab w:leader="none" w:pos="975"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hanging="324"/>
        <w:spacing w:after="0" w:line="255"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19" w:lineRule="exact"/>
        <w:rPr>
          <w:rFonts w:ascii="Arial" w:cs="Arial" w:eastAsia="Arial" w:hAnsi="Arial"/>
          <w:sz w:val="18"/>
          <w:szCs w:val="18"/>
          <w:color w:val="auto"/>
        </w:rPr>
      </w:pPr>
    </w:p>
    <w:p>
      <w:pPr>
        <w:ind w:left="980" w:right="360" w:hanging="324"/>
        <w:spacing w:after="0" w:line="259"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which result in the realization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gains and losses on the settlement of foreign currency transactions as well as the revaluation of monetary assets and liabilities denominated in a foreign currency. These gains and losses impact our net revenues but are excluded from Segment Adjusted EBITDA and thus are reflected as an “Adjustment” in the table above.</w:t>
      </w:r>
    </w:p>
    <w:p>
      <w:pPr>
        <w:spacing w:after="0" w:line="213" w:lineRule="exact"/>
        <w:rPr>
          <w:rFonts w:ascii="Arial" w:cs="Arial" w:eastAsia="Arial" w:hAnsi="Arial"/>
          <w:sz w:val="18"/>
          <w:szCs w:val="18"/>
          <w:color w:val="auto"/>
        </w:rPr>
      </w:pPr>
    </w:p>
    <w:p>
      <w:pPr>
        <w:ind w:left="980" w:right="160" w:hanging="324"/>
        <w:spacing w:after="0" w:line="263" w:lineRule="auto"/>
        <w:tabs>
          <w:tab w:leader="none" w:pos="975"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and nine months ended September 30,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was primarily driven by a decrease in long-haul third-party trucking costs and a decrease in company personnel and truck costs as additional pipeline capacity came into service after the first half of 2019.</w:t>
      </w:r>
    </w:p>
    <w:p>
      <w:pPr>
        <w:spacing w:after="0" w:line="210" w:lineRule="exact"/>
        <w:rPr>
          <w:rFonts w:ascii="Arial" w:cs="Arial" w:eastAsia="Arial" w:hAnsi="Arial"/>
          <w:sz w:val="18"/>
          <w:szCs w:val="18"/>
          <w:i w:val="1"/>
          <w:iCs w:val="1"/>
          <w:color w:val="auto"/>
        </w:rPr>
      </w:pPr>
    </w:p>
    <w:p>
      <w:pPr>
        <w:ind w:left="980" w:right="120" w:hanging="324"/>
        <w:spacing w:after="0" w:line="275" w:lineRule="auto"/>
        <w:tabs>
          <w:tab w:leader="none" w:pos="97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Segment General and Administrative Expenses</w:t>
      </w:r>
      <w:r>
        <w:rPr>
          <w:rFonts w:ascii="Arial" w:cs="Arial" w:eastAsia="Arial" w:hAnsi="Arial"/>
          <w:sz w:val="17"/>
          <w:szCs w:val="17"/>
          <w:color w:val="auto"/>
        </w:rPr>
        <w:t>. The decrease in segment general and administrative expenses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compared to the same periods in 2019 was primarily driven by lower compensation costs including the benefit of wage subsidies received by our Canadian subsidiary and decreased travel and entertainment costs. The nine-month comparative period was further favorably impacted by a decrease in equity-based compensation costs on liability-classified awards (which are not included as an “Adjustment” in the table above) due to a decrease in PAA’s common unit price.</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three months ended September 30, 2020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was due to lower tractor trailer lease buyouts.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Depreciation and amortization expense increased for the three and nine months ended September 30, 2020 compared to the three and nine months ended September 30, 2019 largely driven by additional depreciation expense associated with acquired assets and the completion of various investment capital projects. In addition, the increase for the nine-month comparative period was also impacted by a reduction in the useful lives of certain assets.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net loss on asset sales and asset impairments for the nine months ended September 30, 2020 was largely driven by (i) non-cash impairment losses of approximately $446 million related to the write-down of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See Note 14 for additional information regarding these asset impairments.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first quarter of 2020, we recognized a goodwill impairment charge of $2.5 billion, representing the entire balance of goodwill. See Note 6 to our Condensed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three and nine months ended September 30, 2020, we recognized losses of $91 million and $202 million, respectively, related to the write-down of certain of our investments in unconsolidated entities. Additionally, during the nine months ended September 30, 2020, we recognized a gain of $21 million related to our sale of a 10% interest in Saddlehorn Pipeline Company, LLC. See Note 7 to our Condensed Consolidated Financial Statements for additional information. During the nine months ended September 30, 2019, we recognized a non-cash gain of $269 million related to a fair value adjustment resulting from the accounting for the contribution of our undivided joint interest in the Capline pipeline system for an equity interest in Capline Pipeline Company LLC.</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interest expense for the three and nine months ended September 30, 2020 compared to the three and nine months ended September 30, 2019 was primarily due to a higher weighted average debt balance during the 2020 period, partially offset by lower weighted average rates. In addition, the nine-month comparative period was further unfavorably impacted by lower capitalized interest for the nine months ended September 30, 2020 driven by fewer capital projects under construction.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8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8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7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7"/>
        </w:trPr>
        <w:tc>
          <w:tcPr>
            <w:tcW w:w="67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4"/>
              </w:rPr>
              <w:t>Gain/(loss) related to mark-to-market adjustment of the Preferred Distribution Rate Reset</w:t>
            </w:r>
          </w:p>
        </w:tc>
        <w:tc>
          <w:tcPr>
            <w:tcW w:w="680" w:type="dxa"/>
            <w:vAlign w:val="bottom"/>
            <w:vMerge w:val="restart"/>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3"/>
                <w:szCs w:val="23"/>
                <w:color w:val="auto"/>
                <w:vertAlign w:val="superscript"/>
              </w:rPr>
              <w:t>(1)</w:t>
            </w: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680" w:type="dxa"/>
            <w:vAlign w:val="bottom"/>
            <w:tcBorders>
              <w:bottom w:val="single" w:sz="8" w:color="auto"/>
            </w:tcBorders>
          </w:tcPr>
          <w:p>
            <w:pPr>
              <w:jc w:val="right"/>
              <w:ind w:right="50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our Condensed Consolidated Financial Statements for additional information.</w:t>
      </w:r>
    </w:p>
    <w:p>
      <w:pPr>
        <w:spacing w:after="0" w:line="117" w:lineRule="exact"/>
        <w:rPr>
          <w:sz w:val="20"/>
          <w:szCs w:val="20"/>
          <w:color w:val="auto"/>
        </w:rPr>
      </w:pPr>
    </w:p>
    <w:p>
      <w:pPr>
        <w:ind w:left="20" w:right="540" w:hanging="11"/>
        <w:spacing w:after="0" w:line="277" w:lineRule="auto"/>
        <w:rPr>
          <w:sz w:val="20"/>
          <w:szCs w:val="20"/>
          <w:color w:val="auto"/>
        </w:rPr>
      </w:pPr>
      <w:r>
        <w:rPr>
          <w:rFonts w:ascii="Arial" w:cs="Arial" w:eastAsia="Arial" w:hAnsi="Arial"/>
          <w:sz w:val="18"/>
          <w:szCs w:val="18"/>
          <w:color w:val="auto"/>
        </w:rPr>
        <w:t>The activity in 2020 was primarily related to the impact from the change in the United States dollar to Canadian dollar exchange rate on the portion of our intercompany net investment that is not long-term in nature.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decrease in income tax expense for the three months ended September 30, 2020 compared to the three months ended September 30, 2019 and the increase in the income tax benefit for the nine months ended September 30, 2020 compared to the nine months ended September 30, 2019 was primarily due to the impact of lower earnings at PAA, including goodwill impairment losses for the nine months ended September 30, 2020, on income attributable to PAGP.</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“—Acquisitions and Capital Expenditures.”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w:t>
      </w:r>
    </w:p>
    <w:p>
      <w:pPr>
        <w:spacing w:after="0" w:line="2" w:lineRule="exact"/>
        <w:rPr>
          <w:sz w:val="20"/>
          <w:szCs w:val="20"/>
          <w:color w:val="auto"/>
        </w:rPr>
      </w:pPr>
    </w:p>
    <w:p>
      <w:pPr>
        <w:ind w:right="80" w:firstLine="8"/>
        <w:spacing w:after="0" w:line="292" w:lineRule="auto"/>
        <w:tabs>
          <w:tab w:leader="none" w:pos="3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89" w:lineRule="exact"/>
        <w:rPr>
          <w:sz w:val="20"/>
          <w:szCs w:val="20"/>
          <w:color w:val="auto"/>
        </w:rPr>
      </w:pPr>
    </w:p>
    <w:p>
      <w:pPr>
        <w:ind w:right="140" w:firstLine="648"/>
        <w:spacing w:after="0" w:line="284" w:lineRule="auto"/>
        <w:rPr>
          <w:sz w:val="20"/>
          <w:szCs w:val="20"/>
          <w:color w:val="auto"/>
        </w:rPr>
      </w:pPr>
      <w:r>
        <w:rPr>
          <w:rFonts w:ascii="Arial" w:cs="Arial" w:eastAsia="Arial" w:hAnsi="Arial"/>
          <w:sz w:val="17"/>
          <w:szCs w:val="17"/>
          <w:color w:val="auto"/>
        </w:rPr>
        <w:t>As of September 30, 2020, although we had a working capital deficit of $398 million, we had approximately $2.8 billion of liquidity available to meet our ongoing operating, investing and financing needs, subject to continued covenant compliance, as noted below (in millions):</w:t>
      </w:r>
    </w:p>
    <w:tbl>
      <w:tblPr>
        <w:tblLayout w:type="fixed"/>
        <w:tblInd w:w="0" w:type="dxa"/>
        <w:tblCellMar>
          <w:top w:w="0" w:type="dxa"/>
          <w:left w:w="0" w:type="dxa"/>
          <w:bottom w:w="0" w:type="dxa"/>
          <w:right w:w="0" w:type="dxa"/>
        </w:tblCellMar>
      </w:tblPr>
      <w:tr>
        <w:trPr>
          <w:trHeight w:val="146"/>
        </w:trPr>
        <w:tc>
          <w:tcPr>
            <w:tcW w:w="9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right"/>
              <w:ind w:right="635"/>
              <w:spacing w:after="0" w:line="146" w:lineRule="exact"/>
              <w:rPr>
                <w:sz w:val="20"/>
                <w:szCs w:val="20"/>
                <w:color w:val="auto"/>
              </w:rPr>
            </w:pPr>
            <w:r>
              <w:rPr>
                <w:rFonts w:ascii="Arial" w:cs="Arial" w:eastAsia="Arial" w:hAnsi="Arial"/>
                <w:sz w:val="14"/>
                <w:szCs w:val="14"/>
                <w:b w:val="1"/>
                <w:bCs w:val="1"/>
                <w:color w:val="auto"/>
              </w:rPr>
              <w:t>As of</w:t>
            </w:r>
          </w:p>
        </w:tc>
      </w:tr>
      <w:tr>
        <w:trPr>
          <w:trHeight w:val="188"/>
        </w:trPr>
        <w:tc>
          <w:tcPr>
            <w:tcW w:w="9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September 30, 2020</w:t>
            </w:r>
          </w:p>
        </w:tc>
      </w:tr>
      <w:tr>
        <w:trPr>
          <w:trHeight w:val="224"/>
        </w:trPr>
        <w:tc>
          <w:tcPr>
            <w:tcW w:w="95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r>
      <w:tr>
        <w:trPr>
          <w:trHeight w:val="229"/>
        </w:trPr>
        <w:tc>
          <w:tcPr>
            <w:tcW w:w="9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1,356</w:t>
            </w:r>
          </w:p>
        </w:tc>
      </w:tr>
      <w:tr>
        <w:trPr>
          <w:trHeight w:val="230"/>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outstanding under PAA commercial paper program</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9500" w:type="dxa"/>
            <w:vAlign w:val="bottom"/>
          </w:tcPr>
          <w:p>
            <w:pPr>
              <w:ind w:left="12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230"/>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95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w:t>
            </w:r>
          </w:p>
        </w:tc>
      </w:tr>
      <w:tr>
        <w:trPr>
          <w:trHeight w:val="21"/>
        </w:trPr>
        <w:tc>
          <w:tcPr>
            <w:tcW w:w="9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62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62"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$96 million and $44 million, respectively.</w:t>
      </w:r>
    </w:p>
    <w:p>
      <w:pPr>
        <w:spacing w:after="0" w:line="197"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ind w:right="880" w:firstLine="648"/>
        <w:spacing w:after="0" w:line="342" w:lineRule="auto"/>
        <w:rPr>
          <w:sz w:val="20"/>
          <w:szCs w:val="20"/>
          <w:color w:val="auto"/>
        </w:rPr>
      </w:pPr>
      <w:r>
        <w:rPr>
          <w:rFonts w:ascii="Arial" w:cs="Arial" w:eastAsia="Arial" w:hAnsi="Arial"/>
          <w:sz w:val="16"/>
          <w:szCs w:val="16"/>
          <w:color w:val="auto"/>
        </w:rPr>
        <w:t>On November 3, 2020, PAA repaid its $600 million, 5.00% senior notes due February 2021 at par and used borrowings under the PAA commercial paper program and cash on hand for the repayment. See further discussion in “</w:t>
      </w:r>
      <w:r>
        <w:rPr>
          <w:rFonts w:ascii="Arial" w:cs="Arial" w:eastAsia="Arial" w:hAnsi="Arial"/>
          <w:sz w:val="16"/>
          <w:szCs w:val="16"/>
          <w:i w:val="1"/>
          <w:iCs w:val="1"/>
          <w:color w:val="auto"/>
        </w:rPr>
        <w:t>Equity and Debt Financing Activities</w:t>
      </w:r>
      <w:r>
        <w:rPr>
          <w:rFonts w:ascii="Arial" w:cs="Arial" w:eastAsia="Arial" w:hAnsi="Arial"/>
          <w:sz w:val="16"/>
          <w:szCs w:val="16"/>
          <w:color w:val="auto"/>
        </w:rPr>
        <w:t>” below.</w:t>
      </w:r>
    </w:p>
    <w:p>
      <w:pPr>
        <w:spacing w:after="0" w:line="15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Current macroeconomic and geopolitical conditions including the collapse of oil prices driven by both the decrease in demand caused by the COVID-19 pandemic and excess supply has caused liquidity issues impacting many energy companies; however, 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September 30, 2020, PAA was in compliance with all such covenants. Also, see Item 1A. “Risk Factors” included in our 2019 Annual Report on Form 10-K and Item 1A. “Risk Factors” in Part II of our Quarterly Report on Form 10-Q for the quarter ended March 31, 2020 for further discussion regarding such risks that may impact our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2019 Annual Report on Form 10-K.</w:t>
      </w:r>
    </w:p>
    <w:p>
      <w:pPr>
        <w:spacing w:after="0" w:line="18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Net cash provided by operating activities for the first nine months of 2020 and 2019 was $1.253 billion and $1.774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92"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During the nine months ended September 30, 2020, we increased the volume of both our crude oil inventory to be stored during the contango market and our NGL inventory in anticipation of the 2020-2021 heating season as well as the margin balances required as part of our hedging activities, all of which was funded by short-term debt. The cash outflows associated with these activities were partially offset by lower prices for inventory purchased and stored at the end of the current period compared to the end of 2019.</w:t>
      </w:r>
    </w:p>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the nine months ended September 30, 2019, our cash provided by operating activities was positively impacted by the proceeds from the sale of inventory that we held, primarily due to the sale of NGL inventory. The favorable effects from the liquidation of such inventory were partially offset by the timing of revenue recognized during the period for which cash was received in prior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In addition to our operating needs discussed above, on a consolidated basis, we also use cash for our acquisition activities and investment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 We have made and will continue to make capital expenditures for acquisitions, investment capital projects and maintenance activities. However, in the near term we do not plan to issue common equity to fund such activities.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In February 2020, we acquired a crude oil gathering system and related assets in the Delaware Basin for approximately $300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our Condensed Consolidated Financial Statements for additional information.</w:t>
      </w:r>
    </w:p>
    <w:p>
      <w:pPr>
        <w:spacing w:after="0" w:line="22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$785 million in midstream infrastructure during the nine months ended September 30, 2020, and we expect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$950 million during the full year ending December 31, 2020. Our expected capital investment for 2020 reflects a reduction from our expected capital investment at year-end 2019 due to the current dynamic and uncertain market conditions. See “—Acquisitions and Capital Projects” for additional information. We expect to fund our 2020 capital program with retained cash flow, proceeds from assets sold as part of our divestiture program or debt.</w:t>
      </w:r>
    </w:p>
    <w:p>
      <w:pPr>
        <w:spacing w:after="0" w:line="21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Divestitures. </w:t>
      </w:r>
      <w:r>
        <w:rPr>
          <w:rFonts w:ascii="Arial" w:cs="Arial" w:eastAsia="Arial" w:hAnsi="Arial"/>
          <w:sz w:val="17"/>
          <w:szCs w:val="17"/>
          <w:color w:val="auto"/>
        </w:rPr>
        <w:t>In January 2020, we signed a definitive agreement to sell certain of our LA Basin crude oil terminals. This transaction closed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fourth quarter of 2020 for proceeds of approximately $200 million, subject to certain adjustments. This transaction closed in the fourth quarter of 2020. In April 2020, we sold certain NGL terminals for $163 million, subject to certain adjustments. See Note 14 to our Condensed Consolidated Financial Statements for additional information. Additionally, we sold a 10% ownership interest in Saddlehorn Pipeline Company, LLC for proceeds of approximately $78 million. See Note 7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reinforce 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PAA’s Business” of our 2019 Annual Report on Form 10-K for further discussion regarding risks related to our acquisitions and divestitures.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and other debt agreements, as well as payment of distributions to our Class A shareholders and noncontrolling interests.</w:t>
      </w:r>
    </w:p>
    <w:p>
      <w:pPr>
        <w:spacing w:after="0" w:line="21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i w:val="1"/>
          <w:iCs w:val="1"/>
          <w:color w:val="auto"/>
        </w:rPr>
        <w:t xml:space="preserve">PAGP Registration Statements. </w:t>
      </w:r>
      <w:r>
        <w:rPr>
          <w:rFonts w:ascii="Arial" w:cs="Arial" w:eastAsia="Arial" w:hAnsi="Arial"/>
          <w:sz w:val="16"/>
          <w:szCs w:val="16"/>
          <w:color w:val="auto"/>
        </w:rPr>
        <w:t>We have filed with the SEC a shelf registration statement that, subject to effectiveness at the time of use, allows us</w:t>
      </w:r>
      <w:r>
        <w:rPr>
          <w:rFonts w:ascii="Arial" w:cs="Arial" w:eastAsia="Arial" w:hAnsi="Arial"/>
          <w:sz w:val="16"/>
          <w:szCs w:val="16"/>
          <w:i w:val="1"/>
          <w:iCs w:val="1"/>
          <w:color w:val="auto"/>
        </w:rPr>
        <w:t xml:space="preserve"> </w:t>
      </w:r>
      <w:r>
        <w:rPr>
          <w:rFonts w:ascii="Arial" w:cs="Arial" w:eastAsia="Arial" w:hAnsi="Arial"/>
          <w:sz w:val="16"/>
          <w:szCs w:val="16"/>
          <w:color w:val="auto"/>
        </w:rPr>
        <w:t>to issue up to an aggregate of $1.0 billion of equity securities (the “PAGP Traditional Shelf”). At September 30, 2020, we had approximately $939 million of unsold securities available under the PAGP Traditional Shelf.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nine months ended September 30, 2020.</w:t>
      </w:r>
    </w:p>
    <w:p>
      <w:pPr>
        <w:spacing w:after="0" w:line="18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$1.1 billion of debt or equity securities (the “PAA Traditional Shelf”). At September 30, 2020, PAA had approximately $1.1 billion of unsold securities available under the PAA Traditional Shelf. PAA did not conduct any offerings under the PAA Traditional Shelf during the nine months ended September 30, 2020. PAA also has access to a universal shelf registration statement (the “PAA WKSI Shelf”), which provides it with the ability to offer and sell an unlimited amount of debt and equity securities, subject to market conditions and capital needs. The offering of PAA’s $750 million, 3.80% senior notes in June 2020 was conducted under the PAA WKSI Shelf.</w:t>
      </w:r>
    </w:p>
    <w:p>
      <w:pPr>
        <w:spacing w:after="0" w:line="22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the PAA revolving credit facilities (which impact</w:t>
      </w:r>
      <w:r>
        <w:rPr>
          <w:rFonts w:ascii="Arial" w:cs="Arial" w:eastAsia="Arial" w:hAnsi="Arial"/>
          <w:sz w:val="18"/>
          <w:szCs w:val="18"/>
          <w:i w:val="1"/>
          <w:iCs w:val="1"/>
          <w:color w:val="auto"/>
        </w:rPr>
        <w:t xml:space="preserve"> </w:t>
      </w:r>
      <w:r>
        <w:rPr>
          <w:rFonts w:ascii="Arial" w:cs="Arial" w:eastAsia="Arial" w:hAnsi="Arial"/>
          <w:sz w:val="18"/>
          <w:szCs w:val="18"/>
          <w:color w:val="auto"/>
        </w:rPr>
        <w:t>PAA’s ability to access the PAA commercial paper program because they provide the financial backstop that supports PAA’s short-term credit ratings) and its GO Zone term loans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As of September 30, 2020, PAA was in compliance with the covenants contained in its credit agreements and indentures.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nine months ended September 30, 2020, we had net repayments on PAA’s credit facilities and commercial paper program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$306 million. The net repayments resulted primarily from cash flow from operating activities, proceeds from asset sales and the issuance of PAA’s $750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3.80% senior notes in June 2020, which offset borrowings during the period related to funding needs for capital investments, inventory purchases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other general partnership purposes.</w:t>
      </w:r>
    </w:p>
    <w:p>
      <w:pPr>
        <w:spacing w:after="0" w:line="238"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As of September 30, 2019 and December 31, 2018, we had no outstanding borrowings under the PAA credit agreements or commercial paper program. However, during the nine months ended September 30, 2019, we borrowed and repaid $10.5 billion under the PAA credit facilities and commercial paper program. These repayments resulted primarily from cash flow from operating activities and proceeds from PAA senior notes issuances.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June 2020, PAA completed the offering of $750 million, 3.80% senior notes due September 2030 at a public offering price of 99.794%. Interest payments are due on March 15 and September 15 of each year, commencing on September 15, 2020. We used the net proceeds from this offering of $742 million, after deducting the underwriting discount and offering expenses, primarily to repay the principal amounts of PAA’s 5.00% senior notes due February 2021 (which were redeemed on November 3, 2020). Prior to such repayment, we used a portion of the proceeds to repay outstanding borrowings under PAA’s commercial paper program and credit facilities and for general partnership purposes.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3, 2020, PAA redeemed its $600 million, 5.00% senior notes due February 2021.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all of our available cash within 55 days following the end of each quarter to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shareholders. On November 13, 2020, we will pay a quarterly distribution of $0.18 per Class A share ($0.72 per Class A share on an annualized basis), which is unchanged from our prior quarterly distribution, but equates to a reduction of 50% compared to the quarterly distribution of $0.36 per Class A share ($1.44 per Class A share on an annualized basis) paid in February 2020. This reduction was made in response to the current dynamic and uncertain market conditions to further reinforce our commitment to maintaining a solid capital structure and strong liquidity. See “—Executive Summary —</w:t>
      </w:r>
      <w:r>
        <w:rPr>
          <w:rFonts w:ascii="Arial" w:cs="Arial" w:eastAsia="Arial" w:hAnsi="Arial"/>
          <w:sz w:val="17"/>
          <w:szCs w:val="17"/>
          <w:i w:val="1"/>
          <w:iCs w:val="1"/>
          <w:color w:val="auto"/>
        </w:rPr>
        <w:t>Recent Events &amp; Outlook</w:t>
      </w:r>
      <w:r>
        <w:rPr>
          <w:rFonts w:ascii="Arial" w:cs="Arial" w:eastAsia="Arial" w:hAnsi="Arial"/>
          <w:sz w:val="17"/>
          <w:szCs w:val="17"/>
          <w:color w:val="auto"/>
        </w:rPr>
        <w:t>” for further discussion. See Note 9 to our Condensed Consolidated Financial Statements for details of distributions paid during or pertaining to the first nine months of 2020. Also, see Item 5. “Market for Registrant’s Shares, Related Shareholder Matters and Issuer Purchases of Equity Securities—Cash Distribution Policy” included in our 2019 Annual Report on Form 10-K for additional discussion regarding distributions.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September 30, 2020, noncontrolling interests in our subsidiaries consisted of (i) limited partner interests in PAA including a 69% interest in PAA’s common units and PAA’s Series A preferred units combined and 100% of PAA’s Series B preferred units, (ii) an approximate 23% limited partner interest in AAP and (iii) a 33% interest in Red River LLC. See Note 9 to our Condensed Consolidated Financial Statements for additional information.</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Series A preferred unitholders. </w:t>
      </w:r>
      <w:r>
        <w:rPr>
          <w:rFonts w:ascii="Arial" w:cs="Arial" w:eastAsia="Arial" w:hAnsi="Arial"/>
          <w:sz w:val="18"/>
          <w:szCs w:val="18"/>
          <w:color w:val="auto"/>
        </w:rPr>
        <w:t>On November 13, 2020, PAA will pay a cash distribution of $37 million ($0.525 per unit) on</w:t>
      </w:r>
      <w:r>
        <w:rPr>
          <w:rFonts w:ascii="Arial" w:cs="Arial" w:eastAsia="Arial" w:hAnsi="Arial"/>
          <w:sz w:val="18"/>
          <w:szCs w:val="18"/>
          <w:i w:val="1"/>
          <w:iCs w:val="1"/>
          <w:color w:val="auto"/>
        </w:rPr>
        <w:t xml:space="preserve"> </w:t>
      </w:r>
      <w:r>
        <w:rPr>
          <w:rFonts w:ascii="Arial" w:cs="Arial" w:eastAsia="Arial" w:hAnsi="Arial"/>
          <w:sz w:val="18"/>
          <w:szCs w:val="18"/>
          <w:color w:val="auto"/>
        </w:rPr>
        <w:t>its Series A preferred units outstanding as of October 30, 2020, the record date for such distribution for the period from July 1, 2020 through September 30, 2020. See Note 9 to our Condensed Consolidated Financial Statements for details of distributions made during or pertaining to the first nine months of 2020.</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Distributions to PAA’s Series B preferred unitholders. </w:t>
      </w:r>
      <w:r>
        <w:rPr>
          <w:rFonts w:ascii="Arial" w:cs="Arial" w:eastAsia="Arial" w:hAnsi="Arial"/>
          <w:sz w:val="18"/>
          <w:szCs w:val="18"/>
          <w:color w:val="auto"/>
        </w:rPr>
        <w:t>Distributions on PAA’s Series B preferred units are payable in cash semi-annually in arrears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15th day of May and November. On November 16, 2020, PAA will pay the semi-annual cash distribution of $24.5 million on its Series B preferred units to holders of record at the close of business on November 2, 2020 for the period from May 15, 2020 to November 14, 2020. See Note 9 to our Condensed Consolidated Financial Statements for additional information.</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November 13, 2020, PAA will pay a quarterly distribution of $0.18 per common unit ($0.72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on an annualized basis). See Note 9 to our Condensed Consolidated Financial Statements for details of distributions paid during or pertaining to the first nine months of 2020.</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 and cost of borrowing.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13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September 30, 2020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Remainder of</w:t>
            </w: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2025 and</w:t>
            </w:r>
          </w:p>
        </w:tc>
        <w:tc>
          <w:tcPr>
            <w:tcW w:w="200" w:type="dxa"/>
            <w:vAlign w:val="bottom"/>
          </w:tcPr>
          <w:p>
            <w:pPr>
              <w:spacing w:after="0"/>
              <w:rPr>
                <w:sz w:val="14"/>
                <w:szCs w:val="14"/>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23"/>
        </w:trPr>
        <w:tc>
          <w:tcPr>
            <w:tcW w:w="4240" w:type="dxa"/>
            <w:vAlign w:val="bottom"/>
          </w:tcPr>
          <w:p>
            <w:pPr>
              <w:ind w:left="12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18,270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56,381</w:t>
            </w:r>
          </w:p>
        </w:tc>
        <w:tc>
          <w:tcPr>
            <w:tcW w:w="0" w:type="dxa"/>
            <w:vAlign w:val="bottom"/>
          </w:tcPr>
          <w:p>
            <w:pPr>
              <w:spacing w:after="0"/>
              <w:rPr>
                <w:sz w:val="1"/>
                <w:szCs w:val="1"/>
                <w:color w:val="auto"/>
              </w:rPr>
            </w:pPr>
          </w:p>
        </w:tc>
      </w:tr>
      <w:tr>
        <w:trPr>
          <w:trHeight w:val="223"/>
        </w:trPr>
        <w:tc>
          <w:tcPr>
            <w:tcW w:w="424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4" w:right="80" w:hanging="11"/>
        <w:spacing w:after="0" w:line="273" w:lineRule="auto"/>
        <w:rPr>
          <w:sz w:val="20"/>
          <w:szCs w:val="20"/>
          <w:color w:val="auto"/>
        </w:rPr>
      </w:pPr>
      <w:r>
        <w:rPr>
          <w:rFonts w:ascii="Arial" w:cs="Arial" w:eastAsia="Arial" w:hAnsi="Arial"/>
          <w:sz w:val="17"/>
          <w:szCs w:val="17"/>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PAA’s debt obligations, see Note 8 to our Condensed Consolidated Financial Statements.</w:t>
      </w:r>
    </w:p>
    <w:p>
      <w:pPr>
        <w:spacing w:after="0" w:line="70"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to our Consolidated Financial Statements included in Part IV of our 2019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95" w:lineRule="auto"/>
        <w:tabs>
          <w:tab w:leader="none" w:pos="309"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noncancelable commitments related to our investment capital projects, including projected contributions for our share of the capital spending of our equity method investments. The storage, processing and transportation agreements include approximately $2.0 billion associated with agreements to store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53" w:lineRule="exact"/>
        <w:rPr>
          <w:sz w:val="20"/>
          <w:szCs w:val="20"/>
          <w:color w:val="auto"/>
        </w:rPr>
      </w:pPr>
    </w:p>
    <w:p>
      <w:pPr>
        <w:ind w:left="4" w:right="120" w:hanging="11"/>
        <w:spacing w:after="0" w:line="311" w:lineRule="auto"/>
        <w:rPr>
          <w:sz w:val="20"/>
          <w:szCs w:val="20"/>
          <w:color w:val="auto"/>
        </w:rPr>
      </w:pPr>
      <w:r>
        <w:rPr>
          <w:rFonts w:ascii="Arial" w:cs="Arial" w:eastAsia="Arial" w:hAnsi="Arial"/>
          <w:sz w:val="16"/>
          <w:szCs w:val="16"/>
          <w:color w:val="auto"/>
        </w:rPr>
        <w:t>Amounts are primarily based on estimated volumes and market prices based on average activity during September 2020.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0"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September 30, 2020 and December 31, 2019, we had outstanding letters of credit of approximately $140 million and $157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2019 Annual Report on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52" w:lineRule="exact"/>
        <w:rPr>
          <w:sz w:val="20"/>
          <w:szCs w:val="20"/>
          <w:color w:val="auto"/>
        </w:rPr>
      </w:pPr>
    </w:p>
    <w:p>
      <w:pPr>
        <w:ind w:left="980" w:right="120" w:hanging="324"/>
        <w:spacing w:after="0"/>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further declines in global crude oil demand and crude oil prices that correspondingly lead to a significant reduction of domestic crude oil,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216" w:lineRule="exact"/>
        <w:rPr>
          <w:rFonts w:ascii="Arial" w:cs="Arial" w:eastAsia="Arial" w:hAnsi="Arial"/>
          <w:sz w:val="18"/>
          <w:szCs w:val="18"/>
          <w:color w:val="auto"/>
        </w:rPr>
      </w:pPr>
    </w:p>
    <w:p>
      <w:pPr>
        <w:ind w:left="980" w:right="140" w:hanging="324"/>
        <w:spacing w:after="0" w:line="248"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uncertainty regarding the length of time it will take for the United States, Canada, and the rest of the world to contain the spread of the COVID-19 virus to the point where restrictions on various commercial and economic activities are (or remain) lifted and the extent to which consumer demand and demand for crude oil rebound in the future;</w:t>
      </w:r>
    </w:p>
    <w:p>
      <w:pPr>
        <w:spacing w:after="0" w:line="208" w:lineRule="exact"/>
        <w:rPr>
          <w:rFonts w:ascii="Arial" w:cs="Arial" w:eastAsia="Arial" w:hAnsi="Arial"/>
          <w:sz w:val="18"/>
          <w:szCs w:val="18"/>
          <w:color w:val="auto"/>
        </w:rPr>
      </w:pPr>
    </w:p>
    <w:p>
      <w:pPr>
        <w:ind w:left="980" w:right="200" w:hanging="324"/>
        <w:spacing w:after="0" w:line="261"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97" w:lineRule="exact"/>
        <w:rPr>
          <w:rFonts w:ascii="Arial" w:cs="Arial" w:eastAsia="Arial" w:hAnsi="Arial"/>
          <w:sz w:val="18"/>
          <w:szCs w:val="18"/>
          <w:color w:val="auto"/>
        </w:rPr>
      </w:pPr>
    </w:p>
    <w:p>
      <w:pPr>
        <w:ind w:left="980" w:right="100" w:hanging="324"/>
        <w:spacing w:after="0" w:line="324" w:lineRule="auto"/>
        <w:tabs>
          <w:tab w:leader="none" w:pos="9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51" w:lineRule="exact"/>
        <w:rPr>
          <w:rFonts w:ascii="Arial" w:cs="Arial" w:eastAsia="Arial" w:hAnsi="Arial"/>
          <w:sz w:val="16"/>
          <w:szCs w:val="16"/>
          <w:color w:val="auto"/>
        </w:rPr>
      </w:pPr>
    </w:p>
    <w:p>
      <w:pPr>
        <w:ind w:left="980" w:right="400" w:hanging="324"/>
        <w:spacing w:after="0" w:line="270" w:lineRule="auto"/>
        <w:tabs>
          <w:tab w:leader="none" w:pos="9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 and a resulting increase in demand for the midstream services we provide;</w:t>
      </w:r>
    </w:p>
    <w:p>
      <w:pPr>
        <w:spacing w:after="0" w:line="190" w:lineRule="exact"/>
        <w:rPr>
          <w:rFonts w:ascii="Arial" w:cs="Arial" w:eastAsia="Arial" w:hAnsi="Arial"/>
          <w:sz w:val="17"/>
          <w:szCs w:val="17"/>
          <w:color w:val="auto"/>
        </w:rPr>
      </w:pPr>
    </w:p>
    <w:p>
      <w:pPr>
        <w:ind w:left="980" w:right="360" w:hanging="324"/>
        <w:spacing w:after="0" w:line="261"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spacing w:after="0" w:line="248" w:lineRule="auto"/>
        <w:rPr>
          <w:sz w:val="20"/>
          <w:szCs w:val="20"/>
          <w:color w:val="auto"/>
        </w:rPr>
      </w:pPr>
      <w:r>
        <w:rPr>
          <w:rFonts w:ascii="Arial" w:cs="Arial" w:eastAsia="Arial" w:hAnsi="Arial"/>
          <w:sz w:val="18"/>
          <w:szCs w:val="18"/>
          <w:color w:val="auto"/>
        </w:rPr>
        <w:t>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209" w:lineRule="exact"/>
        <w:rPr>
          <w:sz w:val="20"/>
          <w:szCs w:val="20"/>
          <w:color w:val="auto"/>
        </w:rPr>
      </w:pPr>
    </w:p>
    <w:p>
      <w:pPr>
        <w:jc w:val="both"/>
        <w:ind w:left="980" w:right="320" w:hanging="324"/>
        <w:spacing w:after="0" w:line="324" w:lineRule="auto"/>
        <w:tabs>
          <w:tab w:leader="none" w:pos="9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1" w:lineRule="exact"/>
        <w:rPr>
          <w:rFonts w:ascii="Arial" w:cs="Arial" w:eastAsia="Arial" w:hAnsi="Arial"/>
          <w:sz w:val="16"/>
          <w:szCs w:val="16"/>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operational difficulties due to physical distancing restrictions and the additional demands such restrictions may place on our employees;</w:t>
      </w:r>
    </w:p>
    <w:p>
      <w:pPr>
        <w:spacing w:after="0" w:line="250" w:lineRule="exact"/>
        <w:rPr>
          <w:rFonts w:ascii="Arial" w:cs="Arial" w:eastAsia="Arial" w:hAnsi="Arial"/>
          <w:sz w:val="17"/>
          <w:szCs w:val="17"/>
          <w:color w:val="auto"/>
        </w:rPr>
      </w:pPr>
    </w:p>
    <w:p>
      <w:pPr>
        <w:ind w:left="980" w:right="6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197" w:lineRule="exact"/>
        <w:rPr>
          <w:rFonts w:ascii="Arial" w:cs="Arial" w:eastAsia="Arial" w:hAnsi="Arial"/>
          <w:sz w:val="18"/>
          <w:szCs w:val="18"/>
          <w:color w:val="auto"/>
        </w:rPr>
      </w:pPr>
    </w:p>
    <w:p>
      <w:pPr>
        <w:ind w:left="980" w:right="120" w:hanging="324"/>
        <w:spacing w:after="0" w:line="261"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97" w:lineRule="exact"/>
        <w:rPr>
          <w:rFonts w:ascii="Arial" w:cs="Arial" w:eastAsia="Arial" w:hAnsi="Arial"/>
          <w:sz w:val="18"/>
          <w:szCs w:val="18"/>
          <w:color w:val="auto"/>
        </w:rPr>
      </w:pPr>
    </w:p>
    <w:p>
      <w:pPr>
        <w:ind w:left="980" w:right="400" w:hanging="324"/>
        <w:spacing w:after="0" w:line="261"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to complete forecasted asset sale transactions due to governmental action, litigation, counterparty non-performance or other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52"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980" w:right="300" w:hanging="324"/>
        <w:spacing w:after="0" w:line="342" w:lineRule="auto"/>
        <w:tabs>
          <w:tab w:leader="none" w:pos="9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52" w:lineRule="exact"/>
        <w:rPr>
          <w:rFonts w:ascii="Arial" w:cs="Arial" w:eastAsia="Arial" w:hAnsi="Arial"/>
          <w:sz w:val="18"/>
          <w:szCs w:val="18"/>
          <w:color w:val="auto"/>
        </w:rPr>
      </w:pPr>
    </w:p>
    <w:p>
      <w:pPr>
        <w:ind w:left="980" w:right="4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7" w:lineRule="exact"/>
        <w:rPr>
          <w:rFonts w:ascii="Arial" w:cs="Arial" w:eastAsia="Arial" w:hAnsi="Arial"/>
          <w:sz w:val="18"/>
          <w:szCs w:val="18"/>
          <w:color w:val="auto"/>
        </w:rPr>
      </w:pPr>
    </w:p>
    <w:p>
      <w:pPr>
        <w:ind w:left="980" w:right="340" w:hanging="324"/>
        <w:spacing w:after="0" w:line="291" w:lineRule="auto"/>
        <w:tabs>
          <w:tab w:leader="none" w:pos="97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46"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980" w:right="300" w:hanging="324"/>
        <w:spacing w:after="0" w:line="261"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10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210"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248" w:lineRule="exact"/>
        <w:rPr>
          <w:rFonts w:ascii="Arial" w:cs="Arial" w:eastAsia="Arial" w:hAnsi="Arial"/>
          <w:sz w:val="16"/>
          <w:szCs w:val="16"/>
          <w:color w:val="auto"/>
        </w:rPr>
      </w:pPr>
    </w:p>
    <w:p>
      <w:pPr>
        <w:ind w:left="980" w:right="44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2019 Annual Report on Form 10-K and in Part II of our Quarterly Report on Form 10-Q for the quarter ended March 31, 2020. Except as required by applicable securities laws, we do not intend to update these forward-looking statements and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3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sz w:val="20"/>
          <w:szCs w:val="20"/>
          <w:color w:val="auto"/>
        </w:rPr>
      </w:pPr>
    </w:p>
    <w:p>
      <w:pPr>
        <w:ind w:left="980" w:right="280"/>
        <w:spacing w:after="0" w:line="263"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480" w:firstLine="648"/>
        <w:spacing w:after="0" w:line="269" w:lineRule="auto"/>
        <w:rPr>
          <w:sz w:val="20"/>
          <w:szCs w:val="20"/>
          <w:color w:val="auto"/>
        </w:rPr>
      </w:pPr>
      <w:r>
        <w:rPr>
          <w:rFonts w:ascii="Arial" w:cs="Arial" w:eastAsia="Arial" w:hAnsi="Arial"/>
          <w:sz w:val="18"/>
          <w:szCs w:val="18"/>
          <w:color w:val="auto"/>
        </w:rPr>
        <w:t>The fair value of our commodity derivatives and the change in fair value as of September 30, 2020 that would be expected from a 10% price increase or decrease is shown in the table below (in millions):</w:t>
      </w:r>
    </w:p>
    <w:tbl>
      <w:tblPr>
        <w:tblLayout w:type="fixed"/>
        <w:tblInd w:w="0" w:type="dxa"/>
        <w:tblCellMar>
          <w:top w:w="0" w:type="dxa"/>
          <w:left w:w="0" w:type="dxa"/>
          <w:bottom w:w="0" w:type="dxa"/>
          <w:right w:w="0" w:type="dxa"/>
        </w:tblCellMar>
      </w:tblPr>
      <w:tr>
        <w:trPr>
          <w:trHeight w:val="144"/>
        </w:trPr>
        <w:tc>
          <w:tcPr>
            <w:tcW w:w="67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2"/>
                <w:szCs w:val="12"/>
                <w:color w:val="auto"/>
              </w:rPr>
            </w:pPr>
          </w:p>
        </w:tc>
        <w:tc>
          <w:tcPr>
            <w:tcW w:w="126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8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2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700" w:type="dxa"/>
            <w:vAlign w:val="bottom"/>
          </w:tcPr>
          <w:p>
            <w:pPr>
              <w:ind w:left="120"/>
              <w:spacing w:after="0"/>
              <w:rPr>
                <w:sz w:val="20"/>
                <w:szCs w:val="20"/>
                <w:color w:val="auto"/>
              </w:rPr>
            </w:pPr>
            <w:r>
              <w:rPr>
                <w:rFonts w:ascii="Arial" w:cs="Arial" w:eastAsia="Arial" w:hAnsi="Arial"/>
                <w:sz w:val="18"/>
                <w:szCs w:val="18"/>
                <w:color w:val="auto"/>
              </w:rPr>
              <w:t>Total fair value</w:t>
            </w: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September 30, 2020, approximately $312 million, was subject to interest rate re-sets that generally range from one day to approximately one month. The average interest rate on variable rate debt that was outstanding during the nine months ended September 30, 2020 was 1.6%, based upon rates in effect during such period. The fair value of our interest rate derivatives was a net asset of $17 million as of September 30, 2020. A 10% increase in the forward LIBOR curve as of September 30, 2020 would have resulted in an increase of $12 million to the fair value of our interest rate derivatives. A 10% decrease in the forward LIBOR curve as of September 30, 2020 would have resulted in a decrease of $12 million to the fair value of our interest rate derivatives. See Note 10 to our Condensed Consolidated Financial Statements for a discussion of our interest rate risk hedging activities.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less than $1 million as of September 30, 2020. A 10% increase in the exchange rate (USD-to-CAD) would have resulted in an increase of $4 million to the fair value of our foreign currency derivatives. A 10% decrease in the exchange rate (USD-to-CAD) would have resulted in a decrease of $4 million to the fair value of our foreign currency derivatives. See Note 10 to our Condensed Consolidated Financial Statements for a discussion of our currency exchange rate risk hedging.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United States treasury rates, default probabilities and timing estimates to ultimately calculate the fair value of PAA’s Series A preferred units with and without the Preferred Distribution Rate Reset Option. The fair value of this embedded derivative was a liability of $27 million as of September 30, 2020. A 10% increase or decrease in the fair value would have an impact of $3 million. See Note 10 to our Condensed Consolidated Financial Statements for a discussion of embedded derivatives.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2020,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2020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Other than the risk factors contained in Part II, Item 1A of our Quarterly Report on Form 10-Q for the quarter ended March 31, 2020, there are no material changes from the risk factors as previously disclosed in Part I, Item 1A of our 2019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right="80" w:firstLine="8"/>
        <w:spacing w:after="0" w:line="287" w:lineRule="auto"/>
        <w:tabs>
          <w:tab w:leader="none" w:pos="265" w:val="left"/>
        </w:tabs>
        <w:numPr>
          <w:ilvl w:val="0"/>
          <w:numId w:val="52"/>
        </w:numPr>
        <w:rPr>
          <w:rFonts w:ascii="Arial" w:cs="Arial" w:eastAsia="Arial" w:hAnsi="Arial"/>
          <w:sz w:val="16"/>
          <w:szCs w:val="16"/>
          <w:color w:val="auto"/>
        </w:rPr>
      </w:pPr>
      <w:r>
        <w:rPr>
          <w:rFonts w:ascii="Arial" w:cs="Arial" w:eastAsia="Arial" w:hAnsi="Arial"/>
          <w:sz w:val="16"/>
          <w:szCs w:val="16"/>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September 30, 2020, certain Legacy Owners or their permitted transferees exercised the Exchange Right, which resulted in the issuance of 3,000,000 Class A shares. The issuance of Class A shares in connection with the exercise of the Exchange Right was exempt from the registration requirements of the Securities Act of 1933, as amended, pursuant to Section 4(a)(2)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28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10"/>
          </w:tcPr>
          <w:p>
            <w:pPr>
              <w:spacing w:after="0"/>
              <w:rPr>
                <w:rFonts w:ascii="Arial" w:cs="Arial" w:eastAsia="Arial" w:hAnsi="Arial"/>
                <w:sz w:val="18"/>
                <w:szCs w:val="18"/>
                <w:color w:val="0000FF"/>
                <w:w w:val="97"/>
              </w:rPr>
            </w:pPr>
            <w:hyperlink r:id="rId120">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Statement on Form S-1 (333-190227) filed July 29, 2013).</w:t>
              </w:r>
            </w:hyperlink>
          </w:p>
        </w:tc>
        <w:tc>
          <w:tcPr>
            <w:tcW w:w="4620" w:type="dxa"/>
            <w:vAlign w:val="bottom"/>
            <w:tcBorders>
              <w:top w:val="single" w:sz="8" w:color="0000FF"/>
            </w:tcBorders>
            <w:gridSpan w:val="2"/>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10"/>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224"/>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(incorporated by reference to Exhibit 3.2 to our Current Report on Form 8-K filed November 21, 2016).</w:t>
              </w:r>
            </w:hyperlink>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60" w:type="dxa"/>
            <w:vAlign w:val="bottom"/>
            <w:gridSpan w:val="10"/>
          </w:tcPr>
          <w:p>
            <w:pPr>
              <w:spacing w:after="0"/>
              <w:rPr>
                <w:rFonts w:ascii="Arial" w:cs="Arial" w:eastAsia="Arial" w:hAnsi="Arial"/>
                <w:sz w:val="18"/>
                <w:szCs w:val="18"/>
                <w:color w:val="0000FF"/>
                <w:w w:val="94"/>
              </w:rPr>
            </w:pPr>
            <w:hyperlink r:id="rId122">
              <w:r>
                <w:rPr>
                  <w:rFonts w:ascii="Arial" w:cs="Arial" w:eastAsia="Arial" w:hAnsi="Arial"/>
                  <w:sz w:val="18"/>
                  <w:szCs w:val="18"/>
                  <w:color w:val="0000FF"/>
                  <w:w w:val="94"/>
                </w:rPr>
                <w:t>Amendment No. 1 dated April 6, 2020 to the Second Amended and Restated Agreement of Limited Partnership of Plains GP</w:t>
              </w:r>
            </w:hyperlink>
          </w:p>
        </w:tc>
      </w:tr>
      <w:tr>
        <w:trPr>
          <w:trHeight w:val="224"/>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Holdings, L.P. (incorporated by reference to Exhibit 3.1 to our Current Report on Form 8-K filed April 9, 2020).</w:t>
              </w:r>
            </w:hyperlink>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360" w:type="dxa"/>
            <w:vAlign w:val="bottom"/>
            <w:gridSpan w:val="10"/>
          </w:tcPr>
          <w:p>
            <w:pPr>
              <w:spacing w:after="0"/>
              <w:rPr>
                <w:rFonts w:ascii="Arial" w:cs="Arial" w:eastAsia="Arial" w:hAnsi="Arial"/>
                <w:sz w:val="18"/>
                <w:szCs w:val="18"/>
                <w:color w:val="0000FF"/>
                <w:w w:val="95"/>
              </w:rPr>
            </w:pPr>
            <w:hyperlink r:id="rId123">
              <w:r>
                <w:rPr>
                  <w:rFonts w:ascii="Arial" w:cs="Arial" w:eastAsia="Arial" w:hAnsi="Arial"/>
                  <w:sz w:val="18"/>
                  <w:szCs w:val="18"/>
                  <w:color w:val="0000FF"/>
                  <w:w w:val="95"/>
                </w:rPr>
                <w:t>Certificate of Formation of PAA GP Holdings LLC (incorporated by reference to Exhibit 3.3 to our Registration Statement 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Form S-1 (333-190227) filed July 29, 2013).</w:t>
              </w:r>
            </w:hyperlink>
          </w:p>
        </w:tc>
        <w:tc>
          <w:tcPr>
            <w:tcW w:w="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10"/>
          </w:tcPr>
          <w:p>
            <w:pPr>
              <w:spacing w:after="0"/>
              <w:rPr>
                <w:rFonts w:ascii="Arial" w:cs="Arial" w:eastAsia="Arial" w:hAnsi="Arial"/>
                <w:sz w:val="18"/>
                <w:szCs w:val="18"/>
                <w:color w:val="0000FF"/>
                <w:w w:val="94"/>
              </w:rPr>
            </w:pPr>
            <w:hyperlink r:id="rId124">
              <w:r>
                <w:rPr>
                  <w:rFonts w:ascii="Arial" w:cs="Arial" w:eastAsia="Arial" w:hAnsi="Arial"/>
                  <w:sz w:val="18"/>
                  <w:szCs w:val="18"/>
                  <w:color w:val="0000FF"/>
                  <w:w w:val="94"/>
                </w:rPr>
                <w:t>Third Amended and Restated Limited Liability Company Agreement of PAA GP Holdings LLC dated as of February 16, 2017</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(incorporated by reference to Exhibit 3.1 to our Current Report on Form 8-K filed February 21, 2017).</w:t>
              </w:r>
            </w:hyperlink>
          </w:p>
        </w:tc>
        <w:tc>
          <w:tcPr>
            <w:tcW w:w="1740" w:type="dxa"/>
            <w:vAlign w:val="bottom"/>
            <w:tcBorders>
              <w:top w:val="single" w:sz="8" w:color="0000FF"/>
            </w:tcBorders>
            <w:gridSpan w:val="5"/>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10"/>
          </w:tcPr>
          <w:p>
            <w:pPr>
              <w:spacing w:after="0"/>
              <w:rPr>
                <w:rFonts w:ascii="Arial" w:cs="Arial" w:eastAsia="Arial" w:hAnsi="Arial"/>
                <w:sz w:val="18"/>
                <w:szCs w:val="18"/>
                <w:color w:val="0000FF"/>
                <w:w w:val="92"/>
              </w:rPr>
            </w:pPr>
            <w:hyperlink r:id="rId125">
              <w:r>
                <w:rPr>
                  <w:rFonts w:ascii="Arial" w:cs="Arial" w:eastAsia="Arial" w:hAnsi="Arial"/>
                  <w:sz w:val="18"/>
                  <w:szCs w:val="18"/>
                  <w:color w:val="0000FF"/>
                  <w:w w:val="92"/>
                </w:rPr>
                <w:t>Amendment No. 1 dated October 1, 2018 to the Third Amended and Restated Limited Liability Company Agreement of PAA GP</w:t>
              </w:r>
            </w:hyperlink>
          </w:p>
        </w:tc>
      </w:tr>
      <w:tr>
        <w:trPr>
          <w:trHeight w:val="224"/>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Holdings LLC (incorporated by reference to Exhibit 3.1 to our Current Report on Form 8-K filed August 20, 2018).</w:t>
              </w:r>
            </w:hyperlink>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3.7</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Amendment No. 2 dated December 10, 2018 to the Third Amended and Restated Limited Liability Company Agreement of PAA</w:t>
              </w:r>
            </w:hyperlink>
          </w:p>
        </w:tc>
      </w:tr>
      <w:tr>
        <w:trPr>
          <w:trHeight w:val="224"/>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80" w:type="dxa"/>
            <w:vAlign w:val="bottom"/>
            <w:tcBorders>
              <w:top w:val="single" w:sz="8" w:color="0000FF"/>
            </w:tcBorders>
            <w:gridSpan w:val="25"/>
          </w:tcPr>
          <w:p>
            <w:pPr>
              <w:spacing w:after="0"/>
              <w:rPr>
                <w:rFonts w:ascii="Arial" w:cs="Arial" w:eastAsia="Arial" w:hAnsi="Arial"/>
                <w:sz w:val="18"/>
                <w:szCs w:val="18"/>
                <w:u w:val="single" w:color="auto"/>
                <w:color w:val="0000FF"/>
                <w:w w:val="96"/>
              </w:rPr>
            </w:pPr>
            <w:hyperlink r:id="rId127">
              <w:r>
                <w:rPr>
                  <w:rFonts w:ascii="Arial" w:cs="Arial" w:eastAsia="Arial" w:hAnsi="Arial"/>
                  <w:sz w:val="18"/>
                  <w:szCs w:val="18"/>
                  <w:u w:val="single" w:color="auto"/>
                  <w:color w:val="0000FF"/>
                  <w:w w:val="96"/>
                </w:rPr>
                <w:t>GP Holdings LLC (incorporated by reference to Exhibit 3.1 to our Current Report on Form 8-K filed December 11, 2018).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3.8</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Amendment No. 3 dated November 21, 2019 to the Third Amended and Restated Limited Liability Company Agreement of PAA</w:t>
              </w:r>
            </w:hyperlink>
          </w:p>
        </w:tc>
      </w:tr>
      <w:tr>
        <w:trPr>
          <w:trHeight w:val="224"/>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20" w:type="dxa"/>
            <w:vAlign w:val="bottom"/>
            <w:tcBorders>
              <w:top w:val="single" w:sz="8" w:color="0000FF"/>
            </w:tcBorders>
            <w:gridSpan w:val="27"/>
          </w:tcPr>
          <w:p>
            <w:pPr>
              <w:spacing w:after="0"/>
              <w:rPr>
                <w:rFonts w:ascii="Arial" w:cs="Arial" w:eastAsia="Arial" w:hAnsi="Arial"/>
                <w:sz w:val="18"/>
                <w:szCs w:val="18"/>
                <w:u w:val="single" w:color="auto"/>
                <w:color w:val="0000FF"/>
                <w:w w:val="97"/>
              </w:rPr>
            </w:pPr>
            <w:hyperlink r:id="rId128">
              <w:r>
                <w:rPr>
                  <w:rFonts w:ascii="Arial" w:cs="Arial" w:eastAsia="Arial" w:hAnsi="Arial"/>
                  <w:sz w:val="18"/>
                  <w:szCs w:val="18"/>
                  <w:u w:val="single" w:color="auto"/>
                  <w:color w:val="0000FF"/>
                  <w:w w:val="97"/>
                </w:rPr>
                <w:t>GP Holdings LLC (incorporated by reference to Exhibit 3.1 to our Current Report on Form 8-K filed November 27, 2019).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3.9</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Seventh Amended and Restated Agreement of Limited Partnership of Plains All American Pipeline, L.P., dated as of October 10,</w:t>
              </w:r>
            </w:hyperlink>
          </w:p>
        </w:tc>
      </w:tr>
      <w:tr>
        <w:trPr>
          <w:trHeight w:val="224"/>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00" w:type="dxa"/>
            <w:vAlign w:val="bottom"/>
            <w:tcBorders>
              <w:top w:val="single" w:sz="8" w:color="0000FF"/>
            </w:tcBorders>
            <w:gridSpan w:val="26"/>
          </w:tcPr>
          <w:p>
            <w:pPr>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2017 (incorporated by reference to Exhibit 3.1 to PAA's Current Report on Form 8-K filed October 12, 2017).</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3.10</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5"/>
              </w:rPr>
            </w:pPr>
            <w:hyperlink r:id="rId130">
              <w:r>
                <w:rPr>
                  <w:rFonts w:ascii="Arial" w:cs="Arial" w:eastAsia="Arial" w:hAnsi="Arial"/>
                  <w:sz w:val="18"/>
                  <w:szCs w:val="18"/>
                  <w:color w:val="0000FF"/>
                  <w:w w:val="95"/>
                </w:rPr>
                <w:t>Seventh Amended and Restated Limited Liability Company Agreement of Plains All American GP LLC dated November 15,</w:t>
              </w:r>
            </w:hyperlink>
          </w:p>
        </w:tc>
      </w:tr>
      <w:tr>
        <w:trPr>
          <w:trHeight w:val="224"/>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4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2016 (incorporated by reference to Exhibit 3.3 to our Current Report on Form 8-K filed November 21, 2016).</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3.11</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Eighth Amended and Restated Limited Partnership Agreement of Plains AAP, L.P. dated November 15, 2016 (incorporated by</w:t>
              </w:r>
            </w:hyperlink>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3.12</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4"/>
              </w:rPr>
            </w:pPr>
            <w:hyperlink r:id="rId132">
              <w:r>
                <w:rPr>
                  <w:rFonts w:ascii="Arial" w:cs="Arial" w:eastAsia="Arial" w:hAnsi="Arial"/>
                  <w:sz w:val="18"/>
                  <w:szCs w:val="18"/>
                  <w:color w:val="0000FF"/>
                  <w:w w:val="94"/>
                </w:rPr>
                <w:t>Amendment No. 1 dated September 26, 2018 to the Eighth Amended and Restated Limited Partnership Agreement of Plains</w:t>
              </w:r>
            </w:hyperlink>
          </w:p>
        </w:tc>
      </w:tr>
      <w:tr>
        <w:trPr>
          <w:trHeight w:val="224"/>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96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AAP, L.P. (incorporated by reference to Exhibit 3.1 to our Current Report on Form 8-K filed October 2, 2018).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3.13</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Amendment No. 2 dated May 23, 2019 to the Eighth Amended and Restated Limited Partnership Agreement of Plains AAP, L.P.</w:t>
              </w:r>
            </w:hyperlink>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3.14</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4"/>
              </w:rPr>
            </w:pPr>
            <w:hyperlink r:id="rId134">
              <w:r>
                <w:rPr>
                  <w:rFonts w:ascii="Arial" w:cs="Arial" w:eastAsia="Arial" w:hAnsi="Arial"/>
                  <w:sz w:val="18"/>
                  <w:szCs w:val="18"/>
                  <w:color w:val="0000FF"/>
                  <w:w w:val="94"/>
                </w:rPr>
                <w:t>Limited Liability Company Agreement of PAA GP LLC dated December 28, 2007 (incorporated by reference to Exhibit 3.3 to</w:t>
              </w:r>
            </w:hyperlink>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PAA’s Current Report on Form 8-K filed January 4,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4.1</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7"/>
              </w:rPr>
            </w:pPr>
            <w:hyperlink r:id="rId135">
              <w:r>
                <w:rPr>
                  <w:rFonts w:ascii="Arial" w:cs="Arial" w:eastAsia="Arial" w:hAnsi="Arial"/>
                  <w:sz w:val="18"/>
                  <w:szCs w:val="18"/>
                  <w:color w:val="0000FF"/>
                  <w:w w:val="97"/>
                </w:rPr>
                <w:t>Indenture dated September 25, 2002 among Plains All American Pipeline, L.P., PAA Finance Corp. and Wachovia Bank,</w:t>
              </w:r>
            </w:hyperlink>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7"/>
              </w:rPr>
            </w:pPr>
            <w:hyperlink r:id="rId135">
              <w:r>
                <w:rPr>
                  <w:rFonts w:ascii="Arial" w:cs="Arial" w:eastAsia="Arial" w:hAnsi="Arial"/>
                  <w:sz w:val="18"/>
                  <w:szCs w:val="18"/>
                  <w:color w:val="0000FF"/>
                  <w:w w:val="97"/>
                </w:rPr>
                <w:t>National Association, as trustee (incorporated by reference to Exhibit 4.1 to PAA’s Quarterly Report on Form 10-Q for the</w:t>
              </w:r>
            </w:hyperlink>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35">
              <w:r>
                <w:rPr>
                  <w:rFonts w:ascii="Arial" w:cs="Arial" w:eastAsia="Arial" w:hAnsi="Arial"/>
                  <w:sz w:val="18"/>
                  <w:szCs w:val="18"/>
                  <w:color w:val="0000FF"/>
                  <w:w w:val="87"/>
                </w:rPr>
                <w:t>quarter ended September 30, 2002).</w:t>
              </w:r>
            </w:hyperlink>
          </w:p>
        </w:tc>
        <w:tc>
          <w:tcPr>
            <w:tcW w:w="62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4.2</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Sixth Supplemental Indenture (Series A and Series B 6.70% Senior Notes due 2036) dated May 12, 2006 among Plains All</w:t>
              </w:r>
            </w:hyperlink>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60" w:type="dxa"/>
            <w:vAlign w:val="bottom"/>
            <w:tcBorders>
              <w:top w:val="single" w:sz="8" w:color="0000FF"/>
            </w:tcBorders>
            <w:gridSpan w:val="13"/>
          </w:tcPr>
          <w:p>
            <w:pPr>
              <w:spacing w:after="0" w:line="156" w:lineRule="exact"/>
              <w:rPr>
                <w:rFonts w:ascii="Arial" w:cs="Arial" w:eastAsia="Arial" w:hAnsi="Arial"/>
                <w:sz w:val="18"/>
                <w:szCs w:val="18"/>
                <w:color w:val="0000FF"/>
                <w:w w:val="94"/>
              </w:rPr>
            </w:pPr>
            <w:hyperlink r:id="rId136">
              <w:r>
                <w:rPr>
                  <w:rFonts w:ascii="Arial" w:cs="Arial" w:eastAsia="Arial" w:hAnsi="Arial"/>
                  <w:sz w:val="18"/>
                  <w:szCs w:val="18"/>
                  <w:color w:val="0000FF"/>
                  <w:w w:val="94"/>
                </w:rPr>
                <w:t>American Pipeline, L.P., PAA Finance Corp., the Subsidiary Guarantors named therein and Wachovia Bank, National</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60" w:type="dxa"/>
            <w:vAlign w:val="bottom"/>
            <w:tcBorders>
              <w:top w:val="single" w:sz="8" w:color="0000FF"/>
            </w:tcBorders>
            <w:gridSpan w:val="8"/>
          </w:tcPr>
          <w:p>
            <w:pPr>
              <w:spacing w:after="0"/>
              <w:rPr>
                <w:rFonts w:ascii="Arial" w:cs="Arial" w:eastAsia="Arial" w:hAnsi="Arial"/>
                <w:sz w:val="18"/>
                <w:szCs w:val="18"/>
                <w:u w:val="single" w:color="auto"/>
                <w:color w:val="0000FF"/>
                <w:w w:val="92"/>
              </w:rPr>
            </w:pPr>
            <w:hyperlink r:id="rId136">
              <w:r>
                <w:rPr>
                  <w:rFonts w:ascii="Arial" w:cs="Arial" w:eastAsia="Arial" w:hAnsi="Arial"/>
                  <w:sz w:val="18"/>
                  <w:szCs w:val="18"/>
                  <w:u w:val="single" w:color="auto"/>
                  <w:color w:val="0000FF"/>
                  <w:w w:val="92"/>
                </w:rPr>
                <w:t>Association, as trustee (incorporated by reference to Exhibit 4.1 to PAA’s Current Report on Form 8-K filed May 12,</w:t>
              </w:r>
            </w:hyperlink>
          </w:p>
        </w:tc>
        <w:tc>
          <w:tcPr>
            <w:tcW w:w="520" w:type="dxa"/>
            <w:vAlign w:val="bottom"/>
            <w:gridSpan w:val="7"/>
          </w:tcPr>
          <w:p>
            <w:pPr>
              <w:jc w:val="right"/>
              <w:ind w:right="60"/>
              <w:spacing w:after="0"/>
              <w:rPr>
                <w:rFonts w:ascii="Arial" w:cs="Arial" w:eastAsia="Arial" w:hAnsi="Arial"/>
                <w:sz w:val="18"/>
                <w:szCs w:val="18"/>
                <w:u w:val="single" w:color="auto"/>
                <w:color w:val="0000FF"/>
                <w:w w:val="86"/>
              </w:rPr>
            </w:pPr>
            <w:hyperlink r:id="rId136">
              <w:r>
                <w:rPr>
                  <w:rFonts w:ascii="Arial" w:cs="Arial" w:eastAsia="Arial" w:hAnsi="Arial"/>
                  <w:sz w:val="18"/>
                  <w:szCs w:val="18"/>
                  <w:u w:val="single" w:color="auto"/>
                  <w:color w:val="0000FF"/>
                  <w:w w:val="86"/>
                </w:rPr>
                <w:t>2006).</w:t>
              </w:r>
            </w:hyperlink>
          </w:p>
        </w:tc>
        <w:tc>
          <w:tcPr>
            <w:tcW w:w="20" w:type="dxa"/>
            <w:vAlign w:val="bottom"/>
          </w:tcPr>
          <w:p>
            <w:pPr>
              <w:spacing w:after="0"/>
              <w:rPr>
                <w:sz w:val="19"/>
                <w:szCs w:val="19"/>
                <w:color w:val="auto"/>
              </w:rPr>
            </w:pPr>
          </w:p>
        </w:tc>
        <w:tc>
          <w:tcPr>
            <w:tcW w:w="14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4.3</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1"/>
              </w:rPr>
            </w:pPr>
            <w:hyperlink r:id="rId137">
              <w:r>
                <w:rPr>
                  <w:rFonts w:ascii="Arial" w:cs="Arial" w:eastAsia="Arial" w:hAnsi="Arial"/>
                  <w:sz w:val="18"/>
                  <w:szCs w:val="18"/>
                  <w:color w:val="0000FF"/>
                  <w:w w:val="91"/>
                </w:rPr>
                <w:t>Tenth Supplemental Indenture (Series A and Series B 6.650% Senior Notes due 2037) dated October 30, 2006 among Plains All</w:t>
              </w:r>
            </w:hyperlink>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2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American Pipeline, L.P., PAA Finance Corp., the Subsidiary Guarantors named therein and U.S. Bank National Association, as</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14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trustee (incorporated by reference to Exhibit 4.2 to PAA’s Current Report on Form 8-K filed October 30, 2006).</w:t>
              </w:r>
            </w:hyperlink>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4.4</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0"/>
              </w:rPr>
            </w:pPr>
            <w:hyperlink r:id="rId138">
              <w:r>
                <w:rPr>
                  <w:rFonts w:ascii="Arial" w:cs="Arial" w:eastAsia="Arial" w:hAnsi="Arial"/>
                  <w:sz w:val="18"/>
                  <w:szCs w:val="18"/>
                  <w:color w:val="0000FF"/>
                  <w:w w:val="90"/>
                </w:rPr>
                <w:t>Nineteenth Supplemental Indenture (5.00% Senior Notes due 2021) dated January 14, 2011 among Plains All American Pipeline,</w:t>
              </w:r>
            </w:hyperlink>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tcBorders>
              <w:top w:val="single" w:sz="8" w:color="0000FF"/>
            </w:tcBorders>
            <w:gridSpan w:val="28"/>
          </w:tcPr>
          <w:p>
            <w:pPr>
              <w:spacing w:after="0" w:line="15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L.P., PAA Finance Corp., the Subsidiary Guarantors named therein and U.S. Bank National Association, as trustee (incorporated</w:t>
              </w:r>
            </w:hyperlink>
          </w:p>
        </w:tc>
        <w:tc>
          <w:tcPr>
            <w:tcW w:w="2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by reference to Exhibit 4.1 to PAA’s Current Report on Form 8-K filed January 11, 2011).</w:t>
              </w:r>
            </w:hyperlink>
          </w:p>
        </w:tc>
        <w:tc>
          <w:tcPr>
            <w:tcW w:w="2780" w:type="dxa"/>
            <w:vAlign w:val="bottom"/>
            <w:tcBorders>
              <w:top w:val="single" w:sz="8" w:color="0000FF"/>
            </w:tcBorders>
            <w:gridSpan w:val="1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4.5</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Twentieth Supplemental Indenture (3.65% Senior Notes due 2022) dated March 22, 2012 among Plains All American Pipeline,</w:t>
              </w:r>
            </w:hyperlink>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6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139">
              <w:r>
                <w:rPr>
                  <w:rFonts w:ascii="Arial" w:cs="Arial" w:eastAsia="Arial" w:hAnsi="Arial"/>
                  <w:sz w:val="18"/>
                  <w:szCs w:val="18"/>
                  <w:color w:val="0000FF"/>
                  <w:w w:val="94"/>
                </w:rPr>
                <w:t>L.P., PAA Finance Corp and U.S. Bank National Association, as trustee (incorporated by reference to Exhibit 4.1 to PAA’s</w:t>
              </w:r>
            </w:hyperlink>
          </w:p>
        </w:tc>
        <w:tc>
          <w:tcPr>
            <w:tcW w:w="200" w:type="dxa"/>
            <w:vAlign w:val="bottom"/>
            <w:gridSpan w:val="8"/>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Current Report on Form 8-K filed March 26, 2012).</w:t>
              </w:r>
            </w:hyperlink>
          </w:p>
        </w:tc>
        <w:tc>
          <w:tcPr>
            <w:tcW w:w="5080" w:type="dxa"/>
            <w:vAlign w:val="bottom"/>
            <w:tcBorders>
              <w:top w:val="single" w:sz="8" w:color="0000FF"/>
            </w:tcBorders>
            <w:gridSpan w:val="10"/>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13"/>
          </w:tcPr>
          <w:p>
            <w:pPr>
              <w:spacing w:after="0"/>
              <w:rPr>
                <w:sz w:val="13"/>
                <w:szCs w:val="13"/>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4.6</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8"/>
              </w:rPr>
            </w:pPr>
            <w:hyperlink r:id="rId140">
              <w:r>
                <w:rPr>
                  <w:rFonts w:ascii="Arial" w:cs="Arial" w:eastAsia="Arial" w:hAnsi="Arial"/>
                  <w:sz w:val="18"/>
                  <w:szCs w:val="18"/>
                  <w:color w:val="0000FF"/>
                  <w:w w:val="98"/>
                </w:rPr>
                <w:t>Twenty-First Supplemental Indenture (5.15% Senior Notes due 2042) dated March 22, 2012 among Plains All American</w:t>
              </w:r>
            </w:hyperlink>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520" w:type="dxa"/>
            <w:vAlign w:val="bottom"/>
            <w:gridSpan w:val="4"/>
            <w:shd w:val="clear" w:color="auto" w:fill="0000FF"/>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4"/>
              </w:rPr>
            </w:pPr>
            <w:hyperlink r:id="rId140">
              <w:r>
                <w:rPr>
                  <w:rFonts w:ascii="Arial" w:cs="Arial" w:eastAsia="Arial" w:hAnsi="Arial"/>
                  <w:sz w:val="18"/>
                  <w:szCs w:val="18"/>
                  <w:color w:val="0000FF"/>
                  <w:w w:val="94"/>
                </w:rPr>
                <w:t>Pipeline, L.P., PAA Finance Corp and U.S. Bank National Association, as trustee (incorporated by reference to Exhibit 4.3 to</w:t>
              </w:r>
            </w:hyperlink>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PAA’s Current Report on Form 8-K filed March 26, 2012).</w:t>
              </w:r>
            </w:hyperlink>
          </w:p>
        </w:tc>
        <w:tc>
          <w:tcPr>
            <w:tcW w:w="360" w:type="dxa"/>
            <w:vAlign w:val="bottom"/>
            <w:gridSpan w:val="13"/>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4.7</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60" w:type="dxa"/>
            <w:vAlign w:val="bottom"/>
            <w:gridSpan w:val="29"/>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Twenty-Second Supplemental Indenture (2.85% Senior Notes due 2023) dated December 10, 2012, by and among Plains All</w:t>
              </w:r>
            </w:hyperlink>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8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American Pipeline, L.P., PAA Finance Corp. and U.S. Bank National Association, as trustee (incorporated by reference to</w:t>
              </w:r>
            </w:hyperlink>
          </w:p>
        </w:tc>
        <w:tc>
          <w:tcPr>
            <w:tcW w:w="380" w:type="dxa"/>
            <w:vAlign w:val="bottom"/>
            <w:gridSpan w:val="14"/>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Exhibit 4.1 to PAA’s Current Report on Form 8-K filed December 12, 2012).</w:t>
              </w:r>
            </w:hyperlink>
          </w:p>
        </w:tc>
        <w:tc>
          <w:tcPr>
            <w:tcW w:w="600" w:type="dxa"/>
            <w:vAlign w:val="bottom"/>
            <w:gridSpan w:val="19"/>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center"/>
              <w:ind w:left="70"/>
              <w:spacing w:after="0"/>
              <w:rPr>
                <w:sz w:val="20"/>
                <w:szCs w:val="20"/>
                <w:color w:val="auto"/>
              </w:rPr>
            </w:pPr>
            <w:r>
              <w:rPr>
                <w:rFonts w:ascii="Arial" w:cs="Arial" w:eastAsia="Arial" w:hAnsi="Arial"/>
                <w:sz w:val="18"/>
                <w:szCs w:val="18"/>
                <w:color w:val="auto"/>
                <w:w w:val="87"/>
              </w:rPr>
              <w:t>4.8</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color w:val="0000FF"/>
                <w:w w:val="96"/>
              </w:rPr>
            </w:pPr>
            <w:hyperlink r:id="rId143">
              <w:r>
                <w:rPr>
                  <w:rFonts w:ascii="Arial" w:cs="Arial" w:eastAsia="Arial" w:hAnsi="Arial"/>
                  <w:sz w:val="18"/>
                  <w:szCs w:val="18"/>
                  <w:color w:val="0000FF"/>
                  <w:w w:val="96"/>
                </w:rPr>
                <w:t>Twenty-Third Supplemental Indenture (4.30% Senior Notes due 2043) dated December 10, 2012, by and among Plains All</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6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American Pipeline, L.P., PAA Finance Corp. and U.S. Bank National Association, as trustee (incorporated by reference to</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Exhibit 4.3 to PAA’s Current Report on Form 8-K filed December 12, 2012).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center"/>
              <w:ind w:left="70"/>
              <w:spacing w:after="0"/>
              <w:rPr>
                <w:sz w:val="20"/>
                <w:szCs w:val="20"/>
                <w:color w:val="auto"/>
              </w:rPr>
            </w:pPr>
            <w:r>
              <w:rPr>
                <w:rFonts w:ascii="Arial" w:cs="Arial" w:eastAsia="Arial" w:hAnsi="Arial"/>
                <w:sz w:val="18"/>
                <w:szCs w:val="18"/>
                <w:color w:val="auto"/>
                <w:w w:val="87"/>
              </w:rPr>
              <w:t>4.9</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color w:val="0000FF"/>
                <w:w w:val="97"/>
              </w:rPr>
            </w:pPr>
            <w:hyperlink r:id="rId144">
              <w:r>
                <w:rPr>
                  <w:rFonts w:ascii="Arial" w:cs="Arial" w:eastAsia="Arial" w:hAnsi="Arial"/>
                  <w:sz w:val="18"/>
                  <w:szCs w:val="18"/>
                  <w:color w:val="0000FF"/>
                  <w:w w:val="97"/>
                </w:rPr>
                <w:t>Twenty-Fourth Supplemental Indenture (3.85% Senior Notes due 2023) dated August 15, 2013, by and among Plains All</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380" w:type="dxa"/>
            <w:vAlign w:val="bottom"/>
            <w:gridSpan w:val="23"/>
          </w:tcPr>
          <w:p>
            <w:pPr>
              <w:spacing w:after="0" w:line="156" w:lineRule="exact"/>
              <w:rPr>
                <w:rFonts w:ascii="Arial" w:cs="Arial" w:eastAsia="Arial" w:hAnsi="Arial"/>
                <w:sz w:val="18"/>
                <w:szCs w:val="18"/>
                <w:color w:val="0000FF"/>
                <w:w w:val="96"/>
              </w:rPr>
            </w:pPr>
            <w:hyperlink r:id="rId144">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Exhibit 4.1 to PAA’s Current Report on Form 8-K filed August 15, 2013).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4.10</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19"/>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Twenty-Fifth Supplemental Indenture (4.70% Senior Notes due 2044) dated April 23, 2014, by and among Plains All American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380" w:type="dxa"/>
            <w:vAlign w:val="bottom"/>
            <w:gridSpan w:val="23"/>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145">
              <w:r>
                <w:rPr>
                  <w:rFonts w:ascii="Arial" w:cs="Arial" w:eastAsia="Arial" w:hAnsi="Arial"/>
                  <w:sz w:val="18"/>
                  <w:szCs w:val="18"/>
                  <w:color w:val="0000FF"/>
                  <w:w w:val="93"/>
                </w:rPr>
                <w:t>Current Report on Form 8-K filed April 29, 2014).</w:t>
              </w:r>
            </w:hyperlink>
          </w:p>
        </w:tc>
        <w:tc>
          <w:tcPr>
            <w:tcW w:w="566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4.11</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color w:val="0000FF"/>
                <w:w w:val="96"/>
              </w:rPr>
            </w:pPr>
            <w:hyperlink r:id="rId146">
              <w:r>
                <w:rPr>
                  <w:rFonts w:ascii="Arial" w:cs="Arial" w:eastAsia="Arial" w:hAnsi="Arial"/>
                  <w:sz w:val="18"/>
                  <w:szCs w:val="18"/>
                  <w:color w:val="0000FF"/>
                  <w:w w:val="96"/>
                </w:rPr>
                <w:t>Twenty-Sixth Supplemental Indenture (3.60% Senior Notes due 2024) dated September 9, 2014, by and among Plains All</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60" w:type="dxa"/>
            <w:vAlign w:val="bottom"/>
            <w:tcBorders>
              <w:top w:val="single" w:sz="8" w:color="0000FF"/>
            </w:tcBorders>
            <w:gridSpan w:val="9"/>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Exhibit 4.1 to our Current Report on Form 8-K filed September 11, 2014).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4.12</w:t>
            </w:r>
          </w:p>
        </w:tc>
        <w:tc>
          <w:tcPr>
            <w:tcW w:w="680" w:type="dxa"/>
            <w:vAlign w:val="bottom"/>
          </w:tcPr>
          <w:p>
            <w:pPr>
              <w:spacing w:after="0"/>
              <w:rPr>
                <w:sz w:val="24"/>
                <w:szCs w:val="24"/>
                <w:color w:val="auto"/>
              </w:rPr>
            </w:pPr>
          </w:p>
        </w:tc>
        <w:tc>
          <w:tcPr>
            <w:tcW w:w="9380" w:type="dxa"/>
            <w:vAlign w:val="bottom"/>
            <w:gridSpan w:val="23"/>
          </w:tcPr>
          <w:p>
            <w:pPr>
              <w:spacing w:after="0"/>
              <w:rPr>
                <w:rFonts w:ascii="Arial" w:cs="Arial" w:eastAsia="Arial" w:hAnsi="Arial"/>
                <w:sz w:val="18"/>
                <w:szCs w:val="18"/>
                <w:color w:val="0000FF"/>
                <w:w w:val="96"/>
              </w:rPr>
            </w:pPr>
            <w:hyperlink r:id="rId147">
              <w:r>
                <w:rPr>
                  <w:rFonts w:ascii="Arial" w:cs="Arial" w:eastAsia="Arial" w:hAnsi="Arial"/>
                  <w:sz w:val="18"/>
                  <w:szCs w:val="18"/>
                  <w:color w:val="0000FF"/>
                  <w:w w:val="96"/>
                </w:rPr>
                <w:t>Twenty-Eighth Supplemental Indenture (4.90% Senior Notes due 2045) dated December 9, 2014, by and among Plains All</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6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84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American Pipeline, L.P., PAA Finance Corp., and U.S. Bank National Association, as trustee (incorporated by reference to</w:t>
              </w:r>
            </w:hyperlink>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5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Exhibit 4.3 to our Current Report on Form 8-K filed December 11, 2014).</w:t>
              </w:r>
            </w:hyperlink>
          </w:p>
        </w:tc>
        <w:tc>
          <w:tcPr>
            <w:tcW w:w="3480" w:type="dxa"/>
            <w:vAlign w:val="bottom"/>
            <w:tcBorders>
              <w:top w:val="single" w:sz="8" w:color="0000FF"/>
            </w:tcBorders>
            <w:gridSpan w:val="5"/>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4.13</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color w:val="0000FF"/>
                <w:w w:val="98"/>
              </w:rPr>
            </w:pPr>
            <w:hyperlink r:id="rId148">
              <w:r>
                <w:rPr>
                  <w:rFonts w:ascii="Arial" w:cs="Arial" w:eastAsia="Arial" w:hAnsi="Arial"/>
                  <w:sz w:val="18"/>
                  <w:szCs w:val="18"/>
                  <w:color w:val="0000FF"/>
                  <w:w w:val="98"/>
                </w:rPr>
                <w:t>Twenty-Ninth Supplemental Indenture (4.65% Senior Notes due 2025) dated August 24, 2015, by and among Plains All</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70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American Pipeline, L.P., PAA Finance Corp., and U.S. Bank National Association, as trustee (incorporated by reference</w:t>
              </w:r>
            </w:hyperlink>
          </w:p>
        </w:tc>
        <w:tc>
          <w:tcPr>
            <w:tcW w:w="680" w:type="dxa"/>
            <w:vAlign w:val="bottom"/>
            <w:gridSpan w:val="15"/>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Exhibit 4.1 to PAA’s Current Report on Form 8-K filed August 26, 2015).</w:t>
              </w:r>
            </w:hyperlink>
          </w:p>
        </w:tc>
        <w:tc>
          <w:tcPr>
            <w:tcW w:w="1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7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4.14</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Thirtieth Supplemental Indenture (4.50% Senior Notes due 2026) dated November 22, 2016, by and among Plains All American</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8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PAA’s Current Report on Form 8-K filed November 29, 2016).</w:t>
              </w:r>
            </w:hyperlink>
          </w:p>
        </w:tc>
        <w:tc>
          <w:tcPr>
            <w:tcW w:w="4580" w:type="dxa"/>
            <w:vAlign w:val="bottom"/>
            <w:tcBorders>
              <w:top w:val="single" w:sz="8" w:color="0000FF"/>
            </w:tcBorders>
            <w:gridSpan w:val="13"/>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4.15</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color w:val="0000FF"/>
                <w:w w:val="91"/>
              </w:rPr>
            </w:pPr>
            <w:hyperlink r:id="rId150">
              <w:r>
                <w:rPr>
                  <w:rFonts w:ascii="Arial" w:cs="Arial" w:eastAsia="Arial" w:hAnsi="Arial"/>
                  <w:sz w:val="18"/>
                  <w:szCs w:val="18"/>
                  <w:color w:val="0000FF"/>
                  <w:w w:val="91"/>
                </w:rPr>
                <w:t>Thirty-First Supplemental Indenture (3.55% Senior Notes due 2029) dated September 16, 2019, and among Plains All American</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6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150">
              <w:r>
                <w:rPr>
                  <w:rFonts w:ascii="Arial" w:cs="Arial" w:eastAsia="Arial" w:hAnsi="Arial"/>
                  <w:sz w:val="18"/>
                  <w:szCs w:val="18"/>
                  <w:color w:val="0000FF"/>
                  <w:w w:val="93"/>
                </w:rPr>
                <w:t>Pipeline, L.P., PAA Finance Corp. and U.S. Bank National Association, as trustee (incorporated by reference to Exhibit 4.1 to</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PAA’s Current Report on Form 8-K filed June 11, 2020).</w:t>
              </w:r>
            </w:hyperlink>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8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4.16</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Thirty-Second Supplemental Indenture (3.80% Senior Notes due 2030) dated June 11, 2020, and among Plains All American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480" w:type="dxa"/>
            <w:vAlign w:val="bottom"/>
            <w:gridSpan w:val="10"/>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380" w:type="dxa"/>
            <w:vAlign w:val="bottom"/>
            <w:gridSpan w:val="23"/>
          </w:tcPr>
          <w:p>
            <w:pPr>
              <w:spacing w:after="0" w:line="156" w:lineRule="exact"/>
              <w:rPr>
                <w:rFonts w:ascii="Arial" w:cs="Arial" w:eastAsia="Arial" w:hAnsi="Arial"/>
                <w:sz w:val="18"/>
                <w:szCs w:val="18"/>
                <w:color w:val="0000FF"/>
                <w:w w:val="94"/>
              </w:rPr>
            </w:pPr>
            <w:hyperlink r:id="rId151">
              <w:r>
                <w:rPr>
                  <w:rFonts w:ascii="Arial" w:cs="Arial" w:eastAsia="Arial" w:hAnsi="Arial"/>
                  <w:sz w:val="18"/>
                  <w:szCs w:val="18"/>
                  <w:color w:val="0000FF"/>
                  <w:w w:val="94"/>
                </w:rPr>
                <w:t>Pipeline, L.P., PAA Finance Corp. and U.S. Bank National Association, as trustee (incorporated by reference to Exhibit 4.1 to</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PAA’s Current Report on Form 8-K filed September 17, 2019).</w:t>
              </w:r>
            </w:hyperlink>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56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4.17</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color w:val="0000FF"/>
                <w:w w:val="92"/>
              </w:rPr>
            </w:pPr>
            <w:hyperlink r:id="rId152">
              <w:r>
                <w:rPr>
                  <w:rFonts w:ascii="Arial" w:cs="Arial" w:eastAsia="Arial" w:hAnsi="Arial"/>
                  <w:sz w:val="18"/>
                  <w:szCs w:val="18"/>
                  <w:color w:val="0000FF"/>
                  <w:w w:val="92"/>
                </w:rPr>
                <w:t>Shareholder and Registration Rights Agreement dated October 21, 2013 by and among Plains GP Holdings, L.P. and the other</w:t>
              </w:r>
            </w:hyperlink>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80" w:type="dxa"/>
            <w:vAlign w:val="bottom"/>
            <w:tcBorders>
              <w:top w:val="single" w:sz="8" w:color="0000FF"/>
            </w:tcBorders>
            <w:gridSpan w:val="16"/>
          </w:tcPr>
          <w:p>
            <w:pPr>
              <w:spacing w:after="0"/>
              <w:rPr>
                <w:rFonts w:ascii="Arial" w:cs="Arial" w:eastAsia="Arial" w:hAnsi="Arial"/>
                <w:sz w:val="18"/>
                <w:szCs w:val="18"/>
                <w:u w:val="single" w:color="auto"/>
                <w:color w:val="0000FF"/>
                <w:w w:val="91"/>
              </w:rPr>
            </w:pPr>
            <w:hyperlink r:id="rId152">
              <w:r>
                <w:rPr>
                  <w:rFonts w:ascii="Arial" w:cs="Arial" w:eastAsia="Arial" w:hAnsi="Arial"/>
                  <w:sz w:val="18"/>
                  <w:szCs w:val="18"/>
                  <w:u w:val="single" w:color="auto"/>
                  <w:color w:val="0000FF"/>
                  <w:w w:val="91"/>
                </w:rPr>
                <w:t>parties signatory thereto (incorporated by reference to Exhibit 4.1 to our Current Report on Form 8-K filed October 25, 2013).</w:t>
              </w:r>
            </w:hyperlink>
          </w:p>
        </w:tc>
        <w:tc>
          <w:tcPr>
            <w:tcW w:w="120" w:type="dxa"/>
            <w:vAlign w:val="bottom"/>
            <w:gridSpan w:val="2"/>
          </w:tcPr>
          <w:p>
            <w:pPr>
              <w:spacing w:after="0"/>
              <w:rPr>
                <w:sz w:val="19"/>
                <w:szCs w:val="19"/>
                <w:color w:val="auto"/>
              </w:rPr>
            </w:pPr>
          </w:p>
        </w:tc>
        <w:tc>
          <w:tcPr>
            <w:tcW w:w="1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91"/>
              </w:rPr>
              <w:t>4.18</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Description of Our Securities (incorporated by reference to Exhibit 4.17 to our Annual Report on Form 10-K for the year ended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December 31, 2019).</w:t>
              </w:r>
            </w:hyperlink>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8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jc w:val="center"/>
              <w:ind w:left="70"/>
              <w:spacing w:after="0"/>
              <w:rPr>
                <w:sz w:val="20"/>
                <w:szCs w:val="20"/>
                <w:color w:val="auto"/>
              </w:rPr>
            </w:pPr>
            <w:r>
              <w:rPr>
                <w:rFonts w:ascii="Arial" w:cs="Arial" w:eastAsia="Arial" w:hAnsi="Arial"/>
                <w:sz w:val="18"/>
                <w:szCs w:val="18"/>
                <w:color w:val="auto"/>
                <w:w w:val="94"/>
              </w:rPr>
              <w:t>10.1 *†</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Form of LTIP Grant Letter dated August 13, 2020 (Officers)</w:t>
              </w:r>
            </w:hyperlink>
          </w:p>
        </w:tc>
        <w:tc>
          <w:tcPr>
            <w:tcW w:w="0" w:type="dxa"/>
            <w:vAlign w:val="bottom"/>
          </w:tcPr>
          <w:p>
            <w:pPr>
              <w:spacing w:after="0"/>
              <w:rPr>
                <w:sz w:val="1"/>
                <w:szCs w:val="1"/>
                <w:color w:val="auto"/>
              </w:rPr>
            </w:pPr>
          </w:p>
        </w:tc>
      </w:tr>
      <w:tr>
        <w:trPr>
          <w:trHeight w:val="338"/>
        </w:trPr>
        <w:tc>
          <w:tcPr>
            <w:tcW w:w="1180" w:type="dxa"/>
            <w:vAlign w:val="bottom"/>
          </w:tcPr>
          <w:p>
            <w:pPr>
              <w:jc w:val="center"/>
              <w:ind w:left="70"/>
              <w:spacing w:after="0"/>
              <w:rPr>
                <w:sz w:val="20"/>
                <w:szCs w:val="20"/>
                <w:color w:val="auto"/>
              </w:rPr>
            </w:pPr>
            <w:r>
              <w:rPr>
                <w:rFonts w:ascii="Arial" w:cs="Arial" w:eastAsia="Arial" w:hAnsi="Arial"/>
                <w:sz w:val="18"/>
                <w:szCs w:val="18"/>
                <w:color w:val="auto"/>
                <w:w w:val="94"/>
              </w:rPr>
              <w:t>10.2 *†</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Form of LTIP Grant Letter dated August 13, 2020 (Directors)</w:t>
              </w:r>
            </w:hyperlink>
          </w:p>
        </w:tc>
        <w:tc>
          <w:tcPr>
            <w:tcW w:w="0" w:type="dxa"/>
            <w:vAlign w:val="bottom"/>
          </w:tcPr>
          <w:p>
            <w:pPr>
              <w:spacing w:after="0"/>
              <w:rPr>
                <w:sz w:val="1"/>
                <w:szCs w:val="1"/>
                <w:color w:val="auto"/>
              </w:rPr>
            </w:pPr>
          </w:p>
        </w:tc>
      </w:tr>
      <w:tr>
        <w:trPr>
          <w:trHeight w:val="33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87"/>
              </w:rPr>
              <w:t>31.1 †</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Certification of Principal Executive Officer pursuant to Exchange Act Rules 13a-14(a) and 15d-14(a).</w:t>
              </w:r>
            </w:hyperlink>
          </w:p>
        </w:tc>
        <w:tc>
          <w:tcPr>
            <w:tcW w:w="0" w:type="dxa"/>
            <w:vAlign w:val="bottom"/>
          </w:tcPr>
          <w:p>
            <w:pPr>
              <w:spacing w:after="0"/>
              <w:rPr>
                <w:sz w:val="1"/>
                <w:szCs w:val="1"/>
                <w:color w:val="auto"/>
              </w:rPr>
            </w:pPr>
          </w:p>
        </w:tc>
      </w:tr>
      <w:tr>
        <w:trPr>
          <w:trHeight w:val="338"/>
        </w:trPr>
        <w:tc>
          <w:tcPr>
            <w:tcW w:w="1180" w:type="dxa"/>
            <w:vAlign w:val="bottom"/>
          </w:tcPr>
          <w:p>
            <w:pPr>
              <w:jc w:val="center"/>
              <w:ind w:left="50"/>
              <w:spacing w:after="0"/>
              <w:rPr>
                <w:sz w:val="20"/>
                <w:szCs w:val="20"/>
                <w:color w:val="auto"/>
              </w:rPr>
            </w:pPr>
            <w:r>
              <w:rPr>
                <w:rFonts w:ascii="Arial" w:cs="Arial" w:eastAsia="Arial" w:hAnsi="Arial"/>
                <w:sz w:val="18"/>
                <w:szCs w:val="18"/>
                <w:color w:val="auto"/>
                <w:w w:val="87"/>
              </w:rPr>
              <w:t>31.2 †</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Certification of Principal Financial Officer pursuant to Exchange Act Rules 13a-14(a) and 15d-14(a).</w:t>
              </w:r>
            </w:hyperlink>
          </w:p>
        </w:tc>
        <w:tc>
          <w:tcPr>
            <w:tcW w:w="0" w:type="dxa"/>
            <w:vAlign w:val="bottom"/>
          </w:tcPr>
          <w:p>
            <w:pPr>
              <w:spacing w:after="0"/>
              <w:rPr>
                <w:sz w:val="1"/>
                <w:szCs w:val="1"/>
                <w:color w:val="auto"/>
              </w:rPr>
            </w:pPr>
          </w:p>
        </w:tc>
      </w:tr>
      <w:tr>
        <w:trPr>
          <w:trHeight w:val="338"/>
        </w:trPr>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32.1 ††</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Certification of Principal Executive Officer pursuant to 18 U.S.C. 1350.</w:t>
              </w:r>
            </w:hyperlink>
          </w:p>
        </w:tc>
        <w:tc>
          <w:tcPr>
            <w:tcW w:w="0" w:type="dxa"/>
            <w:vAlign w:val="bottom"/>
          </w:tcPr>
          <w:p>
            <w:pPr>
              <w:spacing w:after="0"/>
              <w:rPr>
                <w:sz w:val="1"/>
                <w:szCs w:val="1"/>
                <w:color w:val="auto"/>
              </w:rPr>
            </w:pPr>
          </w:p>
        </w:tc>
      </w:tr>
      <w:tr>
        <w:trPr>
          <w:trHeight w:val="338"/>
        </w:trPr>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32.2 ††</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Certification of Principal Financial Officer pursuant to 18 U.S.C. 1350.</w:t>
              </w:r>
            </w:hyperlink>
          </w:p>
        </w:tc>
        <w:tc>
          <w:tcPr>
            <w:tcW w:w="0" w:type="dxa"/>
            <w:vAlign w:val="bottom"/>
          </w:tcPr>
          <w:p>
            <w:pPr>
              <w:spacing w:after="0"/>
              <w:rPr>
                <w:sz w:val="1"/>
                <w:szCs w:val="1"/>
                <w:color w:val="auto"/>
              </w:rPr>
            </w:pPr>
          </w:p>
        </w:tc>
      </w:tr>
      <w:tr>
        <w:trPr>
          <w:trHeight w:val="283"/>
        </w:trPr>
        <w:tc>
          <w:tcPr>
            <w:tcW w:w="1180" w:type="dxa"/>
            <w:vAlign w:val="bottom"/>
          </w:tcPr>
          <w:p>
            <w:pPr>
              <w:ind w:left="320"/>
              <w:spacing w:after="0"/>
              <w:rPr>
                <w:sz w:val="20"/>
                <w:szCs w:val="20"/>
                <w:color w:val="auto"/>
              </w:rPr>
            </w:pPr>
            <w:r>
              <w:rPr>
                <w:rFonts w:ascii="Arial" w:cs="Arial" w:eastAsia="Arial" w:hAnsi="Arial"/>
                <w:sz w:val="18"/>
                <w:szCs w:val="18"/>
                <w:color w:val="auto"/>
              </w:rPr>
              <w:t>101.INS†</w:t>
            </w:r>
          </w:p>
        </w:tc>
        <w:tc>
          <w:tcPr>
            <w:tcW w:w="680" w:type="dxa"/>
            <w:vAlign w:val="bottom"/>
          </w:tcPr>
          <w:p>
            <w:pPr>
              <w:ind w:left="160"/>
              <w:spacing w:after="0"/>
              <w:rPr>
                <w:sz w:val="20"/>
                <w:szCs w:val="20"/>
                <w:color w:val="auto"/>
              </w:rPr>
            </w:pPr>
            <w:r>
              <w:rPr>
                <w:rFonts w:ascii="Arial" w:cs="Arial" w:eastAsia="Arial" w:hAnsi="Arial"/>
                <w:sz w:val="18"/>
                <w:szCs w:val="18"/>
                <w:color w:val="auto"/>
              </w:rPr>
              <w:t>—</w:t>
            </w:r>
          </w:p>
        </w:tc>
        <w:tc>
          <w:tcPr>
            <w:tcW w:w="9380" w:type="dxa"/>
            <w:vAlign w:val="bottom"/>
            <w:gridSpan w:val="23"/>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80" w:type="dxa"/>
            <w:vAlign w:val="bottom"/>
            <w:gridSpan w:val="23"/>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917"/>
        </w:trPr>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gridSpan w:val="3"/>
          </w:tcPr>
          <w:p>
            <w:pPr>
              <w:ind w:left="3680"/>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101.SCH†</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101.CAL†</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101.DEF†</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101.LAB†</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101.PRE†</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Arial" w:cs="Arial" w:eastAsia="Arial" w:hAnsi="Arial"/>
                <w:sz w:val="18"/>
                <w:szCs w:val="18"/>
                <w:color w:val="auto"/>
              </w:rPr>
              <w:t>104 †</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20"/>
              <w:spacing w:after="0"/>
              <w:rPr>
                <w:sz w:val="20"/>
                <w:szCs w:val="20"/>
                <w:color w:val="auto"/>
              </w:rPr>
            </w:pPr>
            <w:r>
              <w:rPr>
                <w:rFonts w:ascii="Arial" w:cs="Arial" w:eastAsia="Arial" w:hAnsi="Arial"/>
                <w:sz w:val="18"/>
                <w:szCs w:val="18"/>
                <w:color w:val="auto"/>
                <w:w w:val="92"/>
              </w:rPr>
              <w:t>Cover Page Interactive Data File (formatted as Inline XBRL and contained in Exhibit 101)</w:t>
            </w:r>
          </w:p>
        </w:tc>
      </w:tr>
      <w:tr>
        <w:trPr>
          <w:trHeight w:val="432"/>
        </w:trPr>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Filed herewith.</w:t>
            </w:r>
          </w:p>
        </w:tc>
        <w:tc>
          <w:tcPr>
            <w:tcW w:w="20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w w:val="92"/>
              </w:rPr>
              <w:t>Furnished herewith.</w:t>
            </w:r>
          </w:p>
        </w:tc>
        <w:tc>
          <w:tcPr>
            <w:tcW w:w="204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58"/>
        </w:trPr>
        <w:tc>
          <w:tcPr>
            <w:tcW w:w="6160" w:type="dxa"/>
            <w:vAlign w:val="bottom"/>
          </w:tcPr>
          <w:p>
            <w:pPr>
              <w:spacing w:after="0"/>
              <w:rPr>
                <w:sz w:val="20"/>
                <w:szCs w:val="20"/>
                <w:color w:val="auto"/>
              </w:rPr>
            </w:pPr>
            <w:r>
              <w:rPr>
                <w:rFonts w:ascii="Arial" w:cs="Arial" w:eastAsia="Arial" w:hAnsi="Arial"/>
                <w:sz w:val="18"/>
                <w:szCs w:val="18"/>
                <w:color w:val="auto"/>
              </w:rPr>
              <w:t>November 6, 2020</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Executive Vice President and Chief Financial Officer of PAA GP</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 (Principal Financial Officer)</w:t>
            </w:r>
          </w:p>
        </w:tc>
      </w:tr>
      <w:tr>
        <w:trPr>
          <w:trHeight w:val="458"/>
        </w:trPr>
        <w:tc>
          <w:tcPr>
            <w:tcW w:w="6160" w:type="dxa"/>
            <w:vAlign w:val="bottom"/>
          </w:tcPr>
          <w:p>
            <w:pPr>
              <w:spacing w:after="0"/>
              <w:rPr>
                <w:sz w:val="20"/>
                <w:szCs w:val="20"/>
                <w:color w:val="auto"/>
              </w:rPr>
            </w:pPr>
            <w:r>
              <w:rPr>
                <w:rFonts w:ascii="Arial" w:cs="Arial" w:eastAsia="Arial" w:hAnsi="Arial"/>
                <w:sz w:val="18"/>
                <w:szCs w:val="18"/>
                <w:color w:val="auto"/>
              </w:rPr>
              <w:t>November 6, 2020</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3"/>
              </w:rPr>
              <w:t>Senior Vice President and Chief Accounting Officer of PAA GP</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 (Principal Accounting Officer)</w:t>
            </w:r>
          </w:p>
        </w:tc>
      </w:tr>
      <w:tr>
        <w:trPr>
          <w:trHeight w:val="458"/>
        </w:trPr>
        <w:tc>
          <w:tcPr>
            <w:tcW w:w="6160" w:type="dxa"/>
            <w:vAlign w:val="bottom"/>
          </w:tcPr>
          <w:p>
            <w:pPr>
              <w:spacing w:after="0"/>
              <w:rPr>
                <w:sz w:val="20"/>
                <w:szCs w:val="20"/>
                <w:color w:val="auto"/>
              </w:rPr>
            </w:pPr>
            <w:r>
              <w:rPr>
                <w:rFonts w:ascii="Arial" w:cs="Arial" w:eastAsia="Arial" w:hAnsi="Arial"/>
                <w:sz w:val="18"/>
                <w:szCs w:val="18"/>
                <w:color w:val="auto"/>
              </w:rPr>
              <w:t>November 6, 2020</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25" w:right="35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10795</wp:posOffset>
            </wp:positionV>
            <wp:extent cx="2117090" cy="6089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21170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2020 Regular Annual LTIP Grant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US Officers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13,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20" w:lineRule="exact"/>
        <w:rPr>
          <w:sz w:val="20"/>
          <w:szCs w:val="20"/>
          <w:color w:val="auto"/>
        </w:rPr>
      </w:pPr>
    </w:p>
    <w:p>
      <w:pPr>
        <w:jc w:val="both"/>
        <w:ind w:left="1060" w:hanging="404"/>
        <w:spacing w:after="0" w:line="247" w:lineRule="auto"/>
        <w:tabs>
          <w:tab w:leader="none" w:pos="10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spacing w:after="0" w:line="2" w:lineRule="exact"/>
        <w:rPr>
          <w:rFonts w:ascii="Arial" w:cs="Arial" w:eastAsia="Arial" w:hAnsi="Arial"/>
          <w:sz w:val="22"/>
          <w:szCs w:val="22"/>
          <w:color w:val="auto"/>
        </w:rPr>
      </w:pPr>
    </w:p>
    <w:p>
      <w:pPr>
        <w:ind w:left="1620" w:hanging="316"/>
        <w:spacing w:after="0"/>
        <w:tabs>
          <w:tab w:leader="none" w:pos="1620" w:val="left"/>
        </w:tabs>
        <w:numPr>
          <w:ilvl w:val="1"/>
          <w:numId w:val="53"/>
        </w:numPr>
        <w:rPr>
          <w:rFonts w:ascii="Arial" w:cs="Arial" w:eastAsia="Arial" w:hAnsi="Arial"/>
          <w:sz w:val="22"/>
          <w:szCs w:val="22"/>
          <w:color w:val="auto"/>
        </w:rPr>
      </w:pPr>
      <w:r>
        <w:rPr>
          <w:rFonts w:ascii="Arial" w:cs="Arial" w:eastAsia="Arial" w:hAnsi="Arial"/>
          <w:sz w:val="22"/>
          <w:szCs w:val="22"/>
          <w:color w:val="auto"/>
        </w:rPr>
        <w:t>50% of your Phantom Units (“Tranche 1”) will vest on the August 2023 Distribution Date.</w:t>
      </w:r>
    </w:p>
    <w:p>
      <w:pPr>
        <w:spacing w:after="0" w:line="3" w:lineRule="exact"/>
        <w:rPr>
          <w:rFonts w:ascii="Arial" w:cs="Arial" w:eastAsia="Arial" w:hAnsi="Arial"/>
          <w:sz w:val="22"/>
          <w:szCs w:val="22"/>
          <w:color w:val="auto"/>
        </w:rPr>
      </w:pPr>
    </w:p>
    <w:p>
      <w:pPr>
        <w:ind w:left="1620" w:right="20" w:hanging="316"/>
        <w:spacing w:after="0" w:line="243" w:lineRule="auto"/>
        <w:tabs>
          <w:tab w:leader="none" w:pos="1620" w:val="left"/>
        </w:tabs>
        <w:numPr>
          <w:ilvl w:val="1"/>
          <w:numId w:val="53"/>
        </w:numPr>
        <w:rPr>
          <w:rFonts w:ascii="Arial" w:cs="Arial" w:eastAsia="Arial" w:hAnsi="Arial"/>
          <w:sz w:val="22"/>
          <w:szCs w:val="22"/>
          <w:color w:val="auto"/>
        </w:rPr>
      </w:pPr>
      <w:r>
        <w:rPr>
          <w:rFonts w:ascii="Arial" w:cs="Arial" w:eastAsia="Arial" w:hAnsi="Arial"/>
          <w:sz w:val="22"/>
          <w:szCs w:val="22"/>
          <w:color w:val="auto"/>
        </w:rPr>
        <w:t>25% of your Phantom Units (“Tranche 2”) will vest pursuant to the terms and conditions described in Exhibit A attached hereto.</w:t>
      </w:r>
    </w:p>
    <w:p>
      <w:pPr>
        <w:ind w:left="1620" w:hanging="316"/>
        <w:spacing w:after="0" w:line="243" w:lineRule="auto"/>
        <w:tabs>
          <w:tab w:leader="none" w:pos="1608" w:val="left"/>
        </w:tabs>
        <w:numPr>
          <w:ilvl w:val="1"/>
          <w:numId w:val="53"/>
        </w:numPr>
        <w:rPr>
          <w:rFonts w:ascii="Arial" w:cs="Arial" w:eastAsia="Arial" w:hAnsi="Arial"/>
          <w:sz w:val="22"/>
          <w:szCs w:val="22"/>
          <w:color w:val="auto"/>
        </w:rPr>
      </w:pPr>
      <w:r>
        <w:rPr>
          <w:rFonts w:ascii="Arial" w:cs="Arial" w:eastAsia="Arial" w:hAnsi="Arial"/>
          <w:sz w:val="22"/>
          <w:szCs w:val="22"/>
          <w:color w:val="auto"/>
        </w:rPr>
        <w:t>25% of your Phantom Units (“Tranche 3”) will vest pursuant to the terms and conditions described in Exhibit B attached hereto.</w:t>
      </w:r>
    </w:p>
    <w:p>
      <w:pPr>
        <w:ind w:left="1620" w:right="20" w:hanging="316"/>
        <w:spacing w:after="0" w:line="246" w:lineRule="auto"/>
        <w:tabs>
          <w:tab w:leader="none" w:pos="162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Tranche 2 or Tranche 3 Phantom Units that are determined not to have vested as of the August 2023 Distribution Date shall expire effective as of such date.</w:t>
      </w:r>
    </w:p>
    <w:p>
      <w:pPr>
        <w:spacing w:after="0" w:line="151" w:lineRule="exact"/>
        <w:rPr>
          <w:rFonts w:ascii="Arial" w:cs="Arial" w:eastAsia="Arial" w:hAnsi="Arial"/>
          <w:sz w:val="22"/>
          <w:szCs w:val="22"/>
          <w:color w:val="auto"/>
        </w:rPr>
      </w:pPr>
    </w:p>
    <w:p>
      <w:pPr>
        <w:ind w:left="1060" w:hanging="404"/>
        <w:spacing w:after="0"/>
        <w:tabs>
          <w:tab w:leader="none" w:pos="10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Subject to the further provisions hereof, your DERs shall vest (become payable in cash) as follows:</w:t>
      </w:r>
    </w:p>
    <w:p>
      <w:pPr>
        <w:spacing w:after="0" w:line="21" w:lineRule="exact"/>
        <w:rPr>
          <w:rFonts w:ascii="Arial" w:cs="Arial" w:eastAsia="Arial" w:hAnsi="Arial"/>
          <w:sz w:val="22"/>
          <w:szCs w:val="22"/>
          <w:color w:val="auto"/>
        </w:rPr>
      </w:pPr>
    </w:p>
    <w:p>
      <w:pPr>
        <w:jc w:val="both"/>
        <w:ind w:left="1620" w:hanging="316"/>
        <w:spacing w:after="0" w:line="295" w:lineRule="auto"/>
        <w:tabs>
          <w:tab w:leader="none" w:pos="1608"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DERs associated with Tranche 1 will begin accruing on the November 2020 Distribution Date and will continue to accrue until the August 2021 Distribution Date, on which date such accrued but unpaid DERs will vest and be paid in a lump sum. Beginning on the November 2021 Distribution Date, such vested DERs will be paid quarterly until the associated Phantom Units vest or are forfeited pursuant to the terms hereof.</w:t>
      </w:r>
    </w:p>
    <w:p>
      <w:pPr>
        <w:spacing w:after="0" w:line="200" w:lineRule="exact"/>
        <w:rPr>
          <w:sz w:val="20"/>
          <w:szCs w:val="20"/>
          <w:color w:val="auto"/>
        </w:rPr>
      </w:pPr>
    </w:p>
    <w:p>
      <w:pPr>
        <w:spacing w:after="0" w:line="317"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312" w:lineRule="exact"/>
        <w:rPr>
          <w:sz w:val="20"/>
          <w:szCs w:val="20"/>
          <w:color w:val="auto"/>
        </w:rPr>
      </w:pPr>
    </w:p>
    <w:p>
      <w:pPr>
        <w:jc w:val="both"/>
        <w:ind w:left="1620" w:hanging="316"/>
        <w:spacing w:after="0" w:line="287" w:lineRule="auto"/>
        <w:tabs>
          <w:tab w:leader="none" w:pos="162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DERs associated with Tranches 2 and 3 will begin accruing on the November 2020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2020 Distribution Date. All accrued and unpaid DERs associated with Tranche 2 and Tranche 3 shall be paid on the August 2023 Distribution Date or as soon thereafter as is administratively practicable.</w:t>
      </w:r>
    </w:p>
    <w:p>
      <w:pPr>
        <w:spacing w:after="0" w:line="190" w:lineRule="exact"/>
        <w:rPr>
          <w:rFonts w:ascii="Arial" w:cs="Arial" w:eastAsia="Arial" w:hAnsi="Arial"/>
          <w:sz w:val="19"/>
          <w:szCs w:val="19"/>
          <w:color w:val="auto"/>
        </w:rPr>
      </w:pPr>
    </w:p>
    <w:p>
      <w:pPr>
        <w:jc w:val="both"/>
        <w:ind w:left="1080" w:hanging="424"/>
        <w:spacing w:after="0" w:line="250" w:lineRule="auto"/>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322" w:lineRule="exact"/>
        <w:rPr>
          <w:rFonts w:ascii="Arial" w:cs="Arial" w:eastAsia="Arial" w:hAnsi="Arial"/>
          <w:sz w:val="22"/>
          <w:szCs w:val="22"/>
          <w:color w:val="auto"/>
        </w:rPr>
      </w:pPr>
    </w:p>
    <w:p>
      <w:pPr>
        <w:jc w:val="both"/>
        <w:ind w:left="1080" w:hanging="424"/>
        <w:spacing w:after="0" w:line="253" w:lineRule="auto"/>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ectPr>
          <w:pgSz w:w="11900" w:h="16838" w:orient="portrait"/>
          <w:cols w:equalWidth="0" w:num="1">
            <w:col w:w="11240"/>
          </w:cols>
          <w:pgMar w:left="320" w:top="132"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312" w:lineRule="exact"/>
        <w:rPr>
          <w:sz w:val="20"/>
          <w:szCs w:val="20"/>
          <w:color w:val="auto"/>
        </w:rPr>
      </w:pPr>
    </w:p>
    <w:p>
      <w:pPr>
        <w:jc w:val="both"/>
        <w:ind w:left="980" w:hanging="324"/>
        <w:spacing w:after="0" w:line="257" w:lineRule="auto"/>
        <w:tabs>
          <w:tab w:leader="none" w:pos="9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2023 Distribution Date (1,096). If the resulting amount includes a fraction, it will be rounded down to the nearest whole number.</w:t>
      </w:r>
    </w:p>
    <w:p>
      <w:pPr>
        <w:spacing w:after="0" w:line="213" w:lineRule="exact"/>
        <w:rPr>
          <w:rFonts w:ascii="Arial" w:cs="Arial" w:eastAsia="Arial" w:hAnsi="Arial"/>
          <w:sz w:val="21"/>
          <w:szCs w:val="21"/>
          <w:color w:val="auto"/>
        </w:rPr>
      </w:pPr>
    </w:p>
    <w:p>
      <w:pPr>
        <w:jc w:val="both"/>
        <w:ind w:left="1080" w:hanging="424"/>
        <w:spacing w:after="0" w:line="287" w:lineRule="auto"/>
        <w:tabs>
          <w:tab w:leader="none" w:pos="10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185" w:lineRule="exact"/>
        <w:rPr>
          <w:rFonts w:ascii="Arial" w:cs="Arial" w:eastAsia="Arial" w:hAnsi="Arial"/>
          <w:sz w:val="19"/>
          <w:szCs w:val="19"/>
          <w:color w:val="auto"/>
        </w:rPr>
      </w:pPr>
    </w:p>
    <w:p>
      <w:pPr>
        <w:jc w:val="both"/>
        <w:ind w:left="1080" w:hanging="424"/>
        <w:spacing w:after="0" w:line="248" w:lineRule="auto"/>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(which shall be equal to the target number of Phantom Units specified in the first paragraph hereof)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ectPr>
          <w:pgSz w:w="11900" w:h="16838" w:orient="portrait"/>
          <w:cols w:equalWidth="0" w:num="1">
            <w:col w:w="11240"/>
          </w:cols>
          <w:pgMar w:left="320" w:top="132"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312" w:lineRule="exact"/>
        <w:rPr>
          <w:sz w:val="20"/>
          <w:szCs w:val="20"/>
          <w:color w:val="auto"/>
        </w:rPr>
      </w:pPr>
    </w:p>
    <w:p>
      <w:pPr>
        <w:jc w:val="both"/>
        <w:ind w:left="1080" w:hanging="424"/>
        <w:spacing w:after="0" w:line="250" w:lineRule="auto"/>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02" w:lineRule="exact"/>
        <w:rPr>
          <w:sz w:val="20"/>
          <w:szCs w:val="20"/>
          <w:color w:val="auto"/>
        </w:rPr>
      </w:pPr>
    </w:p>
    <w:p>
      <w:pPr>
        <w:jc w:val="both"/>
        <w:ind w:left="1580" w:hanging="924"/>
        <w:spacing w:after="0" w:line="247" w:lineRule="auto"/>
        <w:tabs>
          <w:tab w:leader="none" w:pos="157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pacing w:after="0" w:line="2" w:lineRule="exact"/>
        <w:rPr>
          <w:rFonts w:ascii="Arial" w:cs="Arial" w:eastAsia="Arial" w:hAnsi="Arial"/>
          <w:sz w:val="22"/>
          <w:szCs w:val="22"/>
          <w:color w:val="auto"/>
        </w:rPr>
      </w:pPr>
    </w:p>
    <w:p>
      <w:pPr>
        <w:jc w:val="both"/>
        <w:ind w:left="1580" w:hanging="924"/>
        <w:spacing w:after="0" w:line="243" w:lineRule="auto"/>
        <w:tabs>
          <w:tab w:leader="none" w:pos="1577"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Arial" w:cs="Arial" w:eastAsia="Arial" w:hAnsi="Arial"/>
          <w:sz w:val="22"/>
          <w:szCs w:val="22"/>
          <w:color w:val="auto"/>
        </w:rPr>
      </w:pPr>
    </w:p>
    <w:p>
      <w:pPr>
        <w:ind w:left="1580" w:hanging="924"/>
        <w:spacing w:after="0" w:line="246" w:lineRule="auto"/>
        <w:tabs>
          <w:tab w:leader="none" w:pos="1569" w:val="left"/>
        </w:tabs>
        <w:numPr>
          <w:ilvl w:val="0"/>
          <w:numId w:val="58"/>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ectPr>
          <w:pgSz w:w="11900" w:h="16838" w:orient="portrait"/>
          <w:cols w:equalWidth="0" w:num="1">
            <w:col w:w="11240"/>
          </w:cols>
          <w:pgMar w:left="320" w:top="132"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312" w:lineRule="exact"/>
        <w:rPr>
          <w:sz w:val="20"/>
          <w:szCs w:val="20"/>
          <w:color w:val="auto"/>
        </w:rPr>
      </w:pPr>
    </w:p>
    <w:p>
      <w:pPr>
        <w:jc w:val="both"/>
        <w:ind w:left="1580" w:hanging="924"/>
        <w:spacing w:after="0" w:line="250" w:lineRule="auto"/>
        <w:tabs>
          <w:tab w:leader="none" w:pos="157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40" w:type="dxa"/>
            <w:vAlign w:val="bottom"/>
            <w:gridSpan w:val="7"/>
          </w:tcPr>
          <w:p>
            <w:pPr>
              <w:ind w:left="700"/>
              <w:spacing w:after="0"/>
              <w:rPr>
                <w:sz w:val="20"/>
                <w:szCs w:val="20"/>
                <w:color w:val="auto"/>
              </w:rPr>
            </w:pPr>
            <w:r>
              <w:rPr>
                <w:rFonts w:ascii="Arial" w:cs="Arial" w:eastAsia="Arial" w:hAnsi="Arial"/>
                <w:sz w:val="22"/>
                <w:szCs w:val="22"/>
                <w:color w:val="auto"/>
              </w:rPr>
              <w:t>By:  ______________________________</w:t>
            </w:r>
          </w:p>
        </w:tc>
      </w:tr>
      <w:tr>
        <w:trPr>
          <w:trHeight w:val="257"/>
        </w:trPr>
        <w:tc>
          <w:tcPr>
            <w:tcW w:w="3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ind w:left="700"/>
              <w:spacing w:after="0"/>
              <w:rPr>
                <w:sz w:val="20"/>
                <w:szCs w:val="20"/>
                <w:color w:val="auto"/>
              </w:rPr>
            </w:pPr>
            <w:r>
              <w:rPr>
                <w:rFonts w:ascii="Arial" w:cs="Arial" w:eastAsia="Arial" w:hAnsi="Arial"/>
                <w:sz w:val="22"/>
                <w:szCs w:val="22"/>
                <w:color w:val="auto"/>
                <w:w w:val="95"/>
              </w:rPr>
              <w:t>Name:</w:t>
            </w:r>
          </w:p>
        </w:tc>
        <w:tc>
          <w:tcPr>
            <w:tcW w:w="40" w:type="dxa"/>
            <w:vAlign w:val="bottom"/>
          </w:tcPr>
          <w:p>
            <w:pPr>
              <w:spacing w:after="0"/>
              <w:rPr>
                <w:sz w:val="22"/>
                <w:szCs w:val="22"/>
                <w:color w:val="auto"/>
              </w:rPr>
            </w:pPr>
          </w:p>
        </w:tc>
        <w:tc>
          <w:tcPr>
            <w:tcW w:w="2900" w:type="dxa"/>
            <w:vAlign w:val="bottom"/>
            <w:gridSpan w:val="4"/>
          </w:tcPr>
          <w:p>
            <w:pPr>
              <w:ind w:left="100"/>
              <w:spacing w:after="0"/>
              <w:rPr>
                <w:sz w:val="20"/>
                <w:szCs w:val="20"/>
                <w:color w:val="auto"/>
              </w:rPr>
            </w:pPr>
            <w:r>
              <w:rPr>
                <w:rFonts w:ascii="Arial" w:cs="Arial" w:eastAsia="Arial" w:hAnsi="Arial"/>
                <w:sz w:val="22"/>
                <w:szCs w:val="22"/>
                <w:color w:val="auto"/>
              </w:rPr>
              <w:t>Jim Tillis</w:t>
            </w:r>
          </w:p>
        </w:tc>
        <w:tc>
          <w:tcPr>
            <w:tcW w:w="3560" w:type="dxa"/>
            <w:vAlign w:val="bottom"/>
          </w:tcPr>
          <w:p>
            <w:pPr>
              <w:spacing w:after="0"/>
              <w:rPr>
                <w:sz w:val="22"/>
                <w:szCs w:val="22"/>
                <w:color w:val="auto"/>
              </w:rPr>
            </w:pPr>
          </w:p>
        </w:tc>
      </w:tr>
      <w:tr>
        <w:trPr>
          <w:trHeight w:val="274"/>
        </w:trPr>
        <w:tc>
          <w:tcPr>
            <w:tcW w:w="3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ind w:left="700"/>
              <w:spacing w:after="0"/>
              <w:rPr>
                <w:sz w:val="20"/>
                <w:szCs w:val="20"/>
                <w:color w:val="auto"/>
              </w:rPr>
            </w:pPr>
            <w:r>
              <w:rPr>
                <w:rFonts w:ascii="Arial" w:cs="Arial" w:eastAsia="Arial" w:hAnsi="Arial"/>
                <w:sz w:val="22"/>
                <w:szCs w:val="22"/>
                <w:color w:val="auto"/>
              </w:rPr>
              <w:t>Title:</w:t>
            </w:r>
          </w:p>
        </w:tc>
        <w:tc>
          <w:tcPr>
            <w:tcW w:w="6500" w:type="dxa"/>
            <w:vAlign w:val="bottom"/>
            <w:gridSpan w:val="6"/>
          </w:tcPr>
          <w:p>
            <w:pPr>
              <w:ind w:left="20"/>
              <w:spacing w:after="0"/>
              <w:rPr>
                <w:sz w:val="20"/>
                <w:szCs w:val="20"/>
                <w:color w:val="auto"/>
              </w:rPr>
            </w:pPr>
            <w:r>
              <w:rPr>
                <w:rFonts w:ascii="Arial" w:cs="Arial" w:eastAsia="Arial" w:hAnsi="Arial"/>
                <w:sz w:val="22"/>
                <w:szCs w:val="22"/>
                <w:color w:val="auto"/>
              </w:rPr>
              <w:t>Vice President – Human Resources</w:t>
            </w:r>
          </w:p>
        </w:tc>
      </w:tr>
      <w:tr>
        <w:trPr>
          <w:trHeight w:val="968"/>
        </w:trPr>
        <w:tc>
          <w:tcPr>
            <w:tcW w:w="3200" w:type="dxa"/>
            <w:vAlign w:val="bottom"/>
            <w:gridSpan w:val="2"/>
          </w:tcPr>
          <w:p>
            <w:pPr>
              <w:spacing w:after="0"/>
              <w:rPr>
                <w:sz w:val="20"/>
                <w:szCs w:val="20"/>
                <w:color w:val="auto"/>
              </w:rPr>
            </w:pPr>
            <w:r>
              <w:rPr>
                <w:rFonts w:ascii="Arial" w:cs="Arial" w:eastAsia="Arial" w:hAnsi="Arial"/>
                <w:sz w:val="22"/>
                <w:szCs w:val="22"/>
                <w:color w:val="auto"/>
                <w:w w:val="89"/>
              </w:rPr>
              <w:t>_____________________________</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74"/>
        </w:trPr>
        <w:tc>
          <w:tcPr>
            <w:tcW w:w="3200" w:type="dxa"/>
            <w:vAlign w:val="bottom"/>
            <w:gridSpan w:val="2"/>
          </w:tcPr>
          <w:p>
            <w:pPr>
              <w:spacing w:after="0"/>
              <w:rPr>
                <w:sz w:val="20"/>
                <w:szCs w:val="20"/>
                <w:color w:val="auto"/>
              </w:rPr>
            </w:pPr>
            <w:r>
              <w:rPr>
                <w:rFonts w:ascii="Arial" w:cs="Arial" w:eastAsia="Arial" w:hAnsi="Arial"/>
                <w:sz w:val="22"/>
                <w:szCs w:val="22"/>
                <w:color w:val="auto"/>
              </w:rPr>
              <w:t>«Officer»</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60" w:type="dxa"/>
            <w:vAlign w:val="bottom"/>
          </w:tcPr>
          <w:p>
            <w:pPr>
              <w:spacing w:after="0"/>
              <w:rPr>
                <w:sz w:val="23"/>
                <w:szCs w:val="23"/>
                <w:color w:val="auto"/>
              </w:rPr>
            </w:pPr>
          </w:p>
        </w:tc>
      </w:tr>
      <w:tr>
        <w:trPr>
          <w:trHeight w:val="449"/>
        </w:trPr>
        <w:tc>
          <w:tcPr>
            <w:tcW w:w="3000" w:type="dxa"/>
            <w:vAlign w:val="bottom"/>
          </w:tcPr>
          <w:p>
            <w:pPr>
              <w:spacing w:after="0"/>
              <w:rPr>
                <w:sz w:val="20"/>
                <w:szCs w:val="20"/>
                <w:color w:val="auto"/>
              </w:rPr>
            </w:pPr>
            <w:r>
              <w:rPr>
                <w:rFonts w:ascii="Arial" w:cs="Arial" w:eastAsia="Arial" w:hAnsi="Arial"/>
                <w:sz w:val="22"/>
                <w:szCs w:val="22"/>
                <w:color w:val="auto"/>
                <w:w w:val="90"/>
              </w:rPr>
              <w:t>Target Number of Phantom Units:</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«LTIP_Grant»</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30"/>
        </w:trPr>
        <w:tc>
          <w:tcPr>
            <w:tcW w:w="3200" w:type="dxa"/>
            <w:vAlign w:val="bottom"/>
            <w:gridSpan w:val="2"/>
          </w:tcPr>
          <w:p>
            <w:pPr>
              <w:spacing w:after="0"/>
              <w:rPr>
                <w:sz w:val="20"/>
                <w:szCs w:val="20"/>
                <w:color w:val="auto"/>
              </w:rPr>
            </w:pPr>
            <w:r>
              <w:rPr>
                <w:rFonts w:ascii="Arial" w:cs="Arial" w:eastAsia="Arial" w:hAnsi="Arial"/>
                <w:sz w:val="22"/>
                <w:szCs w:val="22"/>
                <w:color w:val="auto"/>
                <w:w w:val="90"/>
              </w:rPr>
              <w:t>Dated: _______________________</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692"/>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40" w:type="dxa"/>
            <w:vAlign w:val="bottom"/>
            <w:gridSpan w:val="5"/>
          </w:tcPr>
          <w:p>
            <w:pPr>
              <w:ind w:left="40"/>
              <w:spacing w:after="0"/>
              <w:rPr>
                <w:sz w:val="20"/>
                <w:szCs w:val="20"/>
                <w:color w:val="auto"/>
              </w:rPr>
            </w:pPr>
            <w:r>
              <w:rPr>
                <w:rFonts w:ascii="Arial" w:cs="Arial" w:eastAsia="Arial" w:hAnsi="Arial"/>
                <w:sz w:val="22"/>
                <w:szCs w:val="22"/>
                <w:color w:val="auto"/>
              </w:rPr>
              <w:t>Beneficiary Designation</w:t>
            </w:r>
          </w:p>
        </w:tc>
        <w:tc>
          <w:tcPr>
            <w:tcW w:w="3560" w:type="dxa"/>
            <w:vAlign w:val="bottom"/>
          </w:tcPr>
          <w:p>
            <w:pPr>
              <w:spacing w:after="0"/>
              <w:rPr>
                <w:sz w:val="24"/>
                <w:szCs w:val="24"/>
                <w:color w:val="auto"/>
              </w:rPr>
            </w:pPr>
          </w:p>
        </w:tc>
      </w:tr>
      <w:tr>
        <w:trPr>
          <w:trHeight w:val="48"/>
        </w:trPr>
        <w:tc>
          <w:tcPr>
            <w:tcW w:w="3200" w:type="dxa"/>
            <w:vAlign w:val="bottom"/>
            <w:tcBorders>
              <w:bottom w:val="single" w:sz="8" w:color="auto"/>
            </w:tcBorders>
            <w:gridSpan w:val="2"/>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r>
        <w:trPr>
          <w:trHeight w:val="336"/>
        </w:trPr>
        <w:tc>
          <w:tcPr>
            <w:tcW w:w="3200" w:type="dxa"/>
            <w:vAlign w:val="bottom"/>
            <w:tcBorders>
              <w:left w:val="single" w:sz="8" w:color="auto"/>
              <w:bottom w:val="single" w:sz="8" w:color="C0C0C0"/>
            </w:tcBorders>
            <w:gridSpan w:val="2"/>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134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50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gridSpan w:val="2"/>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3000" w:type="dxa"/>
            <w:vAlign w:val="bottom"/>
            <w:tcBorders>
              <w:top w:val="single" w:sz="8" w:color="auto"/>
              <w:left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right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300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300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336"/>
        </w:trPr>
        <w:tc>
          <w:tcPr>
            <w:tcW w:w="3200" w:type="dxa"/>
            <w:vAlign w:val="bottom"/>
            <w:tcBorders>
              <w:left w:val="single" w:sz="8" w:color="auto"/>
              <w:bottom w:val="single" w:sz="8" w:color="C0C0C0"/>
            </w:tcBorders>
            <w:gridSpan w:val="2"/>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134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50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gridSpan w:val="2"/>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3000" w:type="dxa"/>
            <w:vAlign w:val="bottom"/>
            <w:tcBorders>
              <w:top w:val="single" w:sz="8" w:color="auto"/>
              <w:left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right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300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300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Check this box only if this beneficiary designation does not apply to prior grants.</w:t>
      </w:r>
    </w:p>
    <w:p>
      <w:pPr>
        <w:sectPr>
          <w:pgSz w:w="11900" w:h="16838" w:orient="portrait"/>
          <w:cols w:equalWidth="0" w:num="1">
            <w:col w:w="11240"/>
          </w:cols>
          <w:pgMar w:left="320" w:top="132" w:right="339" w:bottom="1440" w:gutter="0" w:footer="0" w:header="0"/>
        </w:sectPr>
      </w:pPr>
    </w:p>
    <w:bookmarkStart w:id="80" w:name="page81"/>
    <w:bookmarkEnd w:id="80"/>
    <w:p>
      <w:pPr>
        <w:jc w:val="center"/>
        <w:ind w:right="312"/>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Tranche 2 Vesting Terms</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(Total Shareholder Return)</w:t>
      </w:r>
    </w:p>
    <w:p>
      <w:pPr>
        <w:spacing w:after="0" w:line="222" w:lineRule="exact"/>
        <w:rPr>
          <w:sz w:val="20"/>
          <w:szCs w:val="20"/>
          <w:color w:val="auto"/>
        </w:rPr>
      </w:pPr>
    </w:p>
    <w:p>
      <w:pPr>
        <w:jc w:val="both"/>
        <w:ind w:left="328" w:hanging="328"/>
        <w:spacing w:after="0" w:line="311" w:lineRule="auto"/>
        <w:tabs>
          <w:tab w:leader="none" w:pos="328" w:val="left"/>
        </w:tabs>
        <w:numPr>
          <w:ilvl w:val="0"/>
          <w:numId w:val="60"/>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color w:val="auto"/>
        </w:rPr>
        <w:t>. Consistent with the Company’s pay for performance philosophy and in order to more closely align the interests of management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40" w:lineRule="exact"/>
        <w:rPr>
          <w:rFonts w:ascii="Arial" w:cs="Arial" w:eastAsia="Arial" w:hAnsi="Arial"/>
          <w:sz w:val="16"/>
          <w:szCs w:val="16"/>
          <w:color w:val="auto"/>
        </w:rPr>
      </w:pPr>
    </w:p>
    <w:p>
      <w:pPr>
        <w:jc w:val="both"/>
        <w:ind w:left="328" w:hanging="328"/>
        <w:spacing w:after="0" w:line="284" w:lineRule="auto"/>
        <w:tabs>
          <w:tab w:leader="none" w:pos="328" w:val="left"/>
        </w:tabs>
        <w:numPr>
          <w:ilvl w:val="0"/>
          <w:numId w:val="60"/>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and Payout</w:t>
      </w:r>
      <w:r>
        <w:rPr>
          <w:rFonts w:ascii="Arial" w:cs="Arial" w:eastAsia="Arial" w:hAnsi="Arial"/>
          <w:sz w:val="16"/>
          <w:szCs w:val="16"/>
          <w:color w:val="auto"/>
        </w:rPr>
        <w:t>. As soon as administratively feasible following the close of the three-year period ending on June 30, 2023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w:t>
      </w:r>
    </w:p>
    <w:p>
      <w:pPr>
        <w:jc w:val="both"/>
        <w:ind w:left="328" w:hanging="4"/>
        <w:spacing w:after="0" w:line="253" w:lineRule="auto"/>
        <w:tabs>
          <w:tab w:leader="none" w:pos="55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TSR Payout Percentage above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49" w:lineRule="exact"/>
        <w:rPr>
          <w:sz w:val="20"/>
          <w:szCs w:val="20"/>
          <w:color w:val="auto"/>
        </w:rPr>
      </w:pPr>
    </w:p>
    <w:tbl>
      <w:tblPr>
        <w:tblLayout w:type="fixed"/>
        <w:tblInd w:w="1478" w:type="dxa"/>
        <w:tblCellMar>
          <w:top w:w="0" w:type="dxa"/>
          <w:left w:w="0" w:type="dxa"/>
          <w:bottom w:w="0" w:type="dxa"/>
          <w:right w:w="0" w:type="dxa"/>
        </w:tblCellMar>
      </w:tblPr>
      <w:tr>
        <w:trPr>
          <w:trHeight w:val="238"/>
        </w:trPr>
        <w:tc>
          <w:tcPr>
            <w:tcW w:w="3840" w:type="dxa"/>
            <w:vAlign w:val="bottom"/>
            <w:tcBorders>
              <w:top w:val="single" w:sz="8" w:color="auto"/>
              <w:left w:val="single" w:sz="8" w:color="auto"/>
              <w:right w:val="single" w:sz="8" w:color="auto"/>
            </w:tcBorders>
          </w:tcPr>
          <w:p>
            <w:pPr>
              <w:spacing w:after="0"/>
              <w:rPr>
                <w:sz w:val="20"/>
                <w:szCs w:val="20"/>
                <w:color w:val="auto"/>
              </w:rPr>
            </w:pPr>
          </w:p>
        </w:tc>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TSR Payout</w:t>
            </w:r>
          </w:p>
        </w:tc>
      </w:tr>
      <w:tr>
        <w:trPr>
          <w:trHeight w:val="234"/>
        </w:trPr>
        <w:tc>
          <w:tcPr>
            <w:tcW w:w="384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PAA TSR Ranking vs. PAA Peer Group</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185.6%</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171.5%</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157.1%</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142.9%</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128.5%</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114.4%</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87.6%</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75.0%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62.6%</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37.6%</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908"/>
          </w:cols>
          <w:pgMar w:left="652"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2"/>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0908"/>
          </w:cols>
          <w:pgMar w:left="652" w:top="1422"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color w:val="auto"/>
        </w:rPr>
        <w:t>Illustrative Examples (based on an assumed target number of Tranche 2 Phantom Units of 1,000):</w:t>
      </w:r>
    </w:p>
    <w:p>
      <w:pPr>
        <w:spacing w:after="0" w:line="273" w:lineRule="exact"/>
        <w:rPr>
          <w:sz w:val="20"/>
          <w:szCs w:val="20"/>
          <w:color w:val="auto"/>
        </w:rPr>
      </w:pPr>
    </w:p>
    <w:tbl>
      <w:tblPr>
        <w:tblLayout w:type="fixed"/>
        <w:tblInd w:w="130" w:type="dxa"/>
        <w:tblCellMar>
          <w:top w:w="0" w:type="dxa"/>
          <w:left w:w="0" w:type="dxa"/>
          <w:bottom w:w="0" w:type="dxa"/>
          <w:right w:w="0" w:type="dxa"/>
        </w:tblCellMar>
      </w:tblPr>
      <w:tr>
        <w:trPr>
          <w:trHeight w:val="238"/>
        </w:trPr>
        <w:tc>
          <w:tcPr>
            <w:tcW w:w="500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PAA TSR Ranking vs. PAA Peer Group</w:t>
            </w:r>
          </w:p>
        </w:tc>
        <w:tc>
          <w:tcPr>
            <w:tcW w:w="440" w:type="dxa"/>
            <w:vAlign w:val="bottom"/>
            <w:tcBorders>
              <w:top w:val="single" w:sz="8" w:color="auto"/>
            </w:tcBorders>
          </w:tcPr>
          <w:p>
            <w:pPr>
              <w:spacing w:after="0"/>
              <w:rPr>
                <w:sz w:val="20"/>
                <w:szCs w:val="20"/>
                <w:color w:val="auto"/>
              </w:rPr>
            </w:pPr>
          </w:p>
        </w:tc>
        <w:tc>
          <w:tcPr>
            <w:tcW w:w="5600" w:type="dxa"/>
            <w:vAlign w:val="bottom"/>
            <w:tcBorders>
              <w:top w:val="single" w:sz="8" w:color="auto"/>
              <w:right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0"/>
              </w:rPr>
              <w:t>TSR Payout Percentage / Number of Units Vesting</w:t>
            </w:r>
          </w:p>
        </w:tc>
      </w:tr>
      <w:tr>
        <w:trPr>
          <w:trHeight w:val="234"/>
        </w:trPr>
        <w:tc>
          <w:tcPr>
            <w:tcW w:w="5000" w:type="dxa"/>
            <w:vAlign w:val="bottom"/>
            <w:tcBorders>
              <w:left w:val="single" w:sz="8" w:color="auto"/>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60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(impact of negative absolute TSR)</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 or #2</w:t>
            </w:r>
          </w:p>
        </w:tc>
        <w:tc>
          <w:tcPr>
            <w:tcW w:w="440" w:type="dxa"/>
            <w:vAlign w:val="bottom"/>
          </w:tcPr>
          <w:p>
            <w:pPr>
              <w:spacing w:after="0"/>
              <w:rPr>
                <w:sz w:val="20"/>
                <w:szCs w:val="20"/>
                <w:color w:val="auto"/>
              </w:rPr>
            </w:pPr>
            <w:r>
              <w:rPr>
                <w:rFonts w:ascii="Arial" w:cs="Arial" w:eastAsia="Arial" w:hAnsi="Arial"/>
                <w:sz w:val="18"/>
                <w:szCs w:val="18"/>
                <w:color w:val="auto"/>
                <w:w w:val="91"/>
              </w:rPr>
              <w:t>200%</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157.1% / 1,571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 but PAA’s absolute TSR is less than 0%</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132.1% / 1,321 units (TSR Payout Percentage reduced by 25 percentage points)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114.4% / 1,144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 but PAA’s absolute TSR is less than 0%</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 1,000 units (TSR Payout Percentage reduced from 114.4% to 100%)</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(performance at Target)</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50% / 500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 or #17</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0% / 0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PAA Peer Group (2020-2023 Performance Period)</w:t>
      </w:r>
      <w:r>
        <w:rPr>
          <w:rFonts w:ascii="Arial" w:cs="Arial" w:eastAsia="Arial" w:hAnsi="Arial"/>
          <w:sz w:val="18"/>
          <w:szCs w:val="18"/>
          <w:color w:val="auto"/>
        </w:rPr>
        <w:t>:</w:t>
      </w:r>
    </w:p>
    <w:p>
      <w:pPr>
        <w:spacing w:after="0" w:line="381"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4220" w:type="dxa"/>
            <w:vAlign w:val="bottom"/>
            <w:tcBorders>
              <w:top w:val="single" w:sz="8" w:color="auto"/>
              <w:left w:val="single" w:sz="8" w:color="auto"/>
              <w:right w:val="single" w:sz="8" w:color="auto"/>
            </w:tcBorders>
          </w:tcPr>
          <w:p>
            <w:pPr>
              <w:ind w:left="1480"/>
              <w:spacing w:after="0"/>
              <w:rPr>
                <w:sz w:val="20"/>
                <w:szCs w:val="20"/>
                <w:color w:val="auto"/>
              </w:rPr>
            </w:pPr>
            <w:r>
              <w:rPr>
                <w:rFonts w:ascii="Arial" w:cs="Arial" w:eastAsia="Arial" w:hAnsi="Arial"/>
                <w:sz w:val="18"/>
                <w:szCs w:val="18"/>
                <w:b w:val="1"/>
                <w:bCs w:val="1"/>
                <w:color w:val="auto"/>
              </w:rPr>
              <w:t>Company Name</w:t>
            </w:r>
          </w:p>
        </w:tc>
        <w:tc>
          <w:tcPr>
            <w:tcW w:w="4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Ticker</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Enterprise Products Partners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EPD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Kinder Morgan Inc.</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KMI</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Williams Companies Inc.</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WMB</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MPLX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MPLX</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Energy Transfer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ONEOK Inc.</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Magellan Midstream Partners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MMP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Phillips 66 Partners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PSXP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Targa Resources Corp.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TRGP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DCP Midstream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DCP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TC Pipelines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TCP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Holly Energy Partners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HEP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NuStar Energy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EnLink Midstream LLC</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ENLC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Alerian MLP Total Return Index</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AMZX</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S&amp;P 500 Index</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SPX</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140"/>
          </w:cols>
          <w:pgMar w:left="320" w:top="1421" w:right="439" w:bottom="1440" w:gutter="0" w:footer="0" w:header="0"/>
        </w:sectPr>
      </w:pPr>
    </w:p>
    <w:bookmarkStart w:id="82" w:name="page83"/>
    <w:bookmarkEnd w:id="82"/>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If any member of the PAA Peer Group is acquired by an unrelated entity before the end of the Performance Period, such member shall be removed from the PAA Peer Group for purposes of calculating the TSR Payout Percentage. The Compensation Committee shall have discretionary authority to replace such member for purposes of calculating the TSR Payout Percentage. In all other cases involving merger, reorganization or other material change in ownership, legal structure or business operations of any member of the PAA Peer Group, including acquisition by a related entity before the end of the Performance Period, the Compensation Committee shall have authority to retain, remove or replace such member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40" w:right="339" w:bottom="1440" w:gutter="0" w:footer="0" w:header="0"/>
        </w:sectPr>
      </w:pPr>
    </w:p>
    <w:bookmarkStart w:id="83" w:name="page84"/>
    <w:bookmarkEnd w:id="83"/>
    <w:p>
      <w:pPr>
        <w:jc w:val="center"/>
        <w:ind w:right="312"/>
        <w:spacing w:after="0"/>
        <w:rPr>
          <w:sz w:val="20"/>
          <w:szCs w:val="20"/>
          <w:color w:val="auto"/>
        </w:rPr>
      </w:pPr>
      <w:r>
        <w:rPr>
          <w:rFonts w:ascii="Arial" w:cs="Arial" w:eastAsia="Arial" w:hAnsi="Arial"/>
          <w:sz w:val="22"/>
          <w:szCs w:val="22"/>
          <w:b w:val="1"/>
          <w:bCs w:val="1"/>
          <w:color w:val="auto"/>
        </w:rPr>
        <w:t>Exhibit B</w:t>
      </w:r>
    </w:p>
    <w:p>
      <w:pPr>
        <w:spacing w:after="0" w:line="247"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Tranche 3 Vesting Terms</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(Cumulative DCF with Leverage Modifier)</w:t>
      </w:r>
    </w:p>
    <w:p>
      <w:pPr>
        <w:spacing w:after="0" w:line="222" w:lineRule="exact"/>
        <w:rPr>
          <w:sz w:val="20"/>
          <w:szCs w:val="20"/>
          <w:color w:val="auto"/>
        </w:rPr>
      </w:pPr>
    </w:p>
    <w:p>
      <w:pPr>
        <w:jc w:val="both"/>
        <w:ind w:left="328" w:hanging="328"/>
        <w:spacing w:after="0" w:line="273"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color w:val="auto"/>
        </w:rPr>
        <w:t>. Consistent with the Company’s pay for performance philosophy and in order to more closely align the interests of management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69" w:lineRule="exact"/>
        <w:rPr>
          <w:rFonts w:ascii="Arial" w:cs="Arial" w:eastAsia="Arial" w:hAnsi="Arial"/>
          <w:sz w:val="17"/>
          <w:szCs w:val="17"/>
          <w:color w:val="auto"/>
        </w:rPr>
      </w:pPr>
    </w:p>
    <w:p>
      <w:pPr>
        <w:jc w:val="both"/>
        <w:ind w:left="328" w:hanging="328"/>
        <w:spacing w:after="0" w:line="259"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Vesting and Payout</w:t>
      </w:r>
      <w:r>
        <w:rPr>
          <w:rFonts w:ascii="Arial" w:cs="Arial" w:eastAsia="Arial" w:hAnsi="Arial"/>
          <w:sz w:val="18"/>
          <w:szCs w:val="18"/>
          <w:color w:val="auto"/>
        </w:rPr>
        <w:t>. As soon as administratively feasible following the close of the three-year period ending on June 30, 2023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The DCF Payout Percentage may be adjusted upward or downward by +/- 50 percentage points (the “Leverage Modifier”) based on PAA’s leverage ratio (long-term debt to adjusted EBITDA as calculated pursuant to PAA’s senior unsecured revolving credit facility) as of June 30, 2023 compared to the leverage ratio assumed in the Grant Date Plan. The Leverage Modifier will be applied as follows:</w:t>
      </w:r>
    </w:p>
    <w:p>
      <w:pPr>
        <w:spacing w:after="0" w:line="82" w:lineRule="exact"/>
        <w:rPr>
          <w:rFonts w:ascii="Arial" w:cs="Arial" w:eastAsia="Arial" w:hAnsi="Arial"/>
          <w:sz w:val="18"/>
          <w:szCs w:val="18"/>
          <w:color w:val="auto"/>
        </w:rPr>
      </w:pPr>
    </w:p>
    <w:p>
      <w:pPr>
        <w:ind w:left="968" w:hanging="320"/>
        <w:spacing w:after="0"/>
        <w:tabs>
          <w:tab w:leader="none" w:pos="968"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the leverage ratio as of June 30, 2023 is between 3.4x and 3.7x, there will be no adjustment to the DCF Payout Percentage;</w:t>
      </w:r>
    </w:p>
    <w:p>
      <w:pPr>
        <w:spacing w:after="0" w:line="128" w:lineRule="exact"/>
        <w:rPr>
          <w:rFonts w:ascii="Arial" w:cs="Arial" w:eastAsia="Arial" w:hAnsi="Arial"/>
          <w:sz w:val="17"/>
          <w:szCs w:val="17"/>
          <w:color w:val="auto"/>
        </w:rPr>
      </w:pPr>
    </w:p>
    <w:p>
      <w:pPr>
        <w:ind w:left="968" w:hanging="320"/>
        <w:spacing w:after="0" w:line="277" w:lineRule="auto"/>
        <w:tabs>
          <w:tab w:leader="none" w:pos="9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leverage ratio as of June 30, 2023 is higher than 3.7x, the DCF Payout Percentage will be reduced by 50 gross percentage points; and</w:t>
      </w:r>
    </w:p>
    <w:p>
      <w:pPr>
        <w:spacing w:after="0" w:line="62" w:lineRule="exact"/>
        <w:rPr>
          <w:rFonts w:ascii="Arial" w:cs="Arial" w:eastAsia="Arial" w:hAnsi="Arial"/>
          <w:sz w:val="18"/>
          <w:szCs w:val="18"/>
          <w:color w:val="auto"/>
        </w:rPr>
      </w:pPr>
    </w:p>
    <w:p>
      <w:pPr>
        <w:ind w:left="968" w:right="20" w:hanging="320"/>
        <w:spacing w:after="0" w:line="277"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leverage ratio as of June 30, 2023 is lower than 3.4x, the DCF Payout Percentage will be increased by 50 gross percentage points (subject to a 200% cap).</w:t>
      </w:r>
    </w:p>
    <w:p>
      <w:pPr>
        <w:spacing w:after="0" w:line="327" w:lineRule="exact"/>
        <w:rPr>
          <w:sz w:val="20"/>
          <w:szCs w:val="20"/>
          <w:color w:val="auto"/>
        </w:rPr>
      </w:pPr>
    </w:p>
    <w:tbl>
      <w:tblPr>
        <w:tblLayout w:type="fixed"/>
        <w:tblInd w:w="1318" w:type="dxa"/>
        <w:tblCellMar>
          <w:top w:w="0" w:type="dxa"/>
          <w:left w:w="0" w:type="dxa"/>
          <w:bottom w:w="0" w:type="dxa"/>
          <w:right w:w="0" w:type="dxa"/>
        </w:tblCellMar>
      </w:tblPr>
      <w:tr>
        <w:trPr>
          <w:trHeight w:val="265"/>
        </w:trPr>
        <w:tc>
          <w:tcPr>
            <w:tcW w:w="4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Cumulative DCF Per CUE Over the Performance</w:t>
            </w:r>
          </w:p>
        </w:tc>
        <w:tc>
          <w:tcPr>
            <w:tcW w:w="39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DCF Payout Percentage</w:t>
            </w:r>
          </w:p>
        </w:tc>
      </w:tr>
      <w:tr>
        <w:trPr>
          <w:trHeight w:val="234"/>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3960" w:type="dxa"/>
            <w:vAlign w:val="bottom"/>
            <w:tcBorders>
              <w:right w:val="single" w:sz="8" w:color="auto"/>
            </w:tcBorders>
          </w:tcPr>
          <w:p>
            <w:pPr>
              <w:spacing w:after="0"/>
              <w:rPr>
                <w:sz w:val="20"/>
                <w:szCs w:val="20"/>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$6.75 (112.5% of target)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$6.5625</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175%</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$6.3750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$6.1875</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 (target)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$5.85</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$5.70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$5.55</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$5.40 (90% of target)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0908"/>
          </w:cols>
          <w:pgMar w:left="652" w:top="1422" w:right="339" w:bottom="1440" w:gutter="0" w:footer="0" w:header="0"/>
        </w:sectPr>
      </w:pPr>
    </w:p>
    <w:bookmarkStart w:id="84" w:name="page85"/>
    <w:bookmarkEnd w:id="84"/>
    <w:p>
      <w:pPr>
        <w:jc w:val="both"/>
        <w:ind w:left="660"/>
        <w:spacing w:after="0" w:line="263" w:lineRule="auto"/>
        <w:rPr>
          <w:sz w:val="20"/>
          <w:szCs w:val="20"/>
          <w:color w:val="auto"/>
        </w:rPr>
      </w:pPr>
      <w:r>
        <w:rPr>
          <w:rFonts w:ascii="Arial" w:cs="Arial" w:eastAsia="Arial" w:hAnsi="Arial"/>
          <w:sz w:val="18"/>
          <w:szCs w:val="18"/>
          <w:color w:val="auto"/>
        </w:rPr>
        <w:t>Note: Both the cumulative DCF per CUE targets set forth in the table above and the leverage ratios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spacing w:after="0" w:line="76" w:lineRule="exact"/>
        <w:rPr>
          <w:sz w:val="20"/>
          <w:szCs w:val="20"/>
          <w:color w:val="auto"/>
        </w:rPr>
      </w:pPr>
    </w:p>
    <w:p>
      <w:pPr>
        <w:jc w:val="both"/>
        <w:ind w:left="980" w:hanging="324"/>
        <w:spacing w:after="0" w:line="286" w:lineRule="auto"/>
        <w:tabs>
          <w:tab w:leader="none" w:pos="97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spacing w:after="0" w:line="57" w:lineRule="exact"/>
        <w:rPr>
          <w:rFonts w:ascii="Arial" w:cs="Arial" w:eastAsia="Arial" w:hAnsi="Arial"/>
          <w:sz w:val="17"/>
          <w:szCs w:val="17"/>
          <w:color w:val="auto"/>
        </w:rPr>
      </w:pPr>
    </w:p>
    <w:p>
      <w:pPr>
        <w:ind w:left="980" w:hanging="324"/>
        <w:spacing w:after="0" w:line="308" w:lineRule="auto"/>
        <w:tabs>
          <w:tab w:leader="none" w:pos="974"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with respect to any divested assets that were included as divestitures in the Grant Date Plan, the leverage ratio target will be adjusted to reflect the leverage impact of any such divested assets based on the assumptions originally set forth in the Grant Date Plan.</w:t>
      </w:r>
    </w:p>
    <w:p>
      <w:pPr>
        <w:spacing w:after="0" w:line="3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 asset sales, amount of capital expenditures, etc.).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Illustrative Examples (based on an assumed target number of Tranche 3 Phantom Units of 1,000):</w:t>
      </w:r>
    </w:p>
    <w:p>
      <w:pPr>
        <w:spacing w:after="0" w:line="273" w:lineRule="exact"/>
        <w:rPr>
          <w:sz w:val="20"/>
          <w:szCs w:val="20"/>
          <w:color w:val="auto"/>
        </w:rPr>
      </w:pPr>
    </w:p>
    <w:tbl>
      <w:tblPr>
        <w:tblLayout w:type="fixed"/>
        <w:tblInd w:w="130" w:type="dxa"/>
        <w:tblCellMar>
          <w:top w:w="0" w:type="dxa"/>
          <w:left w:w="0" w:type="dxa"/>
          <w:bottom w:w="0" w:type="dxa"/>
          <w:right w:w="0" w:type="dxa"/>
        </w:tblCellMar>
      </w:tblPr>
      <w:tr>
        <w:trPr>
          <w:trHeight w:val="238"/>
        </w:trPr>
        <w:tc>
          <w:tcPr>
            <w:tcW w:w="2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PAA Cumulative DCF per CUE</w:t>
            </w:r>
          </w:p>
        </w:tc>
        <w:tc>
          <w:tcPr>
            <w:tcW w:w="2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0"/>
              </w:rPr>
              <w:t>Leverage Ratio as of June</w:t>
            </w:r>
          </w:p>
        </w:tc>
        <w:tc>
          <w:tcPr>
            <w:tcW w:w="440" w:type="dxa"/>
            <w:vAlign w:val="bottom"/>
            <w:tcBorders>
              <w:top w:val="single" w:sz="8" w:color="auto"/>
            </w:tcBorders>
          </w:tcPr>
          <w:p>
            <w:pPr>
              <w:spacing w:after="0"/>
              <w:rPr>
                <w:sz w:val="20"/>
                <w:szCs w:val="20"/>
                <w:color w:val="auto"/>
              </w:rPr>
            </w:pPr>
          </w:p>
        </w:tc>
        <w:tc>
          <w:tcPr>
            <w:tcW w:w="586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DCF Payout Percentage / Number of Units Vesting</w:t>
            </w:r>
          </w:p>
        </w:tc>
      </w:tr>
      <w:tr>
        <w:trPr>
          <w:trHeight w:val="261"/>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Over the Performance Period</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30, 2023</w:t>
            </w:r>
          </w:p>
        </w:tc>
        <w:tc>
          <w:tcPr>
            <w:tcW w:w="440" w:type="dxa"/>
            <w:vAlign w:val="bottom"/>
          </w:tcPr>
          <w:p>
            <w:pPr>
              <w:spacing w:after="0"/>
              <w:rPr>
                <w:sz w:val="22"/>
                <w:szCs w:val="22"/>
                <w:color w:val="auto"/>
              </w:rPr>
            </w:pPr>
          </w:p>
        </w:tc>
        <w:tc>
          <w:tcPr>
            <w:tcW w:w="586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(Impact of Leverage Modifier)</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3.55x</w:t>
            </w:r>
          </w:p>
        </w:tc>
        <w:tc>
          <w:tcPr>
            <w:tcW w:w="440" w:type="dxa"/>
            <w:vAlign w:val="bottom"/>
          </w:tcPr>
          <w:p>
            <w:pPr>
              <w:spacing w:after="0"/>
              <w:rPr>
                <w:sz w:val="20"/>
                <w:szCs w:val="20"/>
                <w:color w:val="auto"/>
              </w:rPr>
            </w:pPr>
            <w:r>
              <w:rPr>
                <w:rFonts w:ascii="Arial" w:cs="Arial" w:eastAsia="Arial" w:hAnsi="Arial"/>
                <w:sz w:val="18"/>
                <w:szCs w:val="18"/>
                <w:color w:val="auto"/>
                <w:w w:val="91"/>
              </w:rPr>
              <w:t>200%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2,000 units (no adjustment to DCF Payout Percentage)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3.75x</w:t>
            </w:r>
          </w:p>
        </w:tc>
        <w:tc>
          <w:tcPr>
            <w:tcW w:w="440" w:type="dxa"/>
            <w:vAlign w:val="bottom"/>
          </w:tcPr>
          <w:p>
            <w:pPr>
              <w:spacing w:after="0"/>
              <w:rPr>
                <w:sz w:val="20"/>
                <w:szCs w:val="20"/>
                <w:color w:val="auto"/>
              </w:rPr>
            </w:pPr>
            <w:r>
              <w:rPr>
                <w:rFonts w:ascii="Arial" w:cs="Arial" w:eastAsia="Arial" w:hAnsi="Arial"/>
                <w:sz w:val="18"/>
                <w:szCs w:val="18"/>
                <w:color w:val="auto"/>
                <w:w w:val="91"/>
              </w:rPr>
              <w:t>150%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1,500 units (DCF Payout Percentage reduced by 50 percentage points)</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440" w:type="dxa"/>
            <w:vAlign w:val="bottom"/>
          </w:tcPr>
          <w:p>
            <w:pPr>
              <w:spacing w:after="0"/>
              <w:rPr>
                <w:sz w:val="20"/>
                <w:szCs w:val="20"/>
                <w:color w:val="auto"/>
              </w:rPr>
            </w:pPr>
            <w:r>
              <w:rPr>
                <w:rFonts w:ascii="Arial" w:cs="Arial" w:eastAsia="Arial" w:hAnsi="Arial"/>
                <w:sz w:val="18"/>
                <w:szCs w:val="18"/>
                <w:color w:val="auto"/>
                <w:w w:val="91"/>
              </w:rPr>
              <w:t>200%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2,000 units (DCF Payout Percentage capped at 200%)</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3.55x</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1,000 units (no adjustment to DCF Payout Percentage)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3.75x</w:t>
            </w:r>
          </w:p>
        </w:tc>
        <w:tc>
          <w:tcPr>
            <w:tcW w:w="6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50% / 500 units (DCF Payout Percentage reduced by 50 percentage points)</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440" w:type="dxa"/>
            <w:vAlign w:val="bottom"/>
          </w:tcPr>
          <w:p>
            <w:pPr>
              <w:spacing w:after="0"/>
              <w:rPr>
                <w:sz w:val="20"/>
                <w:szCs w:val="20"/>
                <w:color w:val="auto"/>
              </w:rPr>
            </w:pPr>
            <w:r>
              <w:rPr>
                <w:rFonts w:ascii="Arial" w:cs="Arial" w:eastAsia="Arial" w:hAnsi="Arial"/>
                <w:sz w:val="18"/>
                <w:szCs w:val="18"/>
                <w:color w:val="auto"/>
                <w:w w:val="91"/>
              </w:rPr>
              <w:t>150%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 1,500 units (DCF Payout Percentage increased by 50 percentage points)</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3.55x</w:t>
            </w:r>
          </w:p>
        </w:tc>
        <w:tc>
          <w:tcPr>
            <w:tcW w:w="6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0% / 0 units (no adjustment to DCF Payout Percentage)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3.75x</w:t>
            </w:r>
          </w:p>
        </w:tc>
        <w:tc>
          <w:tcPr>
            <w:tcW w:w="6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0% / 0 units (no adjustment to DCF Payout Percentage)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6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50% / 500 units (DCF Payout Percentage increased by 50 percentage points)</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40"/>
          </w:cols>
          <w:pgMar w:left="320" w:top="14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10795</wp:posOffset>
            </wp:positionV>
            <wp:extent cx="2322830" cy="5918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232283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2020 ANNUAL DIRECTOR GRANT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13,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Class A Shares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[number]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74" w:lineRule="exact"/>
        <w:rPr>
          <w:sz w:val="20"/>
          <w:szCs w:val="20"/>
          <w:color w:val="auto"/>
        </w:rPr>
      </w:pPr>
    </w:p>
    <w:p>
      <w:pPr>
        <w:ind w:left="660" w:hanging="328"/>
        <w:spacing w:after="0" w:line="343" w:lineRule="auto"/>
        <w:tabs>
          <w:tab w:leader="none" w:pos="6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2024 Distribution Date.</w:t>
      </w:r>
    </w:p>
    <w:p>
      <w:pPr>
        <w:spacing w:after="0" w:line="131"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46"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40"/>
        <w:spacing w:after="0"/>
        <w:tabs>
          <w:tab w:leader="none" w:pos="4480" w:val="left"/>
          <w:tab w:leader="none" w:pos="6800" w:val="left"/>
        </w:tabs>
        <w:rPr>
          <w:sz w:val="20"/>
          <w:szCs w:val="20"/>
          <w:color w:val="auto"/>
        </w:rPr>
      </w:pPr>
      <w:r>
        <w:rPr>
          <w:rFonts w:ascii="Arial" w:cs="Arial" w:eastAsia="Arial" w:hAnsi="Arial"/>
          <w:sz w:val="20"/>
          <w:szCs w:val="20"/>
          <w:color w:val="000080"/>
        </w:rPr>
        <w:t>333 Clay Street, Suite 1600</w:t>
      </w:r>
      <w:r>
        <w:rPr>
          <w:sz w:val="20"/>
          <w:szCs w:val="20"/>
          <w:color w:val="auto"/>
        </w:rPr>
        <w:tab/>
      </w:r>
      <w:r>
        <w:rPr>
          <w:rFonts w:ascii="Arial" w:cs="Arial" w:eastAsia="Arial" w:hAnsi="Arial"/>
          <w:sz w:val="20"/>
          <w:szCs w:val="20"/>
          <w:color w:val="000080"/>
        </w:rPr>
        <w:t>Houston, Texas 77002</w:t>
      </w:r>
      <w:r>
        <w:rPr>
          <w:sz w:val="20"/>
          <w:szCs w:val="20"/>
          <w:color w:val="auto"/>
        </w:rPr>
        <w:tab/>
      </w:r>
      <w:r>
        <w:rPr>
          <w:rFonts w:ascii="Arial" w:cs="Arial" w:eastAsia="Arial" w:hAnsi="Arial"/>
          <w:sz w:val="18"/>
          <w:szCs w:val="18"/>
          <w:color w:val="000080"/>
        </w:rPr>
        <w:t>713/646-4100 or 800-564-3036</w:t>
      </w:r>
    </w:p>
    <w:p>
      <w:pPr>
        <w:sectPr>
          <w:pgSz w:w="11900" w:h="16838" w:orient="portrait"/>
          <w:cols w:equalWidth="0" w:num="1">
            <w:col w:w="11240"/>
          </w:cols>
          <w:pgMar w:left="320" w:top="126" w:right="339" w:bottom="1440" w:gutter="0" w:footer="0" w:header="0"/>
        </w:sectPr>
      </w:pPr>
    </w:p>
    <w:bookmarkStart w:id="86" w:name="page87"/>
    <w:bookmarkEnd w:id="86"/>
    <w:p>
      <w:pPr>
        <w:jc w:val="center"/>
        <w:ind w:right="-19"/>
        <w:spacing w:after="0"/>
        <w:tabs>
          <w:tab w:leader="none" w:pos="200" w:val="left"/>
          <w:tab w:leader="none" w:pos="180" w:val="left"/>
        </w:tabs>
        <w:rPr>
          <w:sz w:val="20"/>
          <w:szCs w:val="20"/>
          <w:color w:val="auto"/>
        </w:rPr>
      </w:pPr>
      <w:r>
        <w:rPr>
          <w:rFonts w:ascii="Arial" w:cs="Arial" w:eastAsia="Arial" w:hAnsi="Arial"/>
          <w:sz w:val="22"/>
          <w:szCs w:val="22"/>
          <w:color w:val="auto"/>
        </w:rPr>
        <w:t>[name]</w:t>
        <w:tab/>
        <w:t>- 2 -</w:t>
      </w:r>
      <w:r>
        <w:rPr>
          <w:sz w:val="20"/>
          <w:szCs w:val="20"/>
          <w:color w:val="auto"/>
        </w:rPr>
        <w:tab/>
      </w:r>
      <w:r>
        <w:rPr>
          <w:rFonts w:ascii="Arial" w:cs="Arial" w:eastAsia="Arial" w:hAnsi="Arial"/>
          <w:sz w:val="19"/>
          <w:szCs w:val="19"/>
          <w:color w:val="auto"/>
        </w:rPr>
        <w:t>August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hanging="328"/>
        <w:spacing w:after="0" w:line="248" w:lineRule="auto"/>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18" w:lineRule="exact"/>
        <w:rPr>
          <w:rFonts w:ascii="Arial" w:cs="Arial" w:eastAsia="Arial" w:hAnsi="Arial"/>
          <w:sz w:val="22"/>
          <w:szCs w:val="22"/>
          <w:color w:val="auto"/>
        </w:rPr>
      </w:pPr>
    </w:p>
    <w:p>
      <w:pPr>
        <w:ind w:left="660" w:hanging="328"/>
        <w:spacing w:after="0" w:line="343" w:lineRule="auto"/>
        <w:tabs>
          <w:tab w:leader="none" w:pos="6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31" w:lineRule="exact"/>
        <w:rPr>
          <w:sz w:val="20"/>
          <w:szCs w:val="20"/>
          <w:color w:val="auto"/>
        </w:rPr>
      </w:pPr>
    </w:p>
    <w:p>
      <w:pPr>
        <w:jc w:val="both"/>
        <w:ind w:firstLine="286"/>
        <w:spacing w:after="0" w:line="246" w:lineRule="auto"/>
        <w:rPr>
          <w:sz w:val="20"/>
          <w:szCs w:val="20"/>
          <w:color w:val="auto"/>
        </w:rPr>
      </w:pPr>
      <w:r>
        <w:rPr>
          <w:rFonts w:ascii="Arial" w:cs="Arial" w:eastAsia="Arial" w:hAnsi="Arial"/>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223" w:lineRule="exact"/>
        <w:rPr>
          <w:sz w:val="20"/>
          <w:szCs w:val="20"/>
          <w:color w:val="auto"/>
        </w:rPr>
      </w:pPr>
    </w:p>
    <w:p>
      <w:pPr>
        <w:jc w:val="both"/>
        <w:ind w:firstLine="236"/>
        <w:spacing w:after="0" w:line="247"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132" w:right="339" w:bottom="1440" w:gutter="0" w:footer="0" w:header="0"/>
        </w:sectPr>
      </w:pPr>
    </w:p>
    <w:bookmarkStart w:id="87" w:name="page88"/>
    <w:bookmarkEnd w:id="87"/>
    <w:p>
      <w:pPr>
        <w:jc w:val="center"/>
        <w:ind w:right="-19"/>
        <w:spacing w:after="0"/>
        <w:tabs>
          <w:tab w:leader="none" w:pos="200" w:val="left"/>
          <w:tab w:leader="none" w:pos="180" w:val="left"/>
        </w:tabs>
        <w:rPr>
          <w:sz w:val="20"/>
          <w:szCs w:val="20"/>
          <w:color w:val="auto"/>
        </w:rPr>
      </w:pPr>
      <w:r>
        <w:rPr>
          <w:rFonts w:ascii="Arial" w:cs="Arial" w:eastAsia="Arial" w:hAnsi="Arial"/>
          <w:sz w:val="22"/>
          <w:szCs w:val="22"/>
          <w:color w:val="auto"/>
        </w:rPr>
        <w:t>[name]</w:t>
        <w:tab/>
        <w:t>- 3 -</w:t>
      </w:r>
      <w:r>
        <w:rPr>
          <w:sz w:val="20"/>
          <w:szCs w:val="20"/>
          <w:color w:val="auto"/>
        </w:rPr>
        <w:tab/>
      </w:r>
      <w:r>
        <w:rPr>
          <w:rFonts w:ascii="Arial" w:cs="Arial" w:eastAsia="Arial" w:hAnsi="Arial"/>
          <w:sz w:val="19"/>
          <w:szCs w:val="19"/>
          <w:color w:val="auto"/>
        </w:rPr>
        <w:t>August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1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30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w:t>
      </w:r>
    </w:p>
    <w:p>
      <w:pPr>
        <w:spacing w:after="0" w:line="2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Richard McGee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8229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-17780</wp:posOffset>
            </wp:positionV>
            <wp:extent cx="647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6477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995160" cy="1611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6995160" cy="16116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9"/>
          <w:szCs w:val="19"/>
          <w:color w:val="auto"/>
        </w:rPr>
        <w:t>Primary Beneficiary Name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Relationship</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Percent (Must total 100%)</w:t>
      </w:r>
    </w:p>
    <w:p>
      <w:pPr>
        <w:spacing w:after="0" w:line="200" w:lineRule="exact"/>
        <w:rPr>
          <w:sz w:val="20"/>
          <w:szCs w:val="20"/>
          <w:color w:val="auto"/>
        </w:rPr>
      </w:pPr>
    </w:p>
    <w:p>
      <w:pPr>
        <w:sectPr>
          <w:pgSz w:w="11900" w:h="16838" w:orient="portrait"/>
          <w:cols w:equalWidth="0" w:num="3">
            <w:col w:w="4540" w:space="720"/>
            <w:col w:w="1520" w:space="720"/>
            <w:col w:w="3740"/>
          </w:cols>
          <w:pgMar w:left="32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Secondary Beneficiary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auto"/>
        </w:rPr>
        <w:t>Relationship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auto"/>
        </w:rPr>
        <w:t>Percent (Must total 100%)</w:t>
      </w:r>
    </w:p>
    <w:p>
      <w:pPr>
        <w:sectPr>
          <w:pgSz w:w="11900" w:h="16838" w:orient="portrait"/>
          <w:cols w:equalWidth="0" w:num="3">
            <w:col w:w="4540" w:space="720"/>
            <w:col w:w="1520" w:space="720"/>
            <w:col w:w="3740"/>
          </w:cols>
          <w:pgMar w:left="320" w:top="132" w:right="3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November 6, 2020</w:t>
      </w:r>
    </w:p>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November 6,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0"/>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lowerRoman"/>
      <w:start w:val="3"/>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1)"/>
      <w:numFmt w:val="decimal"/>
      <w:start w:val="3"/>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lowerRoman"/>
      <w:start w:val="3"/>
    </w:lvl>
  </w:abstractNum>
  <w:abstractNum w:abstractNumId="45">
    <w:nsid w:val="D34B6A8"/>
    <w:multiLevelType w:val="hybridMultilevel"/>
    <w:lvl w:ilvl="0">
      <w:lvlJc w:val="left"/>
      <w:lvlText w:val="(%1)"/>
      <w:numFmt w:val="lowerRoman"/>
      <w:start w:val="4"/>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lowerRoman"/>
      <w:start w:val="2"/>
    </w:lvl>
  </w:abstractNum>
  <w:abstractNum w:abstractNumId="52">
    <w:nsid w:val="310C50B3"/>
    <w:multiLevelType w:val="hybridMultilevel"/>
    <w:lvl w:ilvl="0">
      <w:lvlJc w:val="left"/>
      <w:lvlText w:val="%1."/>
      <w:numFmt w:val="decimal"/>
      <w:start w:val="1"/>
    </w:lvl>
    <w:lvl w:ilvl="1">
      <w:lvlJc w:val="left"/>
      <w:lvlText w:val="%2."/>
      <w:numFmt w:val="lowerLetter"/>
      <w:start w:val="1"/>
    </w:lvl>
  </w:abstractNum>
  <w:abstractNum w:abstractNumId="53">
    <w:nsid w:val="5FF87E05"/>
    <w:multiLevelType w:val="hybridMultilevel"/>
    <w:lvl w:ilvl="0">
      <w:lvlJc w:val="left"/>
      <w:lvlText w:val="%1"/>
      <w:numFmt w:val="decimal"/>
      <w:start w:val="1"/>
    </w:lvl>
    <w:lvl w:ilvl="1">
      <w:lvlJc w:val="left"/>
      <w:lvlText w:val="%2."/>
      <w:numFmt w:val="lowerLetter"/>
      <w:start w:val="2"/>
    </w:lvl>
  </w:abstractNum>
  <w:abstractNum w:abstractNumId="54">
    <w:nsid w:val="2F305DEF"/>
    <w:multiLevelType w:val="hybridMultilevel"/>
    <w:lvl w:ilvl="0">
      <w:lvlJc w:val="left"/>
      <w:lvlText w:val="%1."/>
      <w:numFmt w:val="decimal"/>
      <w:start w:val="3"/>
    </w:lvl>
    <w:lvl w:ilvl="1">
      <w:lvlJc w:val="left"/>
      <w:lvlText w:val="%2"/>
      <w:numFmt w:val="lowerLetter"/>
      <w:start w:val="1"/>
    </w:lvl>
  </w:abstractNum>
  <w:abstractNum w:abstractNumId="55">
    <w:nsid w:val="25A70BF7"/>
    <w:multiLevelType w:val="hybridMultilevel"/>
    <w:lvl w:ilvl="0">
      <w:lvlJc w:val="left"/>
      <w:lvlText w:val="%1."/>
      <w:numFmt w:val="decimal"/>
      <w:start w:val="5"/>
    </w:lvl>
  </w:abstractNum>
  <w:abstractNum w:abstractNumId="56">
    <w:nsid w:val="1DBABF00"/>
    <w:multiLevelType w:val="hybridMultilevel"/>
    <w:lvl w:ilvl="0">
      <w:lvlJc w:val="left"/>
      <w:lvlText w:val="%1."/>
      <w:numFmt w:val="decimal"/>
      <w:start w:val="8"/>
    </w:lvl>
  </w:abstractNum>
  <w:abstractNum w:abstractNumId="57">
    <w:nsid w:val="4AD084E9"/>
    <w:multiLevelType w:val="hybridMultilevel"/>
    <w:lvl w:ilvl="0">
      <w:lvlJc w:val="left"/>
      <w:lvlText w:val="(%1)"/>
      <w:numFmt w:val="lowerRoman"/>
      <w:start w:val="1"/>
    </w:lvl>
  </w:abstractNum>
  <w:abstractNum w:abstractNumId="58">
    <w:nsid w:val="1F48EAA1"/>
    <w:multiLevelType w:val="hybridMultilevel"/>
    <w:lvl w:ilvl="0">
      <w:lvlJc w:val="left"/>
      <w:lvlText w:val="(%1)"/>
      <w:numFmt w:val="lowerRoman"/>
      <w:start w:val="4"/>
    </w:lvl>
  </w:abstractNum>
  <w:abstractNum w:abstractNumId="59">
    <w:nsid w:val="1381823A"/>
    <w:multiLevelType w:val="hybridMultilevel"/>
    <w:lvl w:ilvl="0">
      <w:lvlJc w:val="left"/>
      <w:lvlText w:val="%1."/>
      <w:numFmt w:val="decimal"/>
      <w:start w:val="1"/>
    </w:lvl>
    <w:lvl w:ilvl="1">
      <w:lvlJc w:val="left"/>
      <w:lvlText w:val="(%2)"/>
      <w:numFmt w:val="lowerRoman"/>
      <w:start w:val="1"/>
    </w:lvl>
  </w:abstractNum>
  <w:abstractNum w:abstractNumId="60">
    <w:nsid w:val="5DB70AE5"/>
    <w:multiLevelType w:val="hybridMultilevel"/>
    <w:lvl w:ilvl="0">
      <w:lvlJc w:val="left"/>
      <w:lvlText w:val="%1."/>
      <w:numFmt w:val="decimal"/>
      <w:start w:val="3"/>
    </w:lvl>
  </w:abstractNum>
  <w:abstractNum w:abstractNumId="61">
    <w:nsid w:val="100F8FCA"/>
    <w:multiLevelType w:val="hybridMultilevel"/>
    <w:lvl w:ilvl="0">
      <w:lvlJc w:val="left"/>
      <w:lvlText w:val="%1."/>
      <w:numFmt w:val="decimal"/>
      <w:start w:val="1"/>
    </w:lvl>
    <w:lvl w:ilvl="1">
      <w:lvlJc w:val="left"/>
      <w:lvlText w:val="(%2)"/>
      <w:numFmt w:val="lowerRoman"/>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6"/>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decimal"/>
      <w:start w:val="5"/>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lowerRoman"/>
      <w:start w:val="1"/>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6" Type="http://schemas.openxmlformats.org/officeDocument/2006/relationships/image" Target="media/image113.png"/><Relationship Id="rId142"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jpeg"/><Relationship Id="rId158" Type="http://schemas.openxmlformats.org/officeDocument/2006/relationships/image" Target="media/image119.jpe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20" Type="http://schemas.openxmlformats.org/officeDocument/2006/relationships/hyperlink" Target="http://www.sec.gov/Archives/edgar/data/1581990/000104746913007875/a2216069zex-3_1.htm" TargetMode="External"/><Relationship Id="rId121" Type="http://schemas.openxmlformats.org/officeDocument/2006/relationships/hyperlink" Target="http://www.sec.gov/Archives/edgar/data/1581990/000110465916158356/a16-21845_1ex3d2.htm" TargetMode="External"/><Relationship Id="rId122" Type="http://schemas.openxmlformats.org/officeDocument/2006/relationships/hyperlink" Target="http://www.sec.gov/Archives/edgar/data/1581990/000158199020000012/exhibit31.htm" TargetMode="External"/><Relationship Id="rId123" Type="http://schemas.openxmlformats.org/officeDocument/2006/relationships/hyperlink" Target="http://www.sec.gov/Archives/edgar/data/1581990/000104746913007875/a2216069zex-3_3.htm" TargetMode="External"/><Relationship Id="rId124" Type="http://schemas.openxmlformats.org/officeDocument/2006/relationships/hyperlink" Target="http://www.sec.gov/Archives/edgar/data/1581990/000110465917010602/a17-6893_1ex3d1.htm" TargetMode="External"/><Relationship Id="rId125" Type="http://schemas.openxmlformats.org/officeDocument/2006/relationships/hyperlink" Target="http://www.sec.gov/Archives/edgar/data/1581990/000110465918052852/a18-18386_2ex3d1.htm" TargetMode="External"/><Relationship Id="rId127" Type="http://schemas.openxmlformats.org/officeDocument/2006/relationships/hyperlink" Target="http://www.sec.gov/Archives/edgar/data/1581990/000110465918072385/a18-41342_1ex3d1.htm" TargetMode="External"/><Relationship Id="rId128" Type="http://schemas.openxmlformats.org/officeDocument/2006/relationships/hyperlink" Target="http://www.sec.gov/Archives/edgar/data/1581990/000110465919067784/tm1923980d1_ex3-1.htm" TargetMode="External"/><Relationship Id="rId129" Type="http://schemas.openxmlformats.org/officeDocument/2006/relationships/hyperlink" Target="http://www.sec.gov/Archives/edgar/data/1070423/000110465917061889/a17-22685_5ex3d1.htm" TargetMode="External"/><Relationship Id="rId130" Type="http://schemas.openxmlformats.org/officeDocument/2006/relationships/hyperlink" Target="http://www.sec.gov/Archives/edgar/data/1581990/000110465916158356/a16-21845_1ex3d3.htm" TargetMode="External"/><Relationship Id="rId131" Type="http://schemas.openxmlformats.org/officeDocument/2006/relationships/hyperlink" Target="http://www.sec.gov/Archives/edgar/data/1581990/000110465916158356/a16-21845_1ex3d4.htm" TargetMode="External"/><Relationship Id="rId132" Type="http://schemas.openxmlformats.org/officeDocument/2006/relationships/hyperlink" Target="http://www.sec.gov/Archives/edgar/data/1581990/000110465918060012/a18-36197_1ex3d1.htm" TargetMode="External"/><Relationship Id="rId133" Type="http://schemas.openxmlformats.org/officeDocument/2006/relationships/hyperlink" Target="http://www.sec.gov/Archives/edgar/data/1581990/000110465919032813/a19-10857_1ex3d1.htm" TargetMode="External"/><Relationship Id="rId134" Type="http://schemas.openxmlformats.org/officeDocument/2006/relationships/hyperlink" Target="http://www.sec.gov/Archives/edgar/data/1070423/000095012908000071/h52770exv3w3.htm" TargetMode="External"/><Relationship Id="rId135" Type="http://schemas.openxmlformats.org/officeDocument/2006/relationships/hyperlink" Target="http://www.sec.gov/Archives/edgar/data/1070423/000089924302002834/dex41.txt" TargetMode="External"/><Relationship Id="rId136" Type="http://schemas.openxmlformats.org/officeDocument/2006/relationships/hyperlink" Target="http://www.sec.gov/Archives/edgar/data/1070423/000110465906034368/a06-11663_1ex4d1.htm" TargetMode="External"/><Relationship Id="rId137" Type="http://schemas.openxmlformats.org/officeDocument/2006/relationships/hyperlink" Target="http://www.sec.gov/Archives/edgar/data/1070423/000095012906009235/h40667exv4w2.htm" TargetMode="External"/><Relationship Id="rId138" Type="http://schemas.openxmlformats.org/officeDocument/2006/relationships/hyperlink" Target="http://www.sec.gov/Archives/edgar/data/1070423/000095012311002051/h78739exv4w1.htm" TargetMode="External"/><Relationship Id="rId139" Type="http://schemas.openxmlformats.org/officeDocument/2006/relationships/hyperlink" Target="http://www.sec.gov/Archives/edgar/data/1070423/000119312512132295/d321017dex41.htm" TargetMode="External"/><Relationship Id="rId140" Type="http://schemas.openxmlformats.org/officeDocument/2006/relationships/hyperlink" Target="http://www.sec.gov/Archives/edgar/data/1070423/000119312512132295/d321017dex43.htm" TargetMode="External"/><Relationship Id="rId141" Type="http://schemas.openxmlformats.org/officeDocument/2006/relationships/hyperlink" Target="http://www.sec.gov/Archives/edgar/data/1070423/000119312512499932/d453762dex41.htm" TargetMode="External"/><Relationship Id="rId143" Type="http://schemas.openxmlformats.org/officeDocument/2006/relationships/hyperlink" Target="http://www.sec.gov/Archives/edgar/data/1070423/000119312512499932/d453762dex43.htm" TargetMode="External"/><Relationship Id="rId144" Type="http://schemas.openxmlformats.org/officeDocument/2006/relationships/hyperlink" Target="http://www.sec.gov/Archives/edgar/data/1070423/000119312513336066/d581734dex41.htm" TargetMode="External"/><Relationship Id="rId145" Type="http://schemas.openxmlformats.org/officeDocument/2006/relationships/hyperlink" Target="http://www.sec.gov/Archives/edgar/data/1581990/000119312514164185/d717953dex41.htm" TargetMode="External"/><Relationship Id="rId146" Type="http://schemas.openxmlformats.org/officeDocument/2006/relationships/hyperlink" Target="http://www.sec.gov/Archives/edgar/data/1581990/000119312514338295/d787197dex41.htm" TargetMode="External"/><Relationship Id="rId147" Type="http://schemas.openxmlformats.org/officeDocument/2006/relationships/hyperlink" Target="http://www.sec.gov/Archives/edgar/data/1581990/000119312514440012/d835488dex43.htm" TargetMode="External"/><Relationship Id="rId148" Type="http://schemas.openxmlformats.org/officeDocument/2006/relationships/hyperlink" Target="http://www.sec.gov/Archives/edgar/data/1070423/000119312515302829/d45393dex41.htm" TargetMode="External"/><Relationship Id="rId149" Type="http://schemas.openxmlformats.org/officeDocument/2006/relationships/hyperlink" Target="http://www.sec.gov/Archives/edgar/data/1070423/000110465916159593/a16-22232_1ex4d1.htm" TargetMode="External"/><Relationship Id="rId150" Type="http://schemas.openxmlformats.org/officeDocument/2006/relationships/hyperlink" Target="http://www.sec.gov/Archives/edgar/data/1070423/000110465920072270/tm2022235d1_ex4-1.htm" TargetMode="External"/><Relationship Id="rId151" Type="http://schemas.openxmlformats.org/officeDocument/2006/relationships/hyperlink" Target="http://www.sec.gov/Archives/edgar/data/1070423/000141057819001281/0001410578-19-001281-index.htm" TargetMode="External"/><Relationship Id="rId152" Type="http://schemas.openxmlformats.org/officeDocument/2006/relationships/hyperlink" Target="http://www.sec.gov/Archives/edgar/data/1581990/000110465913078057/a13-22338_2ex4d1.htm" TargetMode="External"/><Relationship Id="rId153" Type="http://schemas.openxmlformats.org/officeDocument/2006/relationships/hyperlink" Target="http://www.sec.gov/Archives/edgar/data/1581990/000158199020000005/pagp201910-kexhibit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2020-11-06T16:27:29Z</dcterms:created>
  <dcterms:modified xsi:type="dcterms:W3CDTF">2020-11-06T16:27:29Z</dcterms:modified>
</cp:coreProperties>
</file>