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4"/>
          <w:szCs w:val="24"/>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2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920" w:right="2040" w:hanging="3912"/>
        <w:spacing w:after="0" w:line="266" w:lineRule="auto"/>
        <w:tabs>
          <w:tab w:leader="none" w:pos="36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1-14569</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PLAINS ALL AMERICAN PIPELINE, L.P.</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6" w:lineRule="exact"/>
        <w:rPr>
          <w:sz w:val="24"/>
          <w:szCs w:val="24"/>
          <w:color w:val="auto"/>
        </w:rPr>
      </w:pPr>
    </w:p>
    <w:tbl>
      <w:tblPr>
        <w:tblLayout w:type="fixed"/>
        <w:tblInd w:w="1140" w:type="dxa"/>
        <w:tblCellMar>
          <w:top w:w="0" w:type="dxa"/>
          <w:left w:w="0" w:type="dxa"/>
          <w:bottom w:w="0" w:type="dxa"/>
          <w:right w:w="0" w:type="dxa"/>
        </w:tblCellMar>
      </w:tblPr>
      <w:tr>
        <w:trPr>
          <w:trHeight w:val="186"/>
        </w:trPr>
        <w:tc>
          <w:tcPr>
            <w:tcW w:w="4820" w:type="dxa"/>
            <w:vAlign w:val="bottom"/>
          </w:tcPr>
          <w:p>
            <w:pPr>
              <w:jc w:val="center"/>
              <w:ind w:right="1288"/>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tcPr>
          <w:p>
            <w:pPr>
              <w:jc w:val="right"/>
              <w:ind w:right="628"/>
              <w:spacing w:after="0"/>
              <w:rPr>
                <w:sz w:val="20"/>
                <w:szCs w:val="20"/>
                <w:color w:val="auto"/>
              </w:rPr>
            </w:pPr>
            <w:r>
              <w:rPr>
                <w:rFonts w:ascii="Arial" w:cs="Arial" w:eastAsia="Arial" w:hAnsi="Arial"/>
                <w:sz w:val="14"/>
                <w:szCs w:val="14"/>
                <w:b w:val="1"/>
                <w:bCs w:val="1"/>
                <w:color w:val="auto"/>
              </w:rPr>
              <w:t>76-0582150</w:t>
            </w:r>
          </w:p>
        </w:tc>
      </w:tr>
      <w:tr>
        <w:trPr>
          <w:trHeight w:val="189"/>
        </w:trPr>
        <w:tc>
          <w:tcPr>
            <w:tcW w:w="4820" w:type="dxa"/>
            <w:vAlign w:val="bottom"/>
          </w:tcPr>
          <w:p>
            <w:pPr>
              <w:jc w:val="center"/>
              <w:ind w:right="13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460" w:type="dxa"/>
            <w:vAlign w:val="bottom"/>
          </w:tcPr>
          <w:p>
            <w:pPr>
              <w:jc w:val="center"/>
              <w:ind w:left="1308"/>
              <w:spacing w:after="0"/>
              <w:rPr>
                <w:sz w:val="20"/>
                <w:szCs w:val="20"/>
                <w:color w:val="auto"/>
              </w:rPr>
            </w:pPr>
            <w:r>
              <w:rPr>
                <w:rFonts w:ascii="Arial" w:cs="Arial" w:eastAsia="Arial" w:hAnsi="Arial"/>
                <w:sz w:val="14"/>
                <w:szCs w:val="14"/>
                <w:color w:val="auto"/>
                <w:w w:val="96"/>
              </w:rPr>
              <w:t>(I.R.S. Employer Identification No.)</w:t>
            </w:r>
          </w:p>
        </w:tc>
      </w:tr>
      <w:tr>
        <w:trPr>
          <w:trHeight w:val="283"/>
        </w:trPr>
        <w:tc>
          <w:tcPr>
            <w:tcW w:w="4820" w:type="dxa"/>
            <w:vAlign w:val="bottom"/>
          </w:tcPr>
          <w:p>
            <w:pPr>
              <w:jc w:val="center"/>
              <w:ind w:right="1288"/>
              <w:spacing w:after="0"/>
              <w:rPr>
                <w:sz w:val="20"/>
                <w:szCs w:val="20"/>
                <w:color w:val="auto"/>
              </w:rPr>
            </w:pPr>
            <w:r>
              <w:rPr>
                <w:rFonts w:ascii="Arial" w:cs="Arial" w:eastAsia="Arial" w:hAnsi="Arial"/>
                <w:sz w:val="14"/>
                <w:szCs w:val="14"/>
                <w:b w:val="1"/>
                <w:bCs w:val="1"/>
                <w:color w:val="auto"/>
                <w:w w:val="91"/>
              </w:rPr>
              <w:t>333 Clay Street, Suite 1600, Houston, Texas</w:t>
            </w:r>
          </w:p>
        </w:tc>
        <w:tc>
          <w:tcPr>
            <w:tcW w:w="3460" w:type="dxa"/>
            <w:vAlign w:val="bottom"/>
          </w:tcPr>
          <w:p>
            <w:pPr>
              <w:jc w:val="right"/>
              <w:ind w:right="788"/>
              <w:spacing w:after="0"/>
              <w:rPr>
                <w:sz w:val="20"/>
                <w:szCs w:val="20"/>
                <w:color w:val="auto"/>
              </w:rPr>
            </w:pPr>
            <w:r>
              <w:rPr>
                <w:rFonts w:ascii="Arial" w:cs="Arial" w:eastAsia="Arial" w:hAnsi="Arial"/>
                <w:sz w:val="14"/>
                <w:szCs w:val="14"/>
                <w:b w:val="1"/>
                <w:bCs w:val="1"/>
                <w:color w:val="auto"/>
              </w:rPr>
              <w:t>77002</w:t>
            </w:r>
          </w:p>
        </w:tc>
      </w:tr>
      <w:tr>
        <w:trPr>
          <w:trHeight w:val="189"/>
        </w:trPr>
        <w:tc>
          <w:tcPr>
            <w:tcW w:w="4820" w:type="dxa"/>
            <w:vAlign w:val="bottom"/>
          </w:tcPr>
          <w:p>
            <w:pPr>
              <w:jc w:val="center"/>
              <w:ind w:right="1308"/>
              <w:spacing w:after="0"/>
              <w:rPr>
                <w:sz w:val="20"/>
                <w:szCs w:val="20"/>
                <w:color w:val="auto"/>
              </w:rPr>
            </w:pPr>
            <w:r>
              <w:rPr>
                <w:rFonts w:ascii="Arial" w:cs="Arial" w:eastAsia="Arial" w:hAnsi="Arial"/>
                <w:sz w:val="14"/>
                <w:szCs w:val="14"/>
                <w:color w:val="auto"/>
                <w:w w:val="95"/>
              </w:rPr>
              <w:t>(Address of principal executive offices)</w:t>
            </w:r>
          </w:p>
        </w:tc>
        <w:tc>
          <w:tcPr>
            <w:tcW w:w="3460" w:type="dxa"/>
            <w:vAlign w:val="bottom"/>
          </w:tcPr>
          <w:p>
            <w:pPr>
              <w:jc w:val="center"/>
              <w:ind w:left="1308"/>
              <w:spacing w:after="0"/>
              <w:rPr>
                <w:sz w:val="20"/>
                <w:szCs w:val="20"/>
                <w:color w:val="auto"/>
              </w:rPr>
            </w:pPr>
            <w:r>
              <w:rPr>
                <w:rFonts w:ascii="Arial" w:cs="Arial" w:eastAsia="Arial" w:hAnsi="Arial"/>
                <w:sz w:val="14"/>
                <w:szCs w:val="14"/>
                <w:color w:val="auto"/>
                <w:w w:val="96"/>
              </w:rPr>
              <w:t>(Zip Code)</w:t>
            </w:r>
          </w:p>
        </w:tc>
      </w:tr>
    </w:tbl>
    <w:p>
      <w:pPr>
        <w:spacing w:after="0" w:line="340" w:lineRule="exact"/>
        <w:rPr>
          <w:sz w:val="24"/>
          <w:szCs w:val="24"/>
          <w:color w:val="auto"/>
        </w:rPr>
      </w:pPr>
    </w:p>
    <w:p>
      <w:pPr>
        <w:ind w:left="366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(713) 646-4100</w:t>
      </w:r>
    </w:p>
    <w:p>
      <w:pPr>
        <w:spacing w:after="0" w:line="100" w:lineRule="exact"/>
        <w:rPr>
          <w:sz w:val="24"/>
          <w:szCs w:val="24"/>
          <w:color w:val="auto"/>
        </w:rPr>
      </w:pPr>
    </w:p>
    <w:p>
      <w:pPr>
        <w:ind w:left="41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37" w:lineRule="exact"/>
        <w:rPr>
          <w:sz w:val="24"/>
          <w:szCs w:val="24"/>
          <w:color w:val="auto"/>
        </w:rPr>
      </w:pPr>
    </w:p>
    <w:tbl>
      <w:tblPr>
        <w:tblLayout w:type="fixed"/>
        <w:tblInd w:w="880" w:type="dxa"/>
        <w:tblCellMar>
          <w:top w:w="0" w:type="dxa"/>
          <w:left w:w="0" w:type="dxa"/>
          <w:bottom w:w="0" w:type="dxa"/>
          <w:right w:w="0" w:type="dxa"/>
        </w:tblCellMar>
      </w:tblPr>
      <w:tr>
        <w:trPr>
          <w:trHeight w:val="174"/>
        </w:trPr>
        <w:tc>
          <w:tcPr>
            <w:tcW w:w="3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Trading Symbol(s)</w:t>
            </w:r>
          </w:p>
        </w:tc>
        <w:tc>
          <w:tcPr>
            <w:tcW w:w="314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82"/>
        </w:trPr>
        <w:tc>
          <w:tcPr>
            <w:tcW w:w="3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Common Units</w:t>
            </w:r>
          </w:p>
        </w:tc>
        <w:tc>
          <w:tcPr>
            <w:tcW w:w="120" w:type="dxa"/>
            <w:vAlign w:val="bottom"/>
          </w:tcPr>
          <w:p>
            <w:pPr>
              <w:spacing w:after="0"/>
              <w:rPr>
                <w:sz w:val="15"/>
                <w:szCs w:val="15"/>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PAA</w:t>
            </w:r>
          </w:p>
        </w:tc>
        <w:tc>
          <w:tcPr>
            <w:tcW w:w="100" w:type="dxa"/>
            <w:vAlign w:val="bottom"/>
          </w:tcPr>
          <w:p>
            <w:pPr>
              <w:spacing w:after="0"/>
              <w:rPr>
                <w:sz w:val="15"/>
                <w:szCs w:val="15"/>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6"/>
              </w:rPr>
              <w:t>Nasdaq</w:t>
            </w:r>
          </w:p>
        </w:tc>
      </w:tr>
    </w:tbl>
    <w:p>
      <w:pPr>
        <w:spacing w:after="0" w:line="92" w:lineRule="exact"/>
        <w:rPr>
          <w:sz w:val="24"/>
          <w:szCs w:val="24"/>
          <w:color w:val="auto"/>
        </w:rPr>
      </w:pPr>
    </w:p>
    <w:p>
      <w:pPr>
        <w:jc w:val="center"/>
        <w:ind w:right="-37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34" w:lineRule="exact"/>
        <w:rPr>
          <w:sz w:val="24"/>
          <w:szCs w:val="24"/>
          <w:color w:val="auto"/>
        </w:rPr>
      </w:pPr>
    </w:p>
    <w:p>
      <w:pPr>
        <w:ind w:left="340" w:right="298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3"/>
          <w:szCs w:val="13"/>
          <w:color w:val="auto"/>
        </w:rPr>
        <w:t xml:space="preserve"> No </w:t>
      </w:r>
      <w:r>
        <w:rPr>
          <w:rFonts w:ascii="MS PGothic" w:cs="MS PGothic" w:eastAsia="MS PGothic" w:hAnsi="MS PGothic"/>
          <w:sz w:val="12"/>
          <w:szCs w:val="12"/>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3"/>
          <w:szCs w:val="13"/>
          <w:color w:val="auto"/>
        </w:rPr>
        <w:t xml:space="preserve"> No </w:t>
      </w:r>
      <w:r>
        <w:rPr>
          <w:rFonts w:ascii="MS PGothic" w:cs="MS PGothic" w:eastAsia="MS PGothic" w:hAnsi="MS PGothic"/>
          <w:sz w:val="12"/>
          <w:szCs w:val="12"/>
          <w:color w:val="auto"/>
        </w:rPr>
        <w:t>☑</w:t>
      </w:r>
    </w:p>
    <w:p>
      <w:pPr>
        <w:spacing w:after="0" w:line="28" w:lineRule="exact"/>
        <w:rPr>
          <w:sz w:val="24"/>
          <w:szCs w:val="24"/>
          <w:color w:val="auto"/>
        </w:rPr>
      </w:pPr>
    </w:p>
    <w:p>
      <w:pPr>
        <w:ind w:firstLine="324"/>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9" w:lineRule="exact"/>
        <w:rPr>
          <w:sz w:val="24"/>
          <w:szCs w:val="24"/>
          <w:color w:val="auto"/>
        </w:rPr>
      </w:pPr>
    </w:p>
    <w:p>
      <w:pPr>
        <w:ind w:right="400" w:firstLine="324"/>
        <w:spacing w:after="0" w:line="18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40" w:firstLine="324"/>
        <w:spacing w:after="0" w:line="30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140" w:type="dxa"/>
        <w:tblCellMar>
          <w:top w:w="0" w:type="dxa"/>
          <w:left w:w="0" w:type="dxa"/>
          <w:bottom w:w="0" w:type="dxa"/>
          <w:right w:w="0" w:type="dxa"/>
        </w:tblCellMar>
      </w:tblPr>
      <w:tr>
        <w:trPr>
          <w:trHeight w:val="226"/>
        </w:trPr>
        <w:tc>
          <w:tcPr>
            <w:tcW w:w="3400" w:type="dxa"/>
            <w:vAlign w:val="bottom"/>
            <w:vMerge w:val="restart"/>
          </w:tcPr>
          <w:p>
            <w:pPr>
              <w:jc w:val="center"/>
              <w:ind w:right="1888"/>
              <w:spacing w:after="0" w:line="161" w:lineRule="exact"/>
              <w:rPr>
                <w:sz w:val="20"/>
                <w:szCs w:val="20"/>
                <w:color w:val="auto"/>
              </w:rPr>
            </w:pPr>
            <w:r>
              <w:rPr>
                <w:rFonts w:ascii="Arial" w:cs="Arial" w:eastAsia="Arial" w:hAnsi="Arial"/>
                <w:sz w:val="14"/>
                <w:szCs w:val="14"/>
                <w:color w:val="auto"/>
                <w:w w:val="92"/>
              </w:rPr>
              <w:t xml:space="preserve">Large accelerated filer </w:t>
            </w:r>
            <w:r>
              <w:rPr>
                <w:rFonts w:ascii="MS PGothic" w:cs="MS PGothic" w:eastAsia="MS PGothic" w:hAnsi="MS PGothic"/>
                <w:sz w:val="14"/>
                <w:szCs w:val="14"/>
                <w:color w:val="auto"/>
                <w:w w:val="92"/>
              </w:rPr>
              <w:t>☑</w:t>
            </w:r>
          </w:p>
        </w:tc>
        <w:tc>
          <w:tcPr>
            <w:tcW w:w="3720" w:type="dxa"/>
            <w:vAlign w:val="bottom"/>
          </w:tcPr>
          <w:p>
            <w:pPr>
              <w:jc w:val="center"/>
              <w:ind w:left="1888"/>
              <w:spacing w:after="0" w:line="161" w:lineRule="exact"/>
              <w:rPr>
                <w:sz w:val="20"/>
                <w:szCs w:val="20"/>
                <w:color w:val="auto"/>
              </w:rPr>
            </w:pPr>
            <w:r>
              <w:rPr>
                <w:rFonts w:ascii="Arial" w:cs="Arial" w:eastAsia="Arial" w:hAnsi="Arial"/>
                <w:sz w:val="14"/>
                <w:szCs w:val="14"/>
                <w:color w:val="auto"/>
                <w:w w:val="94"/>
              </w:rPr>
              <w:t xml:space="preserve">Accelerated filer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68"/>
        </w:trPr>
        <w:tc>
          <w:tcPr>
            <w:tcW w:w="3400" w:type="dxa"/>
            <w:vAlign w:val="bottom"/>
            <w:vMerge w:val="continue"/>
          </w:tcPr>
          <w:p>
            <w:pPr>
              <w:spacing w:after="0"/>
              <w:rPr>
                <w:sz w:val="5"/>
                <w:szCs w:val="5"/>
                <w:color w:val="auto"/>
              </w:rPr>
            </w:pPr>
          </w:p>
        </w:tc>
        <w:tc>
          <w:tcPr>
            <w:tcW w:w="3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400" w:type="dxa"/>
            <w:vAlign w:val="bottom"/>
          </w:tcPr>
          <w:p>
            <w:pPr>
              <w:jc w:val="center"/>
              <w:ind w:right="1888"/>
              <w:spacing w:after="0" w:line="161" w:lineRule="exact"/>
              <w:rPr>
                <w:sz w:val="20"/>
                <w:szCs w:val="20"/>
                <w:color w:val="auto"/>
              </w:rPr>
            </w:pPr>
            <w:r>
              <w:rPr>
                <w:rFonts w:ascii="Arial" w:cs="Arial" w:eastAsia="Arial" w:hAnsi="Arial"/>
                <w:sz w:val="14"/>
                <w:szCs w:val="14"/>
                <w:color w:val="auto"/>
                <w:w w:val="95"/>
              </w:rPr>
              <w:t xml:space="preserve">Non-accelerated filer </w:t>
            </w:r>
            <w:r>
              <w:rPr>
                <w:rFonts w:ascii="MS PGothic" w:cs="MS PGothic" w:eastAsia="MS PGothic" w:hAnsi="MS PGothic"/>
                <w:sz w:val="14"/>
                <w:szCs w:val="14"/>
                <w:color w:val="auto"/>
                <w:w w:val="95"/>
              </w:rPr>
              <w:t>☐</w:t>
            </w:r>
          </w:p>
        </w:tc>
        <w:tc>
          <w:tcPr>
            <w:tcW w:w="3720" w:type="dxa"/>
            <w:vAlign w:val="bottom"/>
          </w:tcPr>
          <w:p>
            <w:pPr>
              <w:jc w:val="center"/>
              <w:ind w:left="1868"/>
              <w:spacing w:after="0" w:line="161" w:lineRule="exact"/>
              <w:rPr>
                <w:sz w:val="20"/>
                <w:szCs w:val="20"/>
                <w:color w:val="auto"/>
              </w:rPr>
            </w:pPr>
            <w:r>
              <w:rPr>
                <w:rFonts w:ascii="Arial" w:cs="Arial" w:eastAsia="Arial" w:hAnsi="Arial"/>
                <w:sz w:val="14"/>
                <w:szCs w:val="14"/>
                <w:color w:val="auto"/>
                <w:w w:val="96"/>
              </w:rPr>
              <w:t xml:space="preserve">Smaller reporting company </w:t>
            </w:r>
            <w:r>
              <w:rPr>
                <w:rFonts w:ascii="MS PGothic" w:cs="MS PGothic" w:eastAsia="MS PGothic" w:hAnsi="MS PGothic"/>
                <w:sz w:val="14"/>
                <w:szCs w:val="14"/>
                <w:color w:val="auto"/>
                <w:w w:val="96"/>
              </w:rPr>
              <w:t>☐</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4"/>
                <w:szCs w:val="24"/>
                <w:color w:val="auto"/>
              </w:rPr>
            </w:pPr>
          </w:p>
        </w:tc>
        <w:tc>
          <w:tcPr>
            <w:tcW w:w="3720" w:type="dxa"/>
            <w:vAlign w:val="bottom"/>
          </w:tcPr>
          <w:p>
            <w:pPr>
              <w:jc w:val="center"/>
              <w:ind w:left="1868"/>
              <w:spacing w:after="0" w:line="161" w:lineRule="exact"/>
              <w:rPr>
                <w:sz w:val="20"/>
                <w:szCs w:val="20"/>
                <w:color w:val="auto"/>
              </w:rPr>
            </w:pPr>
            <w:r>
              <w:rPr>
                <w:rFonts w:ascii="Arial" w:cs="Arial" w:eastAsia="Arial" w:hAnsi="Arial"/>
                <w:sz w:val="14"/>
                <w:szCs w:val="14"/>
                <w:color w:val="auto"/>
                <w:w w:val="96"/>
              </w:rPr>
              <w:t xml:space="preserve">Emerging growth company </w:t>
            </w:r>
            <w:r>
              <w:rPr>
                <w:rFonts w:ascii="MS PGothic" w:cs="MS PGothic" w:eastAsia="MS PGothic" w:hAnsi="MS PGothic"/>
                <w:sz w:val="14"/>
                <w:szCs w:val="14"/>
                <w:color w:val="auto"/>
                <w:w w:val="96"/>
              </w:rPr>
              <w:t>☐</w:t>
            </w:r>
          </w:p>
        </w:tc>
        <w:tc>
          <w:tcPr>
            <w:tcW w:w="0" w:type="dxa"/>
            <w:vAlign w:val="bottom"/>
          </w:tcPr>
          <w:p>
            <w:pPr>
              <w:spacing w:after="0"/>
              <w:rPr>
                <w:sz w:val="1"/>
                <w:szCs w:val="1"/>
                <w:color w:val="auto"/>
              </w:rPr>
            </w:pPr>
          </w:p>
        </w:tc>
      </w:tr>
    </w:tbl>
    <w:p>
      <w:pPr>
        <w:spacing w:after="0" w:line="163" w:lineRule="exact"/>
        <w:rPr>
          <w:sz w:val="24"/>
          <w:szCs w:val="24"/>
          <w:color w:val="auto"/>
        </w:rPr>
      </w:pPr>
    </w:p>
    <w:p>
      <w:pPr>
        <w:ind w:right="640" w:firstLine="324"/>
        <w:spacing w:after="0" w:line="18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ind w:right="280" w:firstLine="324"/>
        <w:spacing w:after="0" w:line="19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ind w:left="34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right="20" w:firstLine="324"/>
        <w:spacing w:after="0" w:line="281" w:lineRule="auto"/>
        <w:rPr>
          <w:sz w:val="20"/>
          <w:szCs w:val="20"/>
          <w:color w:val="auto"/>
        </w:rPr>
      </w:pPr>
      <w:r>
        <w:rPr>
          <w:rFonts w:ascii="Arial" w:cs="Arial" w:eastAsia="Arial" w:hAnsi="Arial"/>
          <w:sz w:val="14"/>
          <w:szCs w:val="14"/>
          <w:color w:val="auto"/>
        </w:rPr>
        <w:t>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$4.2 billion on June 30, 2020, based on a closing price of $8.84 per Common Unit as reported on the New York Stock Exchange on such date. As of February 11, 2021, there were 722,052,254 Common Units outstanding</w:t>
      </w:r>
      <w:r>
        <w:rPr>
          <w:rFonts w:ascii="Arial" w:cs="Arial" w:eastAsia="Arial" w:hAnsi="Arial"/>
          <w:sz w:val="13"/>
          <w:szCs w:val="13"/>
          <w:color w:val="auto"/>
        </w:rPr>
        <w:t>.</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9" w:lineRule="exact"/>
        <w:rPr>
          <w:sz w:val="24"/>
          <w:szCs w:val="24"/>
          <w:color w:val="auto"/>
        </w:rPr>
      </w:pPr>
    </w:p>
    <w:p>
      <w:pPr>
        <w:jc w:val="center"/>
        <w:ind w:left="360" w:right="40"/>
        <w:spacing w:after="0" w:line="244" w:lineRule="auto"/>
        <w:rPr>
          <w:sz w:val="20"/>
          <w:szCs w:val="20"/>
          <w:color w:val="auto"/>
        </w:rPr>
      </w:pPr>
      <w:r>
        <w:rPr>
          <w:rFonts w:ascii="Arial" w:cs="Arial" w:eastAsia="Arial" w:hAnsi="Arial"/>
          <w:sz w:val="15"/>
          <w:szCs w:val="15"/>
          <w:color w:val="auto"/>
        </w:rPr>
        <w:t>Portions of the registrant’s definitive Proxy Statement to be filed pursuant to Regulation 14A pertaining to the 2021 Annual Meeting of Unitholders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853440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10-K—2020 ANNUAL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Page</w:t>
            </w:r>
          </w:p>
        </w:tc>
      </w:tr>
      <w:tr>
        <w:trPr>
          <w:trHeight w:val="230"/>
        </w:trPr>
        <w:tc>
          <w:tcPr>
            <w:tcW w:w="1200" w:type="dxa"/>
            <w:vAlign w:val="bottom"/>
          </w:tcPr>
          <w:p>
            <w:pPr>
              <w:spacing w:after="0"/>
              <w:rPr>
                <w:sz w:val="20"/>
                <w:szCs w:val="20"/>
                <w:color w:val="auto"/>
              </w:rPr>
            </w:pPr>
          </w:p>
        </w:tc>
        <w:tc>
          <w:tcPr>
            <w:tcW w:w="8480" w:type="dxa"/>
            <w:vAlign w:val="bottom"/>
          </w:tcPr>
          <w:p>
            <w:pPr>
              <w:jc w:val="center"/>
              <w:ind w:left="90"/>
              <w:spacing w:after="0"/>
              <w:rPr>
                <w:rFonts w:ascii="Arial" w:cs="Arial" w:eastAsia="Arial" w:hAnsi="Arial"/>
                <w:sz w:val="18"/>
                <w:szCs w:val="18"/>
                <w:b w:val="1"/>
                <w:bCs w:val="1"/>
                <w:u w:val="single" w:color="auto"/>
                <w:color w:val="0000FF"/>
                <w:w w:val="98"/>
              </w:rPr>
            </w:pPr>
            <w:hyperlink w:anchor="page4">
              <w:r>
                <w:rPr>
                  <w:rFonts w:ascii="Arial" w:cs="Arial" w:eastAsia="Arial" w:hAnsi="Arial"/>
                  <w:sz w:val="18"/>
                  <w:szCs w:val="18"/>
                  <w:b w:val="1"/>
                  <w:bCs w:val="1"/>
                  <w:u w:val="single" w:color="auto"/>
                  <w:color w:val="0000FF"/>
                  <w:w w:val="98"/>
                </w:rPr>
                <w:t>PART I</w:t>
              </w:r>
            </w:hyperlink>
          </w:p>
        </w:tc>
        <w:tc>
          <w:tcPr>
            <w:tcW w:w="15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498"/>
        </w:trPr>
        <w:tc>
          <w:tcPr>
            <w:tcW w:w="120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Items 1 and 2.</w:t>
              </w:r>
            </w:hyperlink>
          </w:p>
        </w:tc>
        <w:tc>
          <w:tcPr>
            <w:tcW w:w="8480" w:type="dxa"/>
            <w:vAlign w:val="bottom"/>
          </w:tcPr>
          <w:p>
            <w:pPr>
              <w:ind w:left="1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 and Properties</w:t>
              </w:r>
            </w:hyperlink>
          </w:p>
        </w:tc>
        <w:tc>
          <w:tcPr>
            <w:tcW w:w="15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1A.</w:t>
              </w:r>
            </w:hyperlink>
          </w:p>
        </w:tc>
        <w:tc>
          <w:tcPr>
            <w:tcW w:w="8480" w:type="dxa"/>
            <w:vAlign w:val="bottom"/>
          </w:tcPr>
          <w:p>
            <w:pPr>
              <w:ind w:left="1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Risk Factors</w:t>
              </w:r>
            </w:hyperlink>
          </w:p>
        </w:tc>
        <w:tc>
          <w:tcPr>
            <w:tcW w:w="152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Item 1B.</w:t>
              </w:r>
            </w:hyperlink>
          </w:p>
        </w:tc>
        <w:tc>
          <w:tcPr>
            <w:tcW w:w="8480" w:type="dxa"/>
            <w:vAlign w:val="bottom"/>
          </w:tcPr>
          <w:p>
            <w:pPr>
              <w:ind w:left="18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Unresolved Staff Comments</w:t>
              </w:r>
            </w:hyperlink>
          </w:p>
        </w:tc>
        <w:tc>
          <w:tcPr>
            <w:tcW w:w="152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72</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3.</w:t>
              </w:r>
            </w:hyperlink>
          </w:p>
        </w:tc>
        <w:tc>
          <w:tcPr>
            <w:tcW w:w="8480" w:type="dxa"/>
            <w:vAlign w:val="bottom"/>
          </w:tcPr>
          <w:p>
            <w:pPr>
              <w:ind w:left="18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Legal Proceedings</w:t>
              </w:r>
            </w:hyperlink>
          </w:p>
        </w:tc>
        <w:tc>
          <w:tcPr>
            <w:tcW w:w="152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72</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4.</w:t>
              </w:r>
            </w:hyperlink>
          </w:p>
        </w:tc>
        <w:tc>
          <w:tcPr>
            <w:tcW w:w="8480" w:type="dxa"/>
            <w:vAlign w:val="bottom"/>
          </w:tcPr>
          <w:p>
            <w:pPr>
              <w:ind w:left="18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Mine Safety Disclosures</w:t>
              </w:r>
            </w:hyperlink>
          </w:p>
        </w:tc>
        <w:tc>
          <w:tcPr>
            <w:tcW w:w="152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72</w:t>
              </w:r>
            </w:hyperlink>
          </w:p>
        </w:tc>
      </w:tr>
      <w:tr>
        <w:trPr>
          <w:trHeight w:val="499"/>
        </w:trPr>
        <w:tc>
          <w:tcPr>
            <w:tcW w:w="1200" w:type="dxa"/>
            <w:vAlign w:val="bottom"/>
          </w:tcPr>
          <w:p>
            <w:pPr>
              <w:spacing w:after="0"/>
              <w:rPr>
                <w:sz w:val="24"/>
                <w:szCs w:val="24"/>
                <w:color w:val="auto"/>
              </w:rPr>
            </w:pPr>
          </w:p>
        </w:tc>
        <w:tc>
          <w:tcPr>
            <w:tcW w:w="8480" w:type="dxa"/>
            <w:vAlign w:val="bottom"/>
          </w:tcPr>
          <w:p>
            <w:pPr>
              <w:jc w:val="center"/>
              <w:ind w:left="70"/>
              <w:spacing w:after="0"/>
              <w:rPr>
                <w:rFonts w:ascii="Arial" w:cs="Arial" w:eastAsia="Arial" w:hAnsi="Arial"/>
                <w:sz w:val="18"/>
                <w:szCs w:val="18"/>
                <w:b w:val="1"/>
                <w:bCs w:val="1"/>
                <w:u w:val="single" w:color="auto"/>
                <w:color w:val="0000FF"/>
                <w:w w:val="99"/>
              </w:rPr>
            </w:pPr>
            <w:hyperlink w:anchor="page72">
              <w:r>
                <w:rPr>
                  <w:rFonts w:ascii="Arial" w:cs="Arial" w:eastAsia="Arial" w:hAnsi="Arial"/>
                  <w:sz w:val="18"/>
                  <w:szCs w:val="18"/>
                  <w:b w:val="1"/>
                  <w:bCs w:val="1"/>
                  <w:u w:val="single" w:color="auto"/>
                  <w:color w:val="0000FF"/>
                  <w:w w:val="99"/>
                </w:rPr>
                <w:t>PART II</w:t>
              </w:r>
            </w:hyperlink>
          </w:p>
        </w:tc>
        <w:tc>
          <w:tcPr>
            <w:tcW w:w="152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73</w:t>
              </w:r>
            </w:hyperlink>
          </w:p>
        </w:tc>
      </w:tr>
      <w:tr>
        <w:trPr>
          <w:trHeight w:val="499"/>
        </w:trPr>
        <w:tc>
          <w:tcPr>
            <w:tcW w:w="1200" w:type="dxa"/>
            <w:vAlign w:val="bottom"/>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5.</w:t>
              </w:r>
            </w:hyperlink>
          </w:p>
        </w:tc>
        <w:tc>
          <w:tcPr>
            <w:tcW w:w="8480" w:type="dxa"/>
            <w:vAlign w:val="bottom"/>
          </w:tcPr>
          <w:p>
            <w:pPr>
              <w:ind w:left="180"/>
              <w:spacing w:after="0"/>
              <w:rPr>
                <w:rFonts w:ascii="Arial" w:cs="Arial" w:eastAsia="Arial" w:hAnsi="Arial"/>
                <w:sz w:val="18"/>
                <w:szCs w:val="18"/>
                <w:u w:val="single" w:color="auto"/>
                <w:color w:val="0000FF"/>
                <w:w w:val="95"/>
              </w:rPr>
            </w:pPr>
            <w:hyperlink w:anchor="page73">
              <w:r>
                <w:rPr>
                  <w:rFonts w:ascii="Arial" w:cs="Arial" w:eastAsia="Arial" w:hAnsi="Arial"/>
                  <w:sz w:val="18"/>
                  <w:szCs w:val="18"/>
                  <w:u w:val="single" w:color="auto"/>
                  <w:color w:val="0000FF"/>
                  <w:w w:val="95"/>
                </w:rPr>
                <w:t>Market for Registrant’s Common Units, Related Unitholder Matters and Issuer Purchases of Equity Securities</w:t>
              </w:r>
            </w:hyperlink>
          </w:p>
        </w:tc>
        <w:tc>
          <w:tcPr>
            <w:tcW w:w="1520" w:type="dxa"/>
            <w:vAlign w:val="bottom"/>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73</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6.</w:t>
              </w:r>
            </w:hyperlink>
          </w:p>
        </w:tc>
        <w:tc>
          <w:tcPr>
            <w:tcW w:w="8480" w:type="dxa"/>
            <w:vAlign w:val="bottom"/>
          </w:tcPr>
          <w:p>
            <w:pPr>
              <w:ind w:left="18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Selected Financial Data</w:t>
              </w:r>
            </w:hyperlink>
          </w:p>
        </w:tc>
        <w:tc>
          <w:tcPr>
            <w:tcW w:w="15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75</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7.</w:t>
              </w:r>
            </w:hyperlink>
          </w:p>
        </w:tc>
        <w:tc>
          <w:tcPr>
            <w:tcW w:w="8480" w:type="dxa"/>
            <w:vAlign w:val="bottom"/>
          </w:tcPr>
          <w:p>
            <w:pPr>
              <w:ind w:left="18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Management’s Discussion and Analysis of Financial Condition and Results of Operations</w:t>
              </w:r>
            </w:hyperlink>
          </w:p>
        </w:tc>
        <w:tc>
          <w:tcPr>
            <w:tcW w:w="152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77</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Item 7A.</w:t>
              </w:r>
            </w:hyperlink>
          </w:p>
        </w:tc>
        <w:tc>
          <w:tcPr>
            <w:tcW w:w="8480" w:type="dxa"/>
            <w:vAlign w:val="bottom"/>
          </w:tcPr>
          <w:p>
            <w:pPr>
              <w:ind w:left="18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Quantitative and Qualitative Disclosures About Market Risk</w:t>
              </w:r>
            </w:hyperlink>
          </w:p>
        </w:tc>
        <w:tc>
          <w:tcPr>
            <w:tcW w:w="1520" w:type="dxa"/>
            <w:vAlign w:val="bottom"/>
          </w:tcPr>
          <w:p>
            <w:pPr>
              <w:jc w:val="right"/>
              <w:spacing w:after="0"/>
              <w:rPr>
                <w:rFonts w:ascii="Arial" w:cs="Arial" w:eastAsia="Arial" w:hAnsi="Arial"/>
                <w:sz w:val="18"/>
                <w:szCs w:val="18"/>
                <w:color w:val="auto"/>
              </w:rPr>
            </w:pPr>
            <w:hyperlink w:anchor="page105">
              <w:r>
                <w:rPr>
                  <w:rFonts w:ascii="Arial" w:cs="Arial" w:eastAsia="Arial" w:hAnsi="Arial"/>
                  <w:sz w:val="18"/>
                  <w:szCs w:val="18"/>
                  <w:color w:val="auto"/>
                </w:rPr>
                <w:t>106</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Item 8.</w:t>
              </w:r>
            </w:hyperlink>
          </w:p>
        </w:tc>
        <w:tc>
          <w:tcPr>
            <w:tcW w:w="8480" w:type="dxa"/>
            <w:vAlign w:val="bottom"/>
          </w:tcPr>
          <w:p>
            <w:pPr>
              <w:ind w:left="18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Financial Statements and Supplementary Data</w:t>
              </w:r>
            </w:hyperlink>
          </w:p>
        </w:tc>
        <w:tc>
          <w:tcPr>
            <w:tcW w:w="152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107</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Item 9.</w:t>
              </w:r>
            </w:hyperlink>
          </w:p>
        </w:tc>
        <w:tc>
          <w:tcPr>
            <w:tcW w:w="8480" w:type="dxa"/>
            <w:vAlign w:val="bottom"/>
          </w:tcPr>
          <w:p>
            <w:pPr>
              <w:ind w:left="18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Changes in and Disagreements With Accountants on Accounting and Financial Disclosure</w:t>
              </w:r>
            </w:hyperlink>
          </w:p>
        </w:tc>
        <w:tc>
          <w:tcPr>
            <w:tcW w:w="152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107</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Item 9A.</w:t>
              </w:r>
            </w:hyperlink>
          </w:p>
        </w:tc>
        <w:tc>
          <w:tcPr>
            <w:tcW w:w="8480" w:type="dxa"/>
            <w:vAlign w:val="bottom"/>
          </w:tcPr>
          <w:p>
            <w:pPr>
              <w:ind w:left="18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Controls and Procedures</w:t>
              </w:r>
            </w:hyperlink>
          </w:p>
        </w:tc>
        <w:tc>
          <w:tcPr>
            <w:tcW w:w="152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107</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Item 9B.</w:t>
              </w:r>
            </w:hyperlink>
          </w:p>
        </w:tc>
        <w:tc>
          <w:tcPr>
            <w:tcW w:w="8480" w:type="dxa"/>
            <w:vAlign w:val="bottom"/>
          </w:tcPr>
          <w:p>
            <w:pPr>
              <w:ind w:left="18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Other Information</w:t>
              </w:r>
            </w:hyperlink>
          </w:p>
        </w:tc>
        <w:tc>
          <w:tcPr>
            <w:tcW w:w="152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108</w:t>
              </w:r>
            </w:hyperlink>
          </w:p>
        </w:tc>
      </w:tr>
      <w:tr>
        <w:trPr>
          <w:trHeight w:val="500"/>
        </w:trPr>
        <w:tc>
          <w:tcPr>
            <w:tcW w:w="1200" w:type="dxa"/>
            <w:vAlign w:val="bottom"/>
          </w:tcPr>
          <w:p>
            <w:pPr>
              <w:spacing w:after="0"/>
              <w:rPr>
                <w:sz w:val="24"/>
                <w:szCs w:val="24"/>
                <w:color w:val="auto"/>
              </w:rPr>
            </w:pPr>
          </w:p>
        </w:tc>
        <w:tc>
          <w:tcPr>
            <w:tcW w:w="8480" w:type="dxa"/>
            <w:vAlign w:val="bottom"/>
          </w:tcPr>
          <w:p>
            <w:pPr>
              <w:jc w:val="center"/>
              <w:ind w:left="70"/>
              <w:spacing w:after="0"/>
              <w:rPr>
                <w:rFonts w:ascii="Arial" w:cs="Arial" w:eastAsia="Arial" w:hAnsi="Arial"/>
                <w:sz w:val="18"/>
                <w:szCs w:val="18"/>
                <w:b w:val="1"/>
                <w:bCs w:val="1"/>
                <w:u w:val="single" w:color="auto"/>
                <w:color w:val="0000FF"/>
              </w:rPr>
            </w:pPr>
            <w:hyperlink w:anchor="page108">
              <w:r>
                <w:rPr>
                  <w:rFonts w:ascii="Arial" w:cs="Arial" w:eastAsia="Arial" w:hAnsi="Arial"/>
                  <w:sz w:val="18"/>
                  <w:szCs w:val="18"/>
                  <w:b w:val="1"/>
                  <w:bCs w:val="1"/>
                  <w:u w:val="single" w:color="auto"/>
                  <w:color w:val="0000FF"/>
                </w:rPr>
                <w:t>PART III</w:t>
              </w:r>
            </w:hyperlink>
          </w:p>
        </w:tc>
        <w:tc>
          <w:tcPr>
            <w:tcW w:w="152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109</w:t>
              </w:r>
            </w:hyperlink>
          </w:p>
        </w:tc>
      </w:tr>
      <w:tr>
        <w:trPr>
          <w:trHeight w:val="499"/>
        </w:trPr>
        <w:tc>
          <w:tcPr>
            <w:tcW w:w="120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10.</w:t>
              </w:r>
            </w:hyperlink>
          </w:p>
        </w:tc>
        <w:tc>
          <w:tcPr>
            <w:tcW w:w="8480" w:type="dxa"/>
            <w:vAlign w:val="bottom"/>
          </w:tcPr>
          <w:p>
            <w:pPr>
              <w:ind w:left="18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Directors and Executive Officers of Our General Partner and Corporate Governance</w:t>
              </w:r>
            </w:hyperlink>
          </w:p>
        </w:tc>
        <w:tc>
          <w:tcPr>
            <w:tcW w:w="152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109</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11.</w:t>
              </w:r>
            </w:hyperlink>
          </w:p>
        </w:tc>
        <w:tc>
          <w:tcPr>
            <w:tcW w:w="8480" w:type="dxa"/>
            <w:vAlign w:val="bottom"/>
          </w:tcPr>
          <w:p>
            <w:pPr>
              <w:ind w:left="18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Executive Compensation</w:t>
              </w:r>
            </w:hyperlink>
          </w:p>
        </w:tc>
        <w:tc>
          <w:tcPr>
            <w:tcW w:w="152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109</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12.</w:t>
              </w:r>
            </w:hyperlink>
          </w:p>
        </w:tc>
        <w:tc>
          <w:tcPr>
            <w:tcW w:w="8480" w:type="dxa"/>
            <w:vAlign w:val="bottom"/>
          </w:tcPr>
          <w:p>
            <w:pPr>
              <w:ind w:left="18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Security Ownership of Certain Beneficial Owners and Management and Related Unitholder Matters</w:t>
              </w:r>
            </w:hyperlink>
          </w:p>
        </w:tc>
        <w:tc>
          <w:tcPr>
            <w:tcW w:w="152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109</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13.</w:t>
              </w:r>
            </w:hyperlink>
          </w:p>
        </w:tc>
        <w:tc>
          <w:tcPr>
            <w:tcW w:w="8480" w:type="dxa"/>
            <w:vAlign w:val="bottom"/>
          </w:tcPr>
          <w:p>
            <w:pPr>
              <w:ind w:left="18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Certain Relationships and Related Transactions, and Director Independence</w:t>
              </w:r>
            </w:hyperlink>
          </w:p>
        </w:tc>
        <w:tc>
          <w:tcPr>
            <w:tcW w:w="152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110</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Item 14.</w:t>
              </w:r>
            </w:hyperlink>
          </w:p>
        </w:tc>
        <w:tc>
          <w:tcPr>
            <w:tcW w:w="8480" w:type="dxa"/>
            <w:vAlign w:val="bottom"/>
          </w:tcPr>
          <w:p>
            <w:pPr>
              <w:ind w:left="18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Principal Accountant Fees and Services</w:t>
              </w:r>
            </w:hyperlink>
          </w:p>
        </w:tc>
        <w:tc>
          <w:tcPr>
            <w:tcW w:w="152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110</w:t>
              </w:r>
            </w:hyperlink>
          </w:p>
        </w:tc>
      </w:tr>
      <w:tr>
        <w:trPr>
          <w:trHeight w:val="500"/>
        </w:trPr>
        <w:tc>
          <w:tcPr>
            <w:tcW w:w="1200" w:type="dxa"/>
            <w:vAlign w:val="bottom"/>
          </w:tcPr>
          <w:p>
            <w:pPr>
              <w:spacing w:after="0"/>
              <w:rPr>
                <w:sz w:val="24"/>
                <w:szCs w:val="24"/>
                <w:color w:val="auto"/>
              </w:rPr>
            </w:pPr>
          </w:p>
        </w:tc>
        <w:tc>
          <w:tcPr>
            <w:tcW w:w="8480" w:type="dxa"/>
            <w:vAlign w:val="bottom"/>
          </w:tcPr>
          <w:p>
            <w:pPr>
              <w:jc w:val="center"/>
              <w:ind w:left="70"/>
              <w:spacing w:after="0"/>
              <w:rPr>
                <w:rFonts w:ascii="Arial" w:cs="Arial" w:eastAsia="Arial" w:hAnsi="Arial"/>
                <w:sz w:val="18"/>
                <w:szCs w:val="18"/>
                <w:b w:val="1"/>
                <w:bCs w:val="1"/>
                <w:u w:val="single" w:color="auto"/>
                <w:color w:val="0000FF"/>
              </w:rPr>
            </w:pPr>
            <w:hyperlink w:anchor="page110">
              <w:r>
                <w:rPr>
                  <w:rFonts w:ascii="Arial" w:cs="Arial" w:eastAsia="Arial" w:hAnsi="Arial"/>
                  <w:sz w:val="18"/>
                  <w:szCs w:val="18"/>
                  <w:b w:val="1"/>
                  <w:bCs w:val="1"/>
                  <w:u w:val="single" w:color="auto"/>
                  <w:color w:val="0000FF"/>
                </w:rPr>
                <w:t>PART IV</w:t>
              </w:r>
            </w:hyperlink>
          </w:p>
        </w:tc>
        <w:tc>
          <w:tcPr>
            <w:tcW w:w="152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111</w:t>
              </w:r>
            </w:hyperlink>
          </w:p>
        </w:tc>
      </w:tr>
      <w:tr>
        <w:trPr>
          <w:trHeight w:val="499"/>
        </w:trPr>
        <w:tc>
          <w:tcPr>
            <w:tcW w:w="120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 15.</w:t>
              </w:r>
            </w:hyperlink>
          </w:p>
        </w:tc>
        <w:tc>
          <w:tcPr>
            <w:tcW w:w="8480" w:type="dxa"/>
            <w:vAlign w:val="bottom"/>
          </w:tcPr>
          <w:p>
            <w:pPr>
              <w:ind w:left="18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Exhibits and Financial Statement Schedules</w:t>
              </w:r>
            </w:hyperlink>
          </w:p>
        </w:tc>
        <w:tc>
          <w:tcPr>
            <w:tcW w:w="152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111</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Item 16.</w:t>
              </w:r>
            </w:hyperlink>
          </w:p>
        </w:tc>
        <w:tc>
          <w:tcPr>
            <w:tcW w:w="8480" w:type="dxa"/>
            <w:vAlign w:val="bottom"/>
          </w:tcPr>
          <w:p>
            <w:pPr>
              <w:ind w:left="180"/>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Form 10-K Summary</w:t>
              </w:r>
            </w:hyperlink>
          </w:p>
        </w:tc>
        <w:tc>
          <w:tcPr>
            <w:tcW w:w="1520" w:type="dxa"/>
            <w:vAlign w:val="bottom"/>
          </w:tcPr>
          <w:p>
            <w:pPr>
              <w:jc w:val="right"/>
              <w:spacing w:after="0"/>
              <w:rPr>
                <w:rFonts w:ascii="Arial" w:cs="Arial" w:eastAsia="Arial" w:hAnsi="Arial"/>
                <w:sz w:val="18"/>
                <w:szCs w:val="18"/>
                <w:color w:val="auto"/>
              </w:rPr>
            </w:pPr>
            <w:hyperlink w:anchor="page118">
              <w:r>
                <w:rPr>
                  <w:rFonts w:ascii="Arial" w:cs="Arial" w:eastAsia="Arial" w:hAnsi="Arial"/>
                  <w:sz w:val="18"/>
                  <w:szCs w:val="18"/>
                  <w:color w:val="auto"/>
                </w:rPr>
                <w:t>118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36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w:t>
      </w:r>
    </w:p>
    <w:p>
      <w:pPr>
        <w:spacing w:after="0" w:line="171" w:lineRule="exact"/>
        <w:rPr>
          <w:sz w:val="20"/>
          <w:szCs w:val="20"/>
          <w:color w:val="auto"/>
        </w:rPr>
      </w:pPr>
    </w:p>
    <w:p>
      <w:pPr>
        <w:ind w:left="980" w:right="100" w:hanging="324"/>
        <w:spacing w:after="0" w:line="273"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further declines in global crude oil demand and crude oil prices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69" w:lineRule="exact"/>
        <w:rPr>
          <w:rFonts w:ascii="Arial" w:cs="Arial" w:eastAsia="Arial" w:hAnsi="Arial"/>
          <w:sz w:val="17"/>
          <w:szCs w:val="17"/>
          <w:color w:val="auto"/>
        </w:rPr>
      </w:pPr>
    </w:p>
    <w:p>
      <w:pPr>
        <w:ind w:left="980" w:right="10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15" w:lineRule="exact"/>
        <w:rPr>
          <w:rFonts w:ascii="Arial" w:cs="Arial" w:eastAsia="Arial" w:hAnsi="Arial"/>
          <w:sz w:val="16"/>
          <w:szCs w:val="16"/>
          <w:color w:val="auto"/>
        </w:rPr>
      </w:pPr>
    </w:p>
    <w:p>
      <w:pPr>
        <w:ind w:left="980" w:right="220" w:hanging="324"/>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regarding the future impacts of COVID-19, which may depend on the development, deployment and effectiveness of vaccines; treatments and testing protocols; mutations of the virus resulting in increased transmissibility or severity of the disease or decreasing the effectiveness of vaccines or treatments; the capacity of our healthcare systems and public health infrastructure to manage current and future outbreaks; and various political and economic restrictions;</w:t>
      </w:r>
    </w:p>
    <w:p>
      <w:pPr>
        <w:spacing w:after="0" w:line="78"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 return to market conditions that are more conducive to an increase in drilling and production activities in the United States and a resulting increase in demand for the midstream services we provide;</w:t>
      </w:r>
    </w:p>
    <w:p>
      <w:pPr>
        <w:spacing w:after="0" w:line="62" w:lineRule="exact"/>
        <w:rPr>
          <w:rFonts w:ascii="Arial" w:cs="Arial" w:eastAsia="Arial" w:hAnsi="Arial"/>
          <w:sz w:val="18"/>
          <w:szCs w:val="18"/>
          <w:color w:val="auto"/>
        </w:rPr>
      </w:pPr>
    </w:p>
    <w:p>
      <w:pPr>
        <w:ind w:left="980" w:right="360" w:hanging="324"/>
        <w:spacing w:after="0" w:line="25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jc w:val="both"/>
        <w:ind w:left="980" w:right="38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 w:lineRule="exact"/>
        <w:rPr>
          <w:rFonts w:ascii="Arial" w:cs="Arial" w:eastAsia="Arial" w:hAnsi="Arial"/>
          <w:sz w:val="16"/>
          <w:szCs w:val="16"/>
          <w:color w:val="auto"/>
        </w:rPr>
      </w:pPr>
    </w:p>
    <w:p>
      <w:pPr>
        <w:ind w:left="980" w:right="2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Factors:</w:t>
      </w:r>
    </w:p>
    <w:p>
      <w:pPr>
        <w:spacing w:after="0" w:line="117" w:lineRule="exact"/>
        <w:rPr>
          <w:sz w:val="20"/>
          <w:szCs w:val="20"/>
          <w:color w:val="auto"/>
        </w:rPr>
      </w:pPr>
    </w:p>
    <w:p>
      <w:pPr>
        <w:ind w:left="980" w:right="60" w:hanging="324"/>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color w:val="auto"/>
        </w:rPr>
      </w:pPr>
    </w:p>
    <w:p>
      <w:pPr>
        <w:ind w:left="980" w:right="360" w:hanging="324"/>
        <w:spacing w:after="0" w:line="342" w:lineRule="auto"/>
        <w:tabs>
          <w:tab w:leader="none" w:pos="975" w:val="left"/>
        </w:tabs>
        <w:numPr>
          <w:ilvl w:val="0"/>
          <w:numId w:val="4"/>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360" w:hanging="324"/>
        <w:spacing w:after="0" w:line="308"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38"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right="400" w:hanging="324"/>
        <w:spacing w:after="0" w:line="286"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57" w:lineRule="exact"/>
        <w:rPr>
          <w:rFonts w:ascii="Arial" w:cs="Arial" w:eastAsia="Arial" w:hAnsi="Arial"/>
          <w:sz w:val="17"/>
          <w:szCs w:val="17"/>
          <w:color w:val="auto"/>
        </w:rPr>
      </w:pPr>
    </w:p>
    <w:p>
      <w:pPr>
        <w:ind w:left="980" w:right="60" w:hanging="324"/>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inability of producers, who have made commitments to our pipelines, to access capital to fund their drilling and completion activities;</w:t>
      </w:r>
    </w:p>
    <w:p>
      <w:pPr>
        <w:spacing w:after="0" w:line="128" w:lineRule="exact"/>
        <w:rPr>
          <w:rFonts w:ascii="Arial" w:cs="Arial" w:eastAsia="Arial" w:hAnsi="Arial"/>
          <w:sz w:val="17"/>
          <w:szCs w:val="17"/>
          <w:color w:val="auto"/>
        </w:rPr>
      </w:pPr>
    </w:p>
    <w:p>
      <w:pPr>
        <w:ind w:left="980" w:hanging="324"/>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(both within North America and globally and including the potential for a recession or significant slowdown in economic activity levels) and the amplification of other risks caused by volatile financial markets, capital constraints, liquidity concerns and inflation;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62"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140" w:lineRule="exact"/>
        <w:rPr>
          <w:rFonts w:ascii="Arial" w:cs="Arial" w:eastAsia="Arial" w:hAnsi="Arial"/>
          <w:sz w:val="16"/>
          <w:szCs w:val="16"/>
          <w:color w:val="auto"/>
        </w:rPr>
      </w:pPr>
    </w:p>
    <w:p>
      <w:pPr>
        <w:ind w:left="980" w:right="40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62"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Plains All American Pipeline, L.P. is a publicly traded Delaware limited partnership. Our common units are listed on the Nasdaq Global Select Market (“Nasdaq”) under the ticker symbol “PAA.” Our business is based on the fundamental thesis that hydrocarbons are essential to the security and advancement of human quality of life and will continue to play a major long-term role in the world economy. We believe that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As a result, we believe that hydrocarbon energy infrastructure will remain critical and valuable.</w:t>
      </w:r>
    </w:p>
    <w:p>
      <w:pPr>
        <w:spacing w:after="0" w:line="22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crude oil, NGL and natural gas.</w:t>
      </w:r>
    </w:p>
    <w:p>
      <w:pPr>
        <w:spacing w:after="0" w:line="215" w:lineRule="exact"/>
        <w:rPr>
          <w:sz w:val="20"/>
          <w:szCs w:val="20"/>
          <w:color w:val="auto"/>
        </w:rPr>
      </w:pPr>
    </w:p>
    <w:p>
      <w:pPr>
        <w:ind w:right="640" w:firstLine="648"/>
        <w:spacing w:after="0" w:line="286" w:lineRule="auto"/>
        <w:rPr>
          <w:sz w:val="20"/>
          <w:szCs w:val="20"/>
          <w:color w:val="auto"/>
        </w:rPr>
      </w:pPr>
      <w:r>
        <w:rPr>
          <w:rFonts w:ascii="Arial" w:cs="Arial" w:eastAsia="Arial" w:hAnsi="Arial"/>
          <w:sz w:val="17"/>
          <w:szCs w:val="17"/>
          <w:color w:val="auto"/>
        </w:rPr>
        <w:t>Our operations are conducted directly and indirectly through our primary operating subsidiaries, which comprise 100% of the assets and operations affiliated with Plains and its subsidiaries. As used in this Form 10-K and unless the context indicates otherwise, the terms “Partnership,” “Plains,” “PAA,” “we,” “us,” “our,” “ours” and similar terms refer to Plains All American Pipeline, L.P.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diagram below shows our organizational structure as of December 31, 2020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183515</wp:posOffset>
            </wp:positionV>
            <wp:extent cx="5863590" cy="7218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72180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type w:val="continuous"/>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2288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hanging="11"/>
        <w:spacing w:after="0" w:line="296" w:lineRule="auto"/>
        <w:rPr>
          <w:sz w:val="20"/>
          <w:szCs w:val="20"/>
          <w:color w:val="auto"/>
        </w:rPr>
      </w:pPr>
      <w:r>
        <w:rPr>
          <w:rFonts w:ascii="Arial" w:cs="Arial" w:eastAsia="Arial" w:hAnsi="Arial"/>
          <w:sz w:val="16"/>
          <w:szCs w:val="16"/>
          <w:color w:val="auto"/>
        </w:rPr>
        <w:t>Each Class C share represents a non-economic limited partner interest in PAGP. The number of Class C shares that we own is equal to the number of outstanding common units and Series A Preferred units (“Common Unit Equivalents”) that are entitled to vote, pro rata with the holders of PAGP Class A and Class B shares, for the election of eligible PAGP GP directors. The Class C shares function as a “pass-through” voting mechanism through which we vote at the direction of and as proxy for our common unitholders and Series A preferred unitholders in such director elections. Common units held by AAP and Series B preferred units are not entitled to vote in the election of directors.</w:t>
      </w:r>
    </w:p>
    <w:p>
      <w:pPr>
        <w:spacing w:after="0" w:line="53" w:lineRule="exact"/>
        <w:rPr>
          <w:sz w:val="20"/>
          <w:szCs w:val="20"/>
          <w:color w:val="auto"/>
        </w:rPr>
      </w:pPr>
    </w:p>
    <w:p>
      <w:pPr>
        <w:ind w:right="300" w:hanging="11"/>
        <w:spacing w:after="0" w:line="275" w:lineRule="auto"/>
        <w:rPr>
          <w:sz w:val="20"/>
          <w:szCs w:val="20"/>
          <w:color w:val="auto"/>
        </w:rPr>
      </w:pPr>
      <w:r>
        <w:rPr>
          <w:rFonts w:ascii="Arial" w:cs="Arial" w:eastAsia="Arial" w:hAnsi="Arial"/>
          <w:sz w:val="17"/>
          <w:szCs w:val="17"/>
          <w:color w:val="auto"/>
        </w:rPr>
        <w:t>The Partnership holds (i) direct and indirect ownership interests in consolidated operating subsidiaries including, but not limited to, Plains Marketing, L.P., Plains Pipeline, L.P., Plains Midstream Canada ULC (“PMCULC”) and PAA Natural Gas Storage, L.P. and (ii) indirect equity interests in unconsolidated entities including, but not limited to, BridgeTex Pipeline Company, LLC, Cactus II Pipeline LLC, Capline Pipeline Company LLC, Diamond Pipeline LLC, Eagle Ford Pipeline LLC, Eagle Ford Terminals Corpus Christi LLC, Saddlehorn Pipeline Company, LLC, STACK Pipeline LLC, White Cliffs Pipeline, L.L.C. and Wink to Webster Pipeline LLC.</w:t>
      </w:r>
    </w:p>
    <w:p>
      <w:pPr>
        <w:spacing w:after="0" w:line="200" w:lineRule="exact"/>
        <w:rPr>
          <w:sz w:val="20"/>
          <w:szCs w:val="20"/>
          <w:color w:val="auto"/>
        </w:rPr>
      </w:pPr>
    </w:p>
    <w:p>
      <w:pPr>
        <w:sectPr>
          <w:pgSz w:w="11900" w:h="16838" w:orient="portrait"/>
          <w:cols w:equalWidth="0" w:num="2">
            <w:col w:w="140" w:space="520"/>
            <w:col w:w="10580"/>
          </w:cols>
          <w:pgMar w:left="320" w:top="130"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principal business strategy is to provide competitive and efficient midstream infrastructure and logistics services to producers, refiners and other customers. We strive to address regional supply and demand imbalances for crude oil and NGL in the United States and Canada by combining the strategic location and capabilities of our transportation, terminalling, storage, processing and fractionation assets with our supply, logistics and distribution expertise. We intend to execute our strategy by:</w:t>
      </w:r>
    </w:p>
    <w:p>
      <w:pPr>
        <w:spacing w:after="0" w:line="119" w:lineRule="exact"/>
        <w:rPr>
          <w:sz w:val="20"/>
          <w:szCs w:val="20"/>
          <w:color w:val="auto"/>
        </w:rPr>
      </w:pPr>
    </w:p>
    <w:p>
      <w:pPr>
        <w:ind w:left="1060" w:right="720" w:hanging="404"/>
        <w:spacing w:after="0" w:line="277"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Focusing on operational excellence, continuous improvement and running a safe, reliable, environmentally and socially responsible operation;</w:t>
      </w:r>
    </w:p>
    <w:p>
      <w:pPr>
        <w:spacing w:after="0" w:line="62" w:lineRule="exact"/>
        <w:rPr>
          <w:rFonts w:ascii="Arial" w:cs="Arial" w:eastAsia="Arial" w:hAnsi="Arial"/>
          <w:sz w:val="18"/>
          <w:szCs w:val="18"/>
          <w:color w:val="auto"/>
        </w:rPr>
      </w:pPr>
    </w:p>
    <w:p>
      <w:pPr>
        <w:ind w:left="1060" w:right="160" w:hanging="404"/>
        <w:spacing w:after="0" w:line="263"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Using our well positioned network of midstream infrastructure in conjunction with our commercial capabilities to provide market access, flexibility and value chain solutions to our customers, capture market opportunities, address physical market imbalances, mitigate risks and generate sustainable cash flow and margin;</w:t>
      </w:r>
    </w:p>
    <w:p>
      <w:pPr>
        <w:spacing w:after="0" w:line="75" w:lineRule="exact"/>
        <w:rPr>
          <w:rFonts w:ascii="Arial" w:cs="Arial" w:eastAsia="Arial" w:hAnsi="Arial"/>
          <w:sz w:val="18"/>
          <w:szCs w:val="18"/>
          <w:color w:val="auto"/>
        </w:rPr>
      </w:pPr>
    </w:p>
    <w:p>
      <w:pPr>
        <w:ind w:left="1060" w:hanging="40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Optimizing our asset portfolio and operations to maximize returns on invested capital; and</w:t>
      </w:r>
    </w:p>
    <w:p>
      <w:pPr>
        <w:spacing w:after="0" w:line="117" w:lineRule="exact"/>
        <w:rPr>
          <w:rFonts w:ascii="Arial" w:cs="Arial" w:eastAsia="Arial" w:hAnsi="Arial"/>
          <w:sz w:val="18"/>
          <w:szCs w:val="18"/>
          <w:color w:val="auto"/>
        </w:rPr>
      </w:pPr>
    </w:p>
    <w:p>
      <w:pPr>
        <w:ind w:left="1060" w:right="200" w:hanging="404"/>
        <w:spacing w:after="0" w:line="277"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Pursuing a balanced, long-term financial strategy that is focused on maintaining an investment grade credit profile and enhancing financial flexibility by making disciplined capital allocation decisions.</w:t>
      </w:r>
    </w:p>
    <w:p>
      <w:pPr>
        <w:spacing w:after="0" w:line="19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successful execution of this strategy will enable us to generate sustainable earnings and cash flow, and will position us to reduce leverage and maintain an investment grade credit profile while increasing returns to equity holders over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us to successfully execute our principal business strategy:</w:t>
      </w:r>
    </w:p>
    <w:p>
      <w:pPr>
        <w:spacing w:after="0" w:line="144" w:lineRule="exact"/>
        <w:rPr>
          <w:sz w:val="20"/>
          <w:szCs w:val="20"/>
          <w:color w:val="auto"/>
        </w:rPr>
      </w:pPr>
    </w:p>
    <w:p>
      <w:pPr>
        <w:ind w:left="980" w:hanging="324"/>
        <w:spacing w:after="0" w:line="254"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Strategically located, geographically diverse and interconnected asset base that provides operational flexibility and commercial optionality. </w:t>
      </w:r>
      <w:r>
        <w:rPr>
          <w:rFonts w:ascii="Arial" w:cs="Arial" w:eastAsia="Arial" w:hAnsi="Arial"/>
          <w:sz w:val="18"/>
          <w:szCs w:val="18"/>
          <w:color w:val="auto"/>
        </w:rPr>
        <w:t>The majority of our primary Transportation segment assets are in crude oil service, are located in well-established crude oil producing regions (with our largest asset presence in the Permian Basin) and other transportation corridors and are connected, directly or indirectly, with our Facilities segment assets. The majority of our Facilities segment assets are located at major trading locations and premium markets that serve as gateways to major North American refinery and distribution markets where we have strong business relationships. In addition, our pipeline, rail, barge, truck and storage assets provide our customers and us with significant flexibility and optionality to satisfy demand and balance markets.</w:t>
      </w:r>
    </w:p>
    <w:p>
      <w:pPr>
        <w:spacing w:after="0" w:line="140" w:lineRule="exact"/>
        <w:rPr>
          <w:rFonts w:ascii="Arial" w:cs="Arial" w:eastAsia="Arial" w:hAnsi="Arial"/>
          <w:sz w:val="18"/>
          <w:szCs w:val="18"/>
          <w:color w:val="auto"/>
        </w:rPr>
      </w:pPr>
    </w:p>
    <w:p>
      <w:pPr>
        <w:ind w:left="980" w:right="60" w:hanging="324"/>
        <w:spacing w:after="0" w:line="273" w:lineRule="auto"/>
        <w:tabs>
          <w:tab w:leader="none" w:pos="97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Full-service integrated model and long-term focus attracts broad, diverse and high-quality customer base that supports sustainable fee-based cash flow generation. </w:t>
      </w:r>
      <w:r>
        <w:rPr>
          <w:rFonts w:ascii="Arial" w:cs="Arial" w:eastAsia="Arial" w:hAnsi="Arial"/>
          <w:sz w:val="17"/>
          <w:szCs w:val="17"/>
          <w:color w:val="auto"/>
        </w:rPr>
        <w:t>Our strategically located and interconnected asset base enables us to provide our customers with a wide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including supply aggregation, quality segregation, flow assurance and market access. We focus on building long-term relationships and alignment of interests with our customers. We believe this approach has helped us build a high-quality portfolio of customers and contracts (including long-term, third-party transportation contracts and acreage dedication contracts) that provide long-term volume support for our assets and, in turn, support long-term fee-based cash flow generation from our assets.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86" w:lineRule="exact"/>
        <w:rPr>
          <w:sz w:val="20"/>
          <w:szCs w:val="20"/>
          <w:color w:val="auto"/>
        </w:rPr>
      </w:pPr>
    </w:p>
    <w:p>
      <w:pPr>
        <w:ind w:left="980" w:right="40" w:hanging="324"/>
        <w:spacing w:after="0" w:line="259"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We possess specialized crude oil and NGL market knowledge. </w:t>
      </w:r>
      <w:r>
        <w:rPr>
          <w:rFonts w:ascii="Arial" w:cs="Arial" w:eastAsia="Arial" w:hAnsi="Arial"/>
          <w:sz w:val="18"/>
          <w:szCs w:val="18"/>
          <w:color w:val="auto"/>
        </w:rPr>
        <w:t>We believe our business relationships with participants in various phases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and NGL distribution chain, from producers to refiners, as well as our own industry expertise (including our knowledge of North American crude oil and NGL flows), provide us with extensive market insight and an understanding of the North American physical crude oil and NGL markets that enables us to provide value chain solutions for our customers.</w:t>
      </w:r>
    </w:p>
    <w:p>
      <w:pPr>
        <w:spacing w:after="0" w:line="132" w:lineRule="exact"/>
        <w:rPr>
          <w:rFonts w:ascii="Arial" w:cs="Arial" w:eastAsia="Arial" w:hAnsi="Arial"/>
          <w:sz w:val="18"/>
          <w:szCs w:val="18"/>
          <w:color w:val="auto"/>
        </w:rPr>
      </w:pPr>
    </w:p>
    <w:p>
      <w:pPr>
        <w:ind w:left="980" w:right="360" w:hanging="324"/>
        <w:spacing w:after="0" w:line="286"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Our supply and logistics activities provide us with the opportunity to realize incremental margins. </w:t>
      </w:r>
      <w:r>
        <w:rPr>
          <w:rFonts w:ascii="Arial" w:cs="Arial" w:eastAsia="Arial" w:hAnsi="Arial"/>
          <w:sz w:val="17"/>
          <w:szCs w:val="17"/>
          <w:color w:val="auto"/>
        </w:rPr>
        <w:t>We believe the variety of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executed within our Supply and Logistics segment provides us with a low-risk opportunity to generate incremental margin, the amount of which may vary depending on market conditions (such as differentials and certain competitive factors).</w:t>
      </w:r>
    </w:p>
    <w:p>
      <w:pPr>
        <w:spacing w:after="0" w:line="111" w:lineRule="exact"/>
        <w:rPr>
          <w:rFonts w:ascii="Arial" w:cs="Arial" w:eastAsia="Arial" w:hAnsi="Arial"/>
          <w:sz w:val="17"/>
          <w:szCs w:val="17"/>
          <w:color w:val="auto"/>
        </w:rPr>
      </w:pPr>
    </w:p>
    <w:p>
      <w:pPr>
        <w:ind w:left="980" w:right="60" w:hanging="324"/>
        <w:spacing w:after="0" w:line="272"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We have the strategic and technical skills needed to execute strategic transactions that support our business and financial objectives, including joint ventures, joint ownership arrangements and divestitures. </w:t>
      </w:r>
      <w:r>
        <w:rPr>
          <w:rFonts w:ascii="Arial" w:cs="Arial" w:eastAsia="Arial" w:hAnsi="Arial"/>
          <w:sz w:val="17"/>
          <w:szCs w:val="17"/>
          <w:color w:val="auto"/>
        </w:rPr>
        <w:t>Since 2016, we have consummated over 10 joint venture and/or joint</w:t>
      </w:r>
      <w:r>
        <w:rPr>
          <w:rFonts w:ascii="Arial" w:cs="Arial" w:eastAsia="Arial" w:hAnsi="Arial"/>
          <w:sz w:val="17"/>
          <w:szCs w:val="17"/>
          <w:i w:val="1"/>
          <w:iCs w:val="1"/>
          <w:color w:val="auto"/>
        </w:rPr>
        <w:t xml:space="preserve"> </w:t>
      </w:r>
      <w:r>
        <w:rPr>
          <w:rFonts w:ascii="Arial" w:cs="Arial" w:eastAsia="Arial" w:hAnsi="Arial"/>
          <w:sz w:val="17"/>
          <w:szCs w:val="17"/>
          <w:color w:val="auto"/>
        </w:rPr>
        <w:t>ownership arrangements and completed over $3 billion of divestitures of non-core assets and/or strategic sales of partial interests in selected assets. In addition, although acquisitions and investment capital projects are not currently a focus area, the strategic and technical skills needed to complete such transactions are very similar to those needed for other strategic transactions and since our initial public offering, we have completed and integrated over 90 acquisitions with an aggregate purchase price of approximately $13.7 billion, and we have also implemented investment capital projects totaling approximately $16.7 billion.</w:t>
      </w:r>
    </w:p>
    <w:p>
      <w:pPr>
        <w:spacing w:after="0" w:line="123" w:lineRule="exact"/>
        <w:rPr>
          <w:rFonts w:ascii="Arial" w:cs="Arial" w:eastAsia="Arial" w:hAnsi="Arial"/>
          <w:sz w:val="17"/>
          <w:szCs w:val="17"/>
          <w:color w:val="auto"/>
        </w:rPr>
      </w:pPr>
    </w:p>
    <w:p>
      <w:pPr>
        <w:ind w:left="980" w:hanging="324"/>
        <w:spacing w:after="0" w:line="259"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We have an experienced management team whose interests are aligned with those of our unitholders. </w:t>
      </w:r>
      <w:r>
        <w:rPr>
          <w:rFonts w:ascii="Arial" w:cs="Arial" w:eastAsia="Arial" w:hAnsi="Arial"/>
          <w:sz w:val="18"/>
          <w:szCs w:val="18"/>
          <w:color w:val="auto"/>
        </w:rPr>
        <w:t>Our executive management team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of 30 years of experience spanning across all sectors of the energy industry, as well as investment banking, and an average of 14 years with us or our predecessors and affiliates. In addition, through their ownership of common units and grants of phantom units, our management team has a vested interest in our continued success.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52"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We believe that a major factor in our continued success is our ability to maintain significant financial flexibility. An important part of our financial strategy is our commitment to generating positive free cash flow after distributions with a continued priority on deleveraging while also prudently increasing cash returned to our unitholders.</w:t>
      </w:r>
    </w:p>
    <w:p>
      <w:pPr>
        <w:spacing w:after="0" w:line="209"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In that regard, we intend to maintain a credit profile that we believe is consistent with investment grade credit ratings. We target a credit profile with the following attributes:</w:t>
      </w:r>
    </w:p>
    <w:p>
      <w:pPr>
        <w:spacing w:after="0" w:line="198" w:lineRule="exact"/>
        <w:rPr>
          <w:sz w:val="20"/>
          <w:szCs w:val="20"/>
          <w:color w:val="auto"/>
        </w:rPr>
      </w:pPr>
    </w:p>
    <w:p>
      <w:pPr>
        <w:ind w:left="980" w:right="280" w:hanging="324"/>
        <w:spacing w:after="0" w:line="286"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a long-term debt-to-Adjusted EBITDA multiple averaging between 3.0x and 3.5x (See Item 7. “Management’s Discussion and Analysis of Financial Condition and Results of Operations—Results of Operations—Non-GAAP Financial Measures” for our definition of Adjusted EBITDA and a discussion of our selected items that impact comparability and our non-GAAP measures.);</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 or less;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or 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5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first two of these four metrics include long-term debt as a critical measure, but do not include certain components of our capital structure such as short-term debt, preferred units and operating leases that may be considered by rating agencies in assigning their ratings. At December 31, 2020, our publicly-traded senior notes comprised approximately 97% of our long-term debt. Additionally, we also routinely incur short-term debt primarily in connection with our supply and logistics activities that involve the simultaneous purchase and forward sale of crude oil and NGL. The crude oil and NGL purchased in these transactions are hedged.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above baseline levels. Similar to our working capital borrowings, these borrowings are self-liquidating. We do not consider the working capital borrowings or margin requirements associated with these activities to be part of our long-term capital structure.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Values and Sustainability</w:t>
      </w:r>
    </w:p>
    <w:p>
      <w:pPr>
        <w:spacing w:after="0" w:line="256" w:lineRule="exact"/>
        <w:rPr>
          <w:sz w:val="20"/>
          <w:szCs w:val="20"/>
          <w:color w:val="auto"/>
        </w:rPr>
      </w:pPr>
    </w:p>
    <w:p>
      <w:pPr>
        <w:jc w:val="both"/>
        <w:ind w:right="440" w:firstLine="648"/>
        <w:spacing w:after="0" w:line="259" w:lineRule="auto"/>
        <w:rPr>
          <w:sz w:val="20"/>
          <w:szCs w:val="20"/>
          <w:color w:val="auto"/>
        </w:rPr>
      </w:pPr>
      <w:r>
        <w:rPr>
          <w:rFonts w:ascii="Arial" w:cs="Arial" w:eastAsia="Arial" w:hAnsi="Arial"/>
          <w:sz w:val="18"/>
          <w:szCs w:val="18"/>
          <w:color w:val="auto"/>
        </w:rPr>
        <w:t>Our Core Values include Safety and Environmental Stewardship, Accountability, Ethics and Integrity and Respect and Fairness. Our Code of Business Conduct sets forth the ways in which these Core Values govern how we conduct ourselves and engage in business relationships. Additional information regarding our Core Values and our commitment to environmental and social responsibility is available in the Sustainability section of our website. See “—Available Information” below.</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21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Business—Divestitures, joint ventures, joint ownership arrangements and acquisitions involve risks that may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and Joint Ownership Arrangements</w:t>
      </w:r>
    </w:p>
    <w:p>
      <w:pPr>
        <w:spacing w:after="0" w:line="252"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We are party to over 25 joint venture (“JV”) and undivided joint interest (“UJI”) arrangements with long-term partners throughout the industry value chain spanning across multiple North American basins. We believe that these capital-efficient arrangements provide strategic alignment with long-term industry partners, adding volume commitments to the systems and improving returns.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significant JVs as of December 31,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JV</w:t>
            </w:r>
          </w:p>
        </w:tc>
        <w:tc>
          <w:tcPr>
            <w:tcW w:w="0" w:type="dxa"/>
            <w:vAlign w:val="bottom"/>
          </w:tcPr>
          <w:p>
            <w:pPr>
              <w:spacing w:after="0"/>
              <w:rPr>
                <w:sz w:val="1"/>
                <w:szCs w:val="1"/>
                <w:color w:val="auto"/>
              </w:rPr>
            </w:pPr>
          </w:p>
        </w:tc>
      </w:tr>
      <w:tr>
        <w:trPr>
          <w:trHeight w:val="135"/>
        </w:trPr>
        <w:tc>
          <w:tcPr>
            <w:tcW w:w="5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18"/>
                <w:szCs w:val="18"/>
                <w:b w:val="1"/>
                <w:bCs w:val="1"/>
                <w:color w:val="auto"/>
                <w:vertAlign w:val="superscript"/>
              </w:rPr>
              <w:t>(1)</w:t>
            </w:r>
          </w:p>
        </w:tc>
        <w:tc>
          <w:tcPr>
            <w:tcW w:w="36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Type of Operation</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89"/>
        </w:trPr>
        <w:tc>
          <w:tcPr>
            <w:tcW w:w="5960" w:type="dxa"/>
            <w:vAlign w:val="bottom"/>
            <w:gridSpan w:val="2"/>
            <w:vMerge w:val="continue"/>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BridgeTex Pipeline Company, LLC</w:t>
            </w:r>
          </w:p>
        </w:tc>
        <w:tc>
          <w:tcPr>
            <w:tcW w:w="10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Cactus II Pipeline LLC</w:t>
            </w:r>
          </w:p>
        </w:tc>
        <w:tc>
          <w:tcPr>
            <w:tcW w:w="3640" w:type="dxa"/>
            <w:vAlign w:val="bottom"/>
            <w:gridSpan w:val="2"/>
          </w:tcPr>
          <w:p>
            <w:pPr>
              <w:jc w:val="center"/>
              <w:ind w:right="80"/>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3640" w:type="dxa"/>
            <w:vAlign w:val="bottom"/>
            <w:gridSpan w:val="2"/>
            <w:shd w:val="clear" w:color="auto" w:fill="CCEEFF"/>
          </w:tcPr>
          <w:p>
            <w:pPr>
              <w:jc w:val="center"/>
              <w:ind w:right="80"/>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(3)</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w:t>
            </w:r>
          </w:p>
        </w:tc>
        <w:tc>
          <w:tcPr>
            <w:tcW w:w="0" w:type="dxa"/>
            <w:vAlign w:val="bottom"/>
          </w:tcPr>
          <w:p>
            <w:pPr>
              <w:spacing w:after="0"/>
              <w:rPr>
                <w:sz w:val="1"/>
                <w:szCs w:val="1"/>
                <w:color w:val="auto"/>
              </w:rPr>
            </w:pPr>
          </w:p>
        </w:tc>
      </w:tr>
      <w:tr>
        <w:trPr>
          <w:trHeight w:val="229"/>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Diamond Pipeline LLC</w:t>
            </w:r>
          </w:p>
        </w:tc>
        <w:tc>
          <w:tcPr>
            <w:tcW w:w="3640" w:type="dxa"/>
            <w:vAlign w:val="bottom"/>
            <w:gridSpan w:val="2"/>
          </w:tcPr>
          <w:p>
            <w:pPr>
              <w:jc w:val="center"/>
              <w:ind w:right="80"/>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w:t>
            </w:r>
          </w:p>
        </w:tc>
        <w:tc>
          <w:tcPr>
            <w:tcW w:w="3640" w:type="dxa"/>
            <w:vAlign w:val="bottom"/>
            <w:gridSpan w:val="2"/>
            <w:shd w:val="clear" w:color="auto" w:fill="CCEEFF"/>
          </w:tcPr>
          <w:p>
            <w:pPr>
              <w:jc w:val="center"/>
              <w:ind w:right="80"/>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Eagle Ford Terminals Corpus Christi LLC</w:t>
            </w:r>
          </w:p>
        </w:tc>
        <w:tc>
          <w:tcPr>
            <w:tcW w:w="3640" w:type="dxa"/>
            <w:vAlign w:val="bottom"/>
            <w:gridSpan w:val="2"/>
          </w:tcPr>
          <w:p>
            <w:pPr>
              <w:jc w:val="center"/>
              <w:ind w:right="80"/>
              <w:spacing w:after="0" w:line="230"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3"/>
                <w:szCs w:val="23"/>
                <w:color w:val="auto"/>
                <w:w w:val="90"/>
                <w:vertAlign w:val="superscript"/>
              </w:rPr>
              <w:t>(2)</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Red River Pipeline Company LLC </w:t>
            </w:r>
            <w:r>
              <w:rPr>
                <w:rFonts w:ascii="Arial" w:cs="Arial" w:eastAsia="Arial" w:hAnsi="Arial"/>
                <w:sz w:val="23"/>
                <w:szCs w:val="23"/>
                <w:color w:val="auto"/>
                <w:vertAlign w:val="superscript"/>
              </w:rPr>
              <w:t>(4) (5)</w:t>
            </w:r>
          </w:p>
        </w:tc>
        <w:tc>
          <w:tcPr>
            <w:tcW w:w="3640" w:type="dxa"/>
            <w:vAlign w:val="bottom"/>
            <w:gridSpan w:val="2"/>
            <w:shd w:val="clear" w:color="auto" w:fill="CCEEFF"/>
          </w:tcPr>
          <w:p>
            <w:pPr>
              <w:jc w:val="center"/>
              <w:ind w:right="80"/>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67%</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Saddlehorn Pipeline Company, LLC </w:t>
            </w:r>
            <w:r>
              <w:rPr>
                <w:rFonts w:ascii="Arial" w:cs="Arial" w:eastAsia="Arial" w:hAnsi="Arial"/>
                <w:sz w:val="23"/>
                <w:szCs w:val="23"/>
                <w:color w:val="auto"/>
                <w:vertAlign w:val="superscript"/>
              </w:rPr>
              <w:t>(4)</w:t>
            </w:r>
          </w:p>
        </w:tc>
        <w:tc>
          <w:tcPr>
            <w:tcW w:w="36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Crude Oil Pipeline</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2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3640" w:type="dxa"/>
            <w:vAlign w:val="bottom"/>
            <w:gridSpan w:val="2"/>
            <w:shd w:val="clear" w:color="auto" w:fill="CCEEFF"/>
          </w:tcPr>
          <w:p>
            <w:pPr>
              <w:jc w:val="center"/>
              <w:ind w:right="80"/>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36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Crude Oil Pipeline</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Wink to Webster Pipeline LLC </w:t>
            </w:r>
            <w:r>
              <w:rPr>
                <w:rFonts w:ascii="Arial" w:cs="Arial" w:eastAsia="Arial" w:hAnsi="Arial"/>
                <w:sz w:val="23"/>
                <w:szCs w:val="23"/>
                <w:color w:val="auto"/>
                <w:vertAlign w:val="superscript"/>
              </w:rPr>
              <w:t>(4)</w:t>
            </w:r>
          </w:p>
        </w:tc>
        <w:tc>
          <w:tcPr>
            <w:tcW w:w="3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Crude Oil Pipeline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459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980" w:hanging="652"/>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Index to Financial Statements</w:t>
        </w:r>
      </w:hyperlink>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Asset is operated by Plains.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Entity owns a UJI in the crude oil pipeline.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consolidate Red River Pipeline Company LLC based on control, with our partner’s 33% interest accounted for as a noncontrolling interest.</w:t>
      </w:r>
    </w:p>
    <w:p>
      <w:pPr>
        <w:spacing w:after="0" w:line="200" w:lineRule="exact"/>
        <w:rPr>
          <w:sz w:val="20"/>
          <w:szCs w:val="20"/>
          <w:color w:val="auto"/>
        </w:rPr>
      </w:pPr>
    </w:p>
    <w:p>
      <w:pPr>
        <w:sectPr>
          <w:pgSz w:w="11900" w:h="16838" w:orient="portrait"/>
          <w:cols w:equalWidth="0" w:num="2">
            <w:col w:w="140" w:space="500"/>
            <w:col w:w="10540"/>
          </w:cols>
          <w:pgMar w:left="320" w:top="130" w:right="399" w:bottom="1440" w:gutter="0" w:footer="0" w:header="0"/>
          <w:type w:val="continuous"/>
        </w:sectPr>
      </w:pP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significant UJIs as of December 31, 2020, excluding UJIs that are indirectly owned by us through JVs (e.g.,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Wink to Webster, Saddlehorn and Red River JVs):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UJI</w:t>
            </w:r>
          </w:p>
        </w:tc>
        <w:tc>
          <w:tcPr>
            <w:tcW w:w="0" w:type="dxa"/>
            <w:vAlign w:val="bottom"/>
          </w:tcPr>
          <w:p>
            <w:pPr>
              <w:spacing w:after="0"/>
              <w:rPr>
                <w:sz w:val="1"/>
                <w:szCs w:val="1"/>
                <w:color w:val="auto"/>
              </w:rPr>
            </w:pPr>
          </w:p>
        </w:tc>
      </w:tr>
      <w:tr>
        <w:trPr>
          <w:trHeight w:val="135"/>
        </w:trPr>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3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Operating Segment</w:t>
            </w:r>
          </w:p>
        </w:tc>
        <w:tc>
          <w:tcPr>
            <w:tcW w:w="1960" w:type="dxa"/>
            <w:vAlign w:val="bottom"/>
            <w:gridSpan w:val="2"/>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88"/>
        </w:trPr>
        <w:tc>
          <w:tcPr>
            <w:tcW w:w="500" w:type="dxa"/>
            <w:vAlign w:val="bottom"/>
            <w:vMerge w:val="continue"/>
          </w:tcPr>
          <w:p>
            <w:pPr>
              <w:spacing w:after="0"/>
              <w:rPr>
                <w:sz w:val="16"/>
                <w:szCs w:val="16"/>
                <w:color w:val="auto"/>
              </w:rPr>
            </w:pPr>
          </w:p>
        </w:tc>
        <w:tc>
          <w:tcPr>
            <w:tcW w:w="3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Operation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24"/>
        </w:trPr>
        <w:tc>
          <w:tcPr>
            <w:tcW w:w="5820" w:type="dxa"/>
            <w:vAlign w:val="bottom"/>
            <w:tcBorders>
              <w:top w:val="single" w:sz="8" w:color="auto"/>
            </w:tcBorders>
            <w:gridSpan w:val="3"/>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Basin Pipeline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Transportation</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87%</w:t>
            </w:r>
          </w:p>
        </w:tc>
        <w:tc>
          <w:tcPr>
            <w:tcW w:w="0" w:type="dxa"/>
            <w:vAlign w:val="bottom"/>
          </w:tcPr>
          <w:p>
            <w:pPr>
              <w:spacing w:after="0"/>
              <w:rPr>
                <w:sz w:val="1"/>
                <w:szCs w:val="1"/>
                <w:color w:val="auto"/>
              </w:rPr>
            </w:pPr>
          </w:p>
        </w:tc>
      </w:tr>
      <w:tr>
        <w:trPr>
          <w:trHeight w:val="229"/>
        </w:trPr>
        <w:tc>
          <w:tcPr>
            <w:tcW w:w="592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Empress Processing </w:t>
            </w:r>
            <w:r>
              <w:rPr>
                <w:rFonts w:ascii="Arial" w:cs="Arial" w:eastAsia="Arial" w:hAnsi="Arial"/>
                <w:sz w:val="23"/>
                <w:szCs w:val="23"/>
                <w:color w:val="auto"/>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50% to 88%</w:t>
            </w:r>
          </w:p>
        </w:tc>
        <w:tc>
          <w:tcPr>
            <w:tcW w:w="0" w:type="dxa"/>
            <w:vAlign w:val="bottom"/>
          </w:tcPr>
          <w:p>
            <w:pPr>
              <w:spacing w:after="0"/>
              <w:rPr>
                <w:sz w:val="1"/>
                <w:szCs w:val="1"/>
                <w:color w:val="auto"/>
              </w:rPr>
            </w:pPr>
          </w:p>
        </w:tc>
      </w:tr>
      <w:tr>
        <w:trPr>
          <w:trHeight w:val="230"/>
        </w:trPr>
        <w:tc>
          <w:tcPr>
            <w:tcW w:w="592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Ft. Saskatchewan NGL Storage and Fractionation </w:t>
            </w:r>
            <w:r>
              <w:rPr>
                <w:rFonts w:ascii="Arial" w:cs="Arial" w:eastAsia="Arial" w:hAnsi="Arial"/>
                <w:sz w:val="23"/>
                <w:szCs w:val="23"/>
                <w:color w:val="auto"/>
                <w:vertAlign w:val="superscript"/>
              </w:rPr>
              <w:t>(2)</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 to 48%</w:t>
            </w:r>
          </w:p>
        </w:tc>
        <w:tc>
          <w:tcPr>
            <w:tcW w:w="0" w:type="dxa"/>
            <w:vAlign w:val="bottom"/>
          </w:tcPr>
          <w:p>
            <w:pPr>
              <w:spacing w:after="0"/>
              <w:rPr>
                <w:sz w:val="1"/>
                <w:szCs w:val="1"/>
                <w:color w:val="auto"/>
              </w:rPr>
            </w:pPr>
          </w:p>
        </w:tc>
      </w:tr>
      <w:tr>
        <w:trPr>
          <w:trHeight w:val="229"/>
        </w:trPr>
        <w:tc>
          <w:tcPr>
            <w:tcW w:w="592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Western Corridor System </w:t>
            </w:r>
            <w:r>
              <w:rPr>
                <w:rFonts w:ascii="Arial" w:cs="Arial" w:eastAsia="Arial" w:hAnsi="Arial"/>
                <w:sz w:val="23"/>
                <w:szCs w:val="23"/>
                <w:color w:val="auto"/>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21% to 58%</w:t>
            </w:r>
          </w:p>
        </w:tc>
        <w:tc>
          <w:tcPr>
            <w:tcW w:w="0" w:type="dxa"/>
            <w:vAlign w:val="bottom"/>
          </w:tcPr>
          <w:p>
            <w:pPr>
              <w:spacing w:after="0"/>
              <w:rPr>
                <w:sz w:val="1"/>
                <w:szCs w:val="1"/>
                <w:color w:val="auto"/>
              </w:rPr>
            </w:pPr>
          </w:p>
        </w:tc>
      </w:tr>
      <w:tr>
        <w:trPr>
          <w:trHeight w:val="229"/>
        </w:trPr>
        <w:tc>
          <w:tcPr>
            <w:tcW w:w="592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Sarnia NGL Storage and Fractionation </w:t>
            </w:r>
            <w:r>
              <w:rPr>
                <w:rFonts w:ascii="Arial" w:cs="Arial" w:eastAsia="Arial" w:hAnsi="Arial"/>
                <w:sz w:val="23"/>
                <w:szCs w:val="23"/>
                <w:color w:val="auto"/>
                <w:vertAlign w:val="superscript"/>
              </w:rPr>
              <w:t>(2)</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 to 84%</w:t>
            </w:r>
          </w:p>
        </w:tc>
        <w:tc>
          <w:tcPr>
            <w:tcW w:w="0" w:type="dxa"/>
            <w:vAlign w:val="bottom"/>
          </w:tcPr>
          <w:p>
            <w:pPr>
              <w:spacing w:after="0"/>
              <w:rPr>
                <w:sz w:val="1"/>
                <w:szCs w:val="1"/>
                <w:color w:val="auto"/>
              </w:rPr>
            </w:pPr>
          </w:p>
        </w:tc>
      </w:tr>
      <w:tr>
        <w:trPr>
          <w:trHeight w:val="304"/>
        </w:trPr>
        <w:tc>
          <w:tcPr>
            <w:tcW w:w="5920" w:type="dxa"/>
            <w:vAlign w:val="bottom"/>
            <w:gridSpan w:val="4"/>
          </w:tcPr>
          <w:p>
            <w:pPr>
              <w:ind w:left="20"/>
              <w:spacing w:after="0"/>
              <w:rPr>
                <w:sz w:val="20"/>
                <w:szCs w:val="20"/>
                <w:color w:val="auto"/>
              </w:rPr>
            </w:pPr>
            <w:r>
              <w:rPr>
                <w:rFonts w:ascii="Arial" w:cs="Arial" w:eastAsia="Arial" w:hAnsi="Arial"/>
                <w:sz w:val="18"/>
                <w:szCs w:val="18"/>
                <w:color w:val="auto"/>
              </w:rPr>
              <w:t xml:space="preserve">Sunrise II Pipeline </w:t>
            </w:r>
            <w:r>
              <w:rPr>
                <w:rFonts w:ascii="Arial" w:cs="Arial" w:eastAsia="Arial" w:hAnsi="Arial"/>
                <w:sz w:val="23"/>
                <w:szCs w:val="23"/>
                <w:color w:val="auto"/>
                <w:vertAlign w:val="superscript"/>
              </w:rPr>
              <w:t>(1)</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0" w:type="dxa"/>
            <w:vAlign w:val="bottom"/>
          </w:tcPr>
          <w:p>
            <w:pPr>
              <w:spacing w:after="0"/>
              <w:rPr>
                <w:sz w:val="1"/>
                <w:szCs w:val="1"/>
                <w:color w:val="auto"/>
              </w:rPr>
            </w:pPr>
          </w:p>
        </w:tc>
      </w:tr>
      <w:tr>
        <w:trPr>
          <w:trHeight w:val="357"/>
        </w:trPr>
        <w:tc>
          <w:tcPr>
            <w:tcW w:w="5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2"/>
                <w:szCs w:val="12"/>
                <w:color w:val="auto"/>
              </w:rPr>
              <w:t>(1)</w:t>
            </w:r>
          </w:p>
        </w:tc>
        <w:tc>
          <w:tcPr>
            <w:tcW w:w="5420" w:type="dxa"/>
            <w:vAlign w:val="bottom"/>
            <w:gridSpan w:val="3"/>
            <w:vMerge w:val="restart"/>
          </w:tcPr>
          <w:p>
            <w:pPr>
              <w:ind w:left="140"/>
              <w:spacing w:after="0"/>
              <w:rPr>
                <w:sz w:val="20"/>
                <w:szCs w:val="20"/>
                <w:color w:val="auto"/>
              </w:rPr>
            </w:pPr>
            <w:r>
              <w:rPr>
                <w:rFonts w:ascii="Arial" w:cs="Arial" w:eastAsia="Arial" w:hAnsi="Arial"/>
                <w:sz w:val="18"/>
                <w:szCs w:val="18"/>
                <w:color w:val="auto"/>
              </w:rPr>
              <w:t>Asset is operated by Plains.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500" w:type="dxa"/>
            <w:vAlign w:val="bottom"/>
          </w:tcPr>
          <w:p>
            <w:pPr>
              <w:spacing w:after="0"/>
              <w:rPr>
                <w:sz w:val="7"/>
                <w:szCs w:val="7"/>
                <w:color w:val="auto"/>
              </w:rPr>
            </w:pPr>
          </w:p>
        </w:tc>
        <w:tc>
          <w:tcPr>
            <w:tcW w:w="5420" w:type="dxa"/>
            <w:vAlign w:val="bottom"/>
            <w:gridSpan w:val="3"/>
            <w:vMerge w:val="continue"/>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0" w:type="dxa"/>
            <w:vAlign w:val="bottom"/>
          </w:tcPr>
          <w:p>
            <w:pPr>
              <w:spacing w:after="0"/>
              <w:rPr>
                <w:sz w:val="20"/>
                <w:szCs w:val="20"/>
                <w:color w:val="auto"/>
              </w:rPr>
            </w:pPr>
            <w:r>
              <w:rPr>
                <w:rFonts w:ascii="Arial" w:cs="Arial" w:eastAsia="Arial" w:hAnsi="Arial"/>
                <w:sz w:val="12"/>
                <w:szCs w:val="12"/>
                <w:color w:val="auto"/>
              </w:rPr>
              <w:t>(2)</w:t>
            </w:r>
          </w:p>
        </w:tc>
        <w:tc>
          <w:tcPr>
            <w:tcW w:w="3540" w:type="dxa"/>
            <w:vAlign w:val="bottom"/>
            <w:vMerge w:val="restart"/>
          </w:tcPr>
          <w:p>
            <w:pPr>
              <w:ind w:left="240"/>
              <w:spacing w:after="0"/>
              <w:rPr>
                <w:sz w:val="20"/>
                <w:szCs w:val="20"/>
                <w:color w:val="auto"/>
              </w:rPr>
            </w:pPr>
            <w:r>
              <w:rPr>
                <w:rFonts w:ascii="Arial" w:cs="Arial" w:eastAsia="Arial" w:hAnsi="Arial"/>
                <w:sz w:val="18"/>
                <w:szCs w:val="18"/>
                <w:color w:val="auto"/>
                <w:w w:val="87"/>
              </w:rPr>
              <w:t>Certain of these assets are operated by Plains.</w:t>
            </w: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7"/>
        </w:trPr>
        <w:tc>
          <w:tcPr>
            <w:tcW w:w="3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Acquisitions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Since our initial public offering in 1998, the acquisition of midstream assets and businesses has been an important component of our business strategy. Over the last five years, we completed several acquisitions for an aggregate of approximately $2.0 billion, the majority of which related to an acquisition in 2017. While the pace of our acquisition activity has slowed down in recent years, we continue to selectively analyze and pursue assets and businesses that are strategic and complementary to our existing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2016, we initiated a program to evaluate potential sales of non-core assets and/or sales of partial interests in assets to strategic joint venture partners to optimize our asset portfolio and strengthen our balance sheet and leverage metrics. Through December 31, 2020, we have completed asset sales totaling more than $3 billion.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Capital Projects</w:t>
      </w:r>
    </w:p>
    <w:p>
      <w:pPr>
        <w:spacing w:after="0" w:line="252"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2021 capital plan consists of capital-efficient, highly contracted projects that help address industry needs. Substantially all of the capital will be invested in our fee-based Transportation and Facilities segments. The following investment capital projects are included in our 2021 capital plan as of February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Projected</w:t>
            </w:r>
          </w:p>
        </w:tc>
        <w:tc>
          <w:tcPr>
            <w:tcW w:w="20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2021 Plan</w:t>
            </w:r>
          </w:p>
        </w:tc>
        <w:tc>
          <w:tcPr>
            <w:tcW w:w="0" w:type="dxa"/>
            <w:vAlign w:val="bottom"/>
          </w:tcPr>
          <w:p>
            <w:pPr>
              <w:spacing w:after="0"/>
              <w:rPr>
                <w:sz w:val="1"/>
                <w:szCs w:val="1"/>
                <w:color w:val="auto"/>
              </w:rPr>
            </w:pPr>
          </w:p>
        </w:tc>
      </w:tr>
      <w:tr>
        <w:trPr>
          <w:trHeight w:val="135"/>
        </w:trPr>
        <w:tc>
          <w:tcPr>
            <w:tcW w:w="3040" w:type="dxa"/>
            <w:vAlign w:val="bottom"/>
            <w:gridSpan w:val="2"/>
            <w:vMerge w:val="restart"/>
          </w:tcPr>
          <w:p>
            <w:pPr>
              <w:ind w:left="1240"/>
              <w:spacing w:after="0"/>
              <w:rPr>
                <w:sz w:val="20"/>
                <w:szCs w:val="20"/>
                <w:color w:val="auto"/>
              </w:rPr>
            </w:pPr>
            <w:r>
              <w:rPr>
                <w:rFonts w:ascii="Arial" w:cs="Arial" w:eastAsia="Arial" w:hAnsi="Arial"/>
                <w:sz w:val="14"/>
                <w:szCs w:val="14"/>
                <w:b w:val="1"/>
                <w:bCs w:val="1"/>
                <w:color w:val="auto"/>
              </w:rPr>
              <w:t>Project</w:t>
            </w:r>
          </w:p>
        </w:tc>
        <w:tc>
          <w:tcPr>
            <w:tcW w:w="5300" w:type="dxa"/>
            <w:vAlign w:val="bottom"/>
            <w:gridSpan w:val="2"/>
            <w:vMerge w:val="restart"/>
          </w:tcPr>
          <w:p>
            <w:pPr>
              <w:ind w:left="2240"/>
              <w:spacing w:after="0"/>
              <w:rPr>
                <w:sz w:val="20"/>
                <w:szCs w:val="20"/>
                <w:color w:val="auto"/>
              </w:rPr>
            </w:pPr>
            <w:r>
              <w:rPr>
                <w:rFonts w:ascii="Arial" w:cs="Arial" w:eastAsia="Arial" w:hAnsi="Arial"/>
                <w:sz w:val="14"/>
                <w:szCs w:val="14"/>
                <w:b w:val="1"/>
                <w:bCs w:val="1"/>
                <w:color w:val="auto"/>
              </w:rPr>
              <w:t>Description</w:t>
            </w:r>
          </w:p>
        </w:tc>
        <w:tc>
          <w:tcPr>
            <w:tcW w:w="14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17"/>
              <w:spacing w:after="0" w:line="135" w:lineRule="exact"/>
              <w:rPr>
                <w:sz w:val="20"/>
                <w:szCs w:val="20"/>
                <w:color w:val="auto"/>
              </w:rPr>
            </w:pPr>
            <w:r>
              <w:rPr>
                <w:rFonts w:ascii="Arial" w:cs="Arial" w:eastAsia="Arial" w:hAnsi="Arial"/>
                <w:sz w:val="12"/>
                <w:szCs w:val="12"/>
                <w:b w:val="1"/>
                <w:bCs w:val="1"/>
                <w:color w:val="auto"/>
              </w:rPr>
              <w:t xml:space="preserve">Amount </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188"/>
        </w:trPr>
        <w:tc>
          <w:tcPr>
            <w:tcW w:w="3040" w:type="dxa"/>
            <w:vAlign w:val="bottom"/>
            <w:gridSpan w:val="2"/>
            <w:vMerge w:val="continue"/>
          </w:tcPr>
          <w:p>
            <w:pPr>
              <w:spacing w:after="0"/>
              <w:rPr>
                <w:sz w:val="16"/>
                <w:szCs w:val="16"/>
                <w:color w:val="auto"/>
              </w:rPr>
            </w:pPr>
          </w:p>
        </w:tc>
        <w:tc>
          <w:tcPr>
            <w:tcW w:w="5300" w:type="dxa"/>
            <w:vAlign w:val="bottom"/>
            <w:gridSpan w:val="2"/>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In-Service Date</w:t>
            </w: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70"/>
        </w:trPr>
        <w:tc>
          <w:tcPr>
            <w:tcW w:w="292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Permian Basin Takeaway Pipeline</w:t>
            </w:r>
          </w:p>
        </w:tc>
        <w:tc>
          <w:tcPr>
            <w:tcW w:w="120" w:type="dxa"/>
            <w:vAlign w:val="bottom"/>
            <w:tcBorders>
              <w:top w:val="single" w:sz="8" w:color="CCEEFF"/>
            </w:tcBorders>
            <w:shd w:val="clear" w:color="auto" w:fill="CCEEFF"/>
          </w:tcPr>
          <w:p>
            <w:pPr>
              <w:spacing w:after="0"/>
              <w:rPr>
                <w:sz w:val="14"/>
                <w:szCs w:val="14"/>
                <w:color w:val="auto"/>
              </w:rPr>
            </w:pPr>
          </w:p>
        </w:tc>
        <w:tc>
          <w:tcPr>
            <w:tcW w:w="518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w w:val="92"/>
              </w:rPr>
              <w:t>Primarily includes contributions for our interest in the Wink to Webster</w:t>
            </w:r>
          </w:p>
        </w:tc>
        <w:tc>
          <w:tcPr>
            <w:tcW w:w="12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2021 - 2022+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Projects</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JV pipeline</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Long-Haul Pipeline Projects (Non-</w:t>
            </w:r>
          </w:p>
        </w:tc>
        <w:tc>
          <w:tcPr>
            <w:tcW w:w="53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Primarily includes contributions for our interests in the Diamond JV</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1H 2021 - 2022</w:t>
            </w:r>
          </w:p>
        </w:tc>
        <w:tc>
          <w:tcPr>
            <w:tcW w:w="20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Permian)</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pipeline expansion / Capline JV pipeline reversal</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Complementary Permian Basin</w:t>
            </w:r>
          </w:p>
        </w:tc>
        <w:tc>
          <w:tcPr>
            <w:tcW w:w="5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Multiple projects to support the Permian Basin takeaway pipeline</w:t>
            </w:r>
          </w:p>
        </w:tc>
        <w:tc>
          <w:tcPr>
            <w:tcW w:w="142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2"/>
              </w:rPr>
              <w:t>1H 2020 - 2021+</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Projects</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projects, and to expand/extend our gathering and intra-basin pipelines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Selected Facilities Projects</w:t>
            </w:r>
          </w:p>
        </w:tc>
        <w:tc>
          <w:tcPr>
            <w:tcW w:w="53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Primarily includes amounts for new connections at our St. James and</w:t>
            </w: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Cushing facilities and a cavern conversion at our Fort Saskatchewan</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facility</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2021 - 2022+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55"/>
        </w:trPr>
        <w:tc>
          <w:tcPr>
            <w:tcW w:w="304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Total Projected Investment Capital</w:t>
            </w:r>
          </w:p>
        </w:tc>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8"/>
        </w:trPr>
        <w:tc>
          <w:tcPr>
            <w:tcW w:w="30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xml:space="preserve">Expenditures </w:t>
            </w:r>
            <w:r>
              <w:rPr>
                <w:rFonts w:ascii="Arial" w:cs="Arial" w:eastAsia="Arial" w:hAnsi="Arial"/>
                <w:sz w:val="23"/>
                <w:szCs w:val="23"/>
                <w:color w:val="auto"/>
                <w:vertAlign w:val="superscript"/>
              </w:rPr>
              <w:t>(1)</w:t>
            </w: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660" w:right="180" w:hanging="652"/>
        <w:spacing w:after="0" w:line="234"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 and Fundamental Themes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Global Petroleum Market Conditions</w:t>
      </w:r>
    </w:p>
    <w:p>
      <w:pPr>
        <w:spacing w:after="0" w:line="25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Crude oil and other petroleum liquids are supplied by producers around the world, including the Organization of Petroleum Exporting Countries (“OPEC”) and North American producers, among others. The chart below depicts the relationship between global supply of crude oil and other petroleum liquids and demand since the beginning of 2016:</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Global Petroleum and Other Liquids Supply / Demand Balance </w:t>
      </w:r>
      <w:r>
        <w:rPr>
          <w:rFonts w:ascii="Arial" w:cs="Arial" w:eastAsia="Arial" w:hAnsi="Arial"/>
          <w:sz w:val="23"/>
          <w:szCs w:val="23"/>
          <w:b w:val="1"/>
          <w:bCs w:val="1"/>
          <w:color w:val="auto"/>
          <w:vertAlign w:val="superscript"/>
        </w:rPr>
        <w:t>(1)</w:t>
      </w:r>
    </w:p>
    <w:p>
      <w:pPr>
        <w:jc w:val="center"/>
        <w:ind w:right="-99"/>
        <w:spacing w:after="0"/>
        <w:rPr>
          <w:sz w:val="20"/>
          <w:szCs w:val="20"/>
          <w:color w:val="auto"/>
        </w:rPr>
      </w:pPr>
      <w:r>
        <w:rPr>
          <w:rFonts w:ascii="Arial" w:cs="Arial" w:eastAsia="Arial" w:hAnsi="Arial"/>
          <w:sz w:val="18"/>
          <w:szCs w:val="18"/>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0810" cy="3531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0810"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Average barrels produced and consumed per quarter.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Source: U.S. Energy Information Administration (“EIA”), Short-Term Energy Outlook, February 2021</w:t>
      </w:r>
    </w:p>
    <w:p>
      <w:pPr>
        <w:spacing w:after="0" w:line="36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2019, global demand for crude oil and other petroleum liquids worldwide averaged approximately 101 million barrels per day and since the year 2000 had grown at an average annual rate of approximately 1.0 to 1.5 million barrels per day. The largest drivers of demand growth were increases in population and rising standards of living in developing nations, particularly in Asia.</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2020, global demand for crude oil and other petroleum liquids worldwide averaged approximately 92 million barrels per day, representing a significant decrease compared to 2019 as a result of the COVID-19 pandemic. As countries around the globe implemented government mandated shutdowns, demand for refined products such as gasoline, diesel and jet fuel significantly decreased resulting in global crude oil and other petroleum liquids demand falling to approximately 81 million barrels per day in April of 2020.</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global demand decreased, inventories began to build and global crude oil prices reached historic lows. Global supply responded in an attempt to rebalance the market as OPEC enacted production cuts, and North American producers shut-in production and greatly reduced capital spending, leading to a 75% reduction in Lower 48 onshore rig count versus the March 2020 peak and an excess of infrastructure in every major North American producing basin.</w:t>
      </w:r>
    </w:p>
    <w:p>
      <w:pPr>
        <w:sectPr>
          <w:pgSz w:w="11900" w:h="16838" w:orient="portrait"/>
          <w:cols w:equalWidth="0" w:num="1">
            <w:col w:w="11140"/>
          </w:cols>
          <w:pgMar w:left="320" w:top="13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Both the EIA and OPEC currently forecast that global crude oil demand will recover to or near pre-COVID-19 levels by year end 2021. The global retrenchment of capital in both long-cycle and short-cycle supply combined with natural declines may put a constraint on the ability of producers to meet a meaningful recovery in demand. When demand does recover, there may be a need for incremental supply, and United States short-cycle shale is well positioned to meet this need. In the meantime, we as an industry must focus on rationalization and optimization of the existing infrastructure base while ensuring the ability to serve future growth of both supply and demand. Similar to crude oil, we expect demand for NGL to increase as the world population increases and as the population in developing nations seek to improve their quality of life. In addition, the resource base and the existing logistical infrastructure in North America is well situated to supply a meaningful portion of the expected increase in demand for NGL.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22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 the refinery’s choice of feedstock.</w:t>
      </w:r>
    </w:p>
    <w:p>
      <w:pPr>
        <w:spacing w:after="0" w:line="19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designed a business model to integrate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52"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NGL primarily includes ethane, propane, normal butane, iso-butane and natural gasoline, and is derived from natural gas production and processing activities, as well as crude oil refining processes. Liquefied petroleum gas (“LPG”) primarily includes propane and butane, which liquefy at moderate pressures making it easier to transport and store than ethane. NGL refers to all NGL products including LPG when used in this Form 10-K.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NGL is the primary feedstock for petrochemical facilities that produce many of the everyday consumer products used in the world.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Individual NGL products have varying uses. Described below are the five basic NGL components and their typical uses:</w:t>
      </w:r>
    </w:p>
    <w:p>
      <w:pPr>
        <w:spacing w:after="0" w:line="238" w:lineRule="exact"/>
        <w:rPr>
          <w:sz w:val="20"/>
          <w:szCs w:val="20"/>
          <w:color w:val="auto"/>
        </w:rPr>
      </w:pPr>
    </w:p>
    <w:p>
      <w:pPr>
        <w:jc w:val="both"/>
        <w:ind w:left="980" w:right="60" w:hanging="324"/>
        <w:spacing w:after="0" w:line="286" w:lineRule="auto"/>
        <w:tabs>
          <w:tab w:leader="none" w:pos="97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Ethane (C2).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92" w:lineRule="exact"/>
        <w:rPr>
          <w:rFonts w:ascii="Arial" w:cs="Arial" w:eastAsia="Arial" w:hAnsi="Arial"/>
          <w:sz w:val="17"/>
          <w:szCs w:val="17"/>
          <w:i w:val="1"/>
          <w:iCs w:val="1"/>
          <w:color w:val="auto"/>
        </w:rPr>
      </w:pPr>
    </w:p>
    <w:p>
      <w:pPr>
        <w:ind w:left="980" w:right="220" w:hanging="324"/>
        <w:spacing w:after="0" w:line="277" w:lineRule="auto"/>
        <w:tabs>
          <w:tab w:leader="none" w:pos="97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Propane (C3). </w:t>
      </w:r>
      <w:r>
        <w:rPr>
          <w:rFonts w:ascii="Arial" w:cs="Arial" w:eastAsia="Arial" w:hAnsi="Arial"/>
          <w:sz w:val="18"/>
          <w:szCs w:val="18"/>
          <w:color w:val="auto"/>
        </w:rPr>
        <w:t>Propane is used as heating fuel, engine fuel and industrial fuel, for agricultural burning and drying and also as petrochemical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feedstock for the production of ethylene and propylene.</w:t>
      </w:r>
    </w:p>
    <w:p>
      <w:pPr>
        <w:spacing w:after="0" w:line="197" w:lineRule="exact"/>
        <w:rPr>
          <w:rFonts w:ascii="Arial" w:cs="Arial" w:eastAsia="Arial" w:hAnsi="Arial"/>
          <w:sz w:val="18"/>
          <w:szCs w:val="18"/>
          <w:i w:val="1"/>
          <w:iCs w:val="1"/>
          <w:color w:val="auto"/>
        </w:rPr>
      </w:pPr>
    </w:p>
    <w:p>
      <w:pPr>
        <w:ind w:left="980" w:right="40" w:hanging="324"/>
        <w:spacing w:after="0" w:line="286" w:lineRule="auto"/>
        <w:tabs>
          <w:tab w:leader="none" w:pos="97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Normal butane (C4). </w:t>
      </w:r>
      <w:r>
        <w:rPr>
          <w:rFonts w:ascii="Arial" w:cs="Arial" w:eastAsia="Arial" w:hAnsi="Arial"/>
          <w:sz w:val="17"/>
          <w:szCs w:val="17"/>
          <w:color w:val="auto"/>
        </w:rPr>
        <w:t>Normal butane is principally used for motor gasoline blending and as fuel gas, either alone or in a mixture with propane,</w:t>
      </w:r>
      <w:r>
        <w:rPr>
          <w:rFonts w:ascii="Arial" w:cs="Arial" w:eastAsia="Arial" w:hAnsi="Arial"/>
          <w:sz w:val="17"/>
          <w:szCs w:val="17"/>
          <w:i w:val="1"/>
          <w:iCs w:val="1"/>
          <w:color w:val="auto"/>
        </w:rPr>
        <w:t xml:space="preserve"> </w:t>
      </w:r>
      <w:r>
        <w:rPr>
          <w:rFonts w:ascii="Arial" w:cs="Arial" w:eastAsia="Arial" w:hAnsi="Arial"/>
          <w:sz w:val="17"/>
          <w:szCs w:val="17"/>
          <w:color w:val="auto"/>
        </w:rPr>
        <w:t>and 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52" w:lineRule="exact"/>
        <w:rPr>
          <w:rFonts w:ascii="Arial" w:cs="Arial" w:eastAsia="Arial" w:hAnsi="Arial"/>
          <w:sz w:val="18"/>
          <w:szCs w:val="18"/>
          <w:i w:val="1"/>
          <w:iCs w:val="1"/>
          <w:color w:val="auto"/>
        </w:rPr>
      </w:pPr>
    </w:p>
    <w:p>
      <w:pPr>
        <w:ind w:left="980" w:right="640" w:hanging="324"/>
        <w:spacing w:after="0" w:line="277" w:lineRule="auto"/>
        <w:tabs>
          <w:tab w:leader="none" w:pos="97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97" w:lineRule="exact"/>
        <w:rPr>
          <w:sz w:val="20"/>
          <w:szCs w:val="20"/>
          <w:color w:val="auto"/>
        </w:rPr>
      </w:pPr>
    </w:p>
    <w:p>
      <w:pPr>
        <w:ind w:right="20" w:firstLine="648"/>
        <w:spacing w:after="0" w:line="299" w:lineRule="auto"/>
        <w:rPr>
          <w:sz w:val="20"/>
          <w:szCs w:val="20"/>
          <w:color w:val="auto"/>
        </w:rPr>
      </w:pPr>
      <w:r>
        <w:rPr>
          <w:rFonts w:ascii="Arial" w:cs="Arial" w:eastAsia="Arial" w:hAnsi="Arial"/>
          <w:sz w:val="16"/>
          <w:szCs w:val="16"/>
          <w:color w:val="auto"/>
        </w:rPr>
        <w:t>We source NGL supply from field processing plants that are connected to our Cochrane-to-Edmonton (“Co-Ed”) system and other third-party pipelines that deliver NGL to our storage and processing assets in the Fort Saskatchewan area in Canada, and large processing plants located near Empress, Canada. These plants straddle the TransCanada pipeline system which is a mainline carrier of pipeline quality gas and primarily extract ethane that feeds</w:t>
      </w:r>
    </w:p>
    <w:p>
      <w:pPr>
        <w:spacing w:after="0" w:line="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local petrochemical facilities, and to a lesser extent extract NGL, which can be processed at our Empress or Sarnia fractionators. We expect NGL supply to grow with increased natural gas production in Western Canada when TransCanada completes the expansion of its mainline system in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a “shock absorber” that balances the market, serving as a source of supply to meet the consumption demands in excess of daily production capacity and a warehouse for gas when production exceeds daily demand.</w:t>
      </w:r>
    </w:p>
    <w:p>
      <w:pPr>
        <w:spacing w:after="0" w:line="21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Overall market conditions for natural gas storage appear to be improving as several fundamental factors are contributing to growth in North American natural gas demand. These factors include (i) increasing exports of LNG from North America, (ii) increasing exports of natural gas to Mexico,</w:t>
      </w:r>
    </w:p>
    <w:p>
      <w:pPr>
        <w:ind w:right="140" w:firstLine="8"/>
        <w:spacing w:after="0" w:line="323" w:lineRule="auto"/>
        <w:tabs>
          <w:tab w:leader="none" w:pos="3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construction of new natural gas-fired power plants, (iv) sustained fuel switching from coal to natural gas among existing power plants and (v) growth in base-level industrial demand. The increase in both supply and demand has created greater opportunities for natural gas storage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business activities are conducted through three segments—Transportation, Facilities and Supply and Logistics. We have an extensive network of pipeline transportation, terminalling, storage and gathering assets in key crude oil and NGL producing basins and transportation corridors and at major market hubs in the United States and Canada. The map and descriptions below highlight our more significant assets (including certain assets under construction or development) as of December 31, 2020. Unless the context requires otherwise, references herein to our “facilities” includes all of the pipelines, terminals, storage and other assets owned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145415</wp:posOffset>
            </wp:positionV>
            <wp:extent cx="5863590" cy="5048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3590"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three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We generate revenue through a combination of tariffs, pipeline capacity agreements and other transportation fees. Our Transportation segment also includes equity earnings from our investments in entities that own or are developing transportation assets. We account for these investments under the equity method of accounting. See Note 9 to our Consolidated Financial Statements for additional information regarding these investments.</w:t>
      </w:r>
    </w:p>
    <w:p>
      <w:pPr>
        <w:spacing w:after="0" w:line="21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December 31, 2020, we employed a variety of owned or, to a much lesser extent, leased long-term physical assets throughout the United States and Canada in this segment, including approximately:</w:t>
      </w:r>
    </w:p>
    <w:p>
      <w:pPr>
        <w:spacing w:after="0" w:line="19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18,370 miles of active crude oil and NGL pipelines and gathering systems;</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 million barrels of active, above-ground tank capacity used primarily to facilitate pipeline throughput and help maintain product quality segregation;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815 trailers (primarily in Canada).</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2020, grouped by geographic location:</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08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Region</w:t>
            </w:r>
          </w:p>
        </w:tc>
        <w:tc>
          <w:tcPr>
            <w:tcW w:w="17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Ownership Percentage</w:t>
            </w:r>
          </w:p>
        </w:tc>
        <w:tc>
          <w:tcPr>
            <w:tcW w:w="15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Approximate System</w:t>
            </w:r>
          </w:p>
        </w:tc>
        <w:tc>
          <w:tcPr>
            <w:tcW w:w="1580" w:type="dxa"/>
            <w:vAlign w:val="bottom"/>
          </w:tcPr>
          <w:p>
            <w:pPr>
              <w:jc w:val="center"/>
              <w:spacing w:after="0"/>
              <w:rPr>
                <w:sz w:val="20"/>
                <w:szCs w:val="20"/>
                <w:color w:val="auto"/>
              </w:rPr>
            </w:pPr>
            <w:r>
              <w:rPr>
                <w:rFonts w:ascii="Arial" w:cs="Arial" w:eastAsia="Arial" w:hAnsi="Arial"/>
                <w:sz w:val="15"/>
                <w:szCs w:val="15"/>
                <w:b w:val="1"/>
                <w:bCs w:val="1"/>
                <w:color w:val="auto"/>
                <w:w w:val="91"/>
              </w:rPr>
              <w:t>2020 Average Net</w:t>
            </w:r>
          </w:p>
        </w:tc>
        <w:tc>
          <w:tcPr>
            <w:tcW w:w="0" w:type="dxa"/>
            <w:vAlign w:val="bottom"/>
          </w:tcPr>
          <w:p>
            <w:pPr>
              <w:spacing w:after="0"/>
              <w:rPr>
                <w:sz w:val="1"/>
                <w:szCs w:val="1"/>
                <w:color w:val="auto"/>
              </w:rPr>
            </w:pPr>
          </w:p>
        </w:tc>
      </w:tr>
      <w:tr>
        <w:trPr>
          <w:trHeight w:val="203"/>
        </w:trPr>
        <w:tc>
          <w:tcPr>
            <w:tcW w:w="6080" w:type="dxa"/>
            <w:vAlign w:val="bottom"/>
            <w:gridSpan w:val="2"/>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line="203" w:lineRule="exact"/>
              <w:rPr>
                <w:sz w:val="20"/>
                <w:szCs w:val="20"/>
                <w:color w:val="auto"/>
              </w:rPr>
            </w:pPr>
            <w:r>
              <w:rPr>
                <w:rFonts w:ascii="Arial" w:cs="Arial" w:eastAsia="Arial" w:hAnsi="Arial"/>
                <w:sz w:val="15"/>
                <w:szCs w:val="15"/>
                <w:b w:val="1"/>
                <w:bCs w:val="1"/>
                <w:color w:val="auto"/>
                <w:w w:val="90"/>
              </w:rPr>
              <w:t xml:space="preserve">Miles </w:t>
            </w:r>
            <w:r>
              <w:rPr>
                <w:rFonts w:ascii="Arial" w:cs="Arial" w:eastAsia="Arial" w:hAnsi="Arial"/>
                <w:sz w:val="19"/>
                <w:szCs w:val="19"/>
                <w:b w:val="1"/>
                <w:bCs w:val="1"/>
                <w:color w:val="auto"/>
                <w:w w:val="90"/>
                <w:vertAlign w:val="superscript"/>
              </w:rPr>
              <w:t>(1)</w:t>
            </w:r>
          </w:p>
        </w:tc>
        <w:tc>
          <w:tcPr>
            <w:tcW w:w="1580" w:type="dxa"/>
            <w:vAlign w:val="bottom"/>
          </w:tcPr>
          <w:p>
            <w:pPr>
              <w:jc w:val="center"/>
              <w:spacing w:after="0" w:line="203" w:lineRule="exact"/>
              <w:rPr>
                <w:sz w:val="20"/>
                <w:szCs w:val="20"/>
                <w:color w:val="auto"/>
              </w:rPr>
            </w:pPr>
            <w:r>
              <w:rPr>
                <w:rFonts w:ascii="Arial" w:cs="Arial" w:eastAsia="Arial" w:hAnsi="Arial"/>
                <w:sz w:val="15"/>
                <w:szCs w:val="15"/>
                <w:b w:val="1"/>
                <w:bCs w:val="1"/>
                <w:color w:val="auto"/>
                <w:w w:val="90"/>
              </w:rPr>
              <w:t xml:space="preserve">Barrels per Day </w:t>
            </w:r>
            <w:r>
              <w:rPr>
                <w:rFonts w:ascii="Arial" w:cs="Arial" w:eastAsia="Arial" w:hAnsi="Arial"/>
                <w:sz w:val="19"/>
                <w:szCs w:val="19"/>
                <w:b w:val="1"/>
                <w:bCs w:val="1"/>
                <w:color w:val="auto"/>
                <w:w w:val="90"/>
                <w:vertAlign w:val="superscript"/>
              </w:rPr>
              <w:t>(2)</w:t>
            </w:r>
          </w:p>
        </w:tc>
        <w:tc>
          <w:tcPr>
            <w:tcW w:w="0" w:type="dxa"/>
            <w:vAlign w:val="bottom"/>
          </w:tcPr>
          <w:p>
            <w:pPr>
              <w:spacing w:after="0"/>
              <w:rPr>
                <w:sz w:val="1"/>
                <w:szCs w:val="1"/>
                <w:color w:val="auto"/>
              </w:rPr>
            </w:pPr>
          </w:p>
        </w:tc>
      </w:tr>
      <w:tr>
        <w:trPr>
          <w:trHeight w:val="181"/>
        </w:trPr>
        <w:tc>
          <w:tcPr>
            <w:tcW w:w="5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31"/>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Crude Oil Pipelines:</w:t>
            </w: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360"/>
              <w:spacing w:after="0"/>
              <w:rPr>
                <w:sz w:val="20"/>
                <w:szCs w:val="20"/>
                <w:color w:val="auto"/>
              </w:rPr>
            </w:pPr>
            <w:r>
              <w:rPr>
                <w:rFonts w:ascii="Arial" w:cs="Arial" w:eastAsia="Arial" w:hAnsi="Arial"/>
                <w:sz w:val="18"/>
                <w:szCs w:val="18"/>
                <w:color w:val="auto"/>
              </w:rPr>
              <w:t>Gathering pipelines</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Intra-basin pipelines </w:t>
            </w:r>
            <w:r>
              <w:rPr>
                <w:rFonts w:ascii="Arial" w:cs="Arial" w:eastAsia="Arial" w:hAnsi="Arial"/>
                <w:sz w:val="23"/>
                <w:szCs w:val="23"/>
                <w:color w:val="auto"/>
                <w:vertAlign w:val="superscript"/>
              </w:rPr>
              <w:t>(3)</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 - 100%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gridSpan w:val="2"/>
          </w:tcPr>
          <w:p>
            <w:pPr>
              <w:ind w:left="360"/>
              <w:spacing w:after="0" w:line="230" w:lineRule="exact"/>
              <w:rPr>
                <w:sz w:val="20"/>
                <w:szCs w:val="20"/>
                <w:color w:val="auto"/>
              </w:rPr>
            </w:pPr>
            <w:r>
              <w:rPr>
                <w:rFonts w:ascii="Arial" w:cs="Arial" w:eastAsia="Arial" w:hAnsi="Arial"/>
                <w:sz w:val="18"/>
                <w:szCs w:val="18"/>
                <w:color w:val="auto"/>
              </w:rPr>
              <w:t xml:space="preserve">Long-haul pipelines </w:t>
            </w:r>
            <w:r>
              <w:rPr>
                <w:rFonts w:ascii="Arial" w:cs="Arial" w:eastAsia="Arial" w:hAnsi="Arial"/>
                <w:sz w:val="23"/>
                <w:szCs w:val="23"/>
                <w:color w:val="auto"/>
                <w:vertAlign w:val="superscript"/>
              </w:rPr>
              <w:t>(3)</w:t>
            </w:r>
          </w:p>
        </w:tc>
        <w:tc>
          <w:tcPr>
            <w:tcW w:w="16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16% - 100%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South Texas/Eagle Ford</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 - 100%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Central</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 - 100%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Gulf Coast</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 - 100%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6"/>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Rocky Mountain</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 - 100%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Western</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6"/>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Canada</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Crude Oil Pipelines Total</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16,735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6,082</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Canadian NGL Pipelines</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 - 100%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Crude Oil and NGL Pipelines Total</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18,370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540" w:right="5400" w:hanging="5532"/>
        <w:spacing w:after="0" w:line="496" w:lineRule="auto"/>
        <w:tabs>
          <w:tab w:leader="none" w:pos="65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Includes total mileage of pipelines in which we own less than 100%.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Index to Financial Statements</w:t>
        </w:r>
      </w:hyperlink>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20" w:right="280" w:hanging="11"/>
        <w:spacing w:after="0" w:line="263" w:lineRule="auto"/>
        <w:rPr>
          <w:sz w:val="20"/>
          <w:szCs w:val="20"/>
          <w:color w:val="auto"/>
        </w:rPr>
      </w:pPr>
      <w:r>
        <w:rPr>
          <w:rFonts w:ascii="Arial" w:cs="Arial" w:eastAsia="Arial" w:hAnsi="Arial"/>
          <w:sz w:val="18"/>
          <w:szCs w:val="18"/>
          <w:color w:val="auto"/>
        </w:rPr>
        <w:t>Represents average daily volumes for the entire year attributable to our interest. Average daily volumes are calculated as the total volumes (attributable to our interest) for the year divided by the number of days in the year. Volumes reflect tariff movements and thus may be included multiple times as volumes move through our integrated system.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Includes pipelines operated by a third party.</w:t>
      </w:r>
    </w:p>
    <w:p>
      <w:pPr>
        <w:spacing w:after="0" w:line="200" w:lineRule="exact"/>
        <w:rPr>
          <w:sz w:val="20"/>
          <w:szCs w:val="20"/>
          <w:color w:val="auto"/>
        </w:rPr>
      </w:pPr>
    </w:p>
    <w:p>
      <w:pPr>
        <w:sectPr>
          <w:pgSz w:w="11900" w:h="16838" w:orient="portrait"/>
          <w:cols w:equalWidth="0" w:num="2">
            <w:col w:w="140" w:space="500"/>
            <w:col w:w="10560"/>
          </w:cols>
          <w:pgMar w:left="320" w:top="130" w:right="379" w:bottom="1440" w:gutter="0" w:footer="0" w:header="0"/>
          <w:type w:val="continuous"/>
        </w:sectPr>
      </w:pPr>
    </w:p>
    <w:p>
      <w:pPr>
        <w:spacing w:after="0" w:line="5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 significant portion of our pipeline assets are interconnected and are operated as a contiguous system. The following descriptions are organized by type and geographic location and represent a selection of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Pipelines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crude oil pipelines are comprised of:</w:t>
      </w:r>
    </w:p>
    <w:p>
      <w:pPr>
        <w:spacing w:after="0" w:line="252"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gathering pipelines </w:t>
      </w:r>
      <w:r>
        <w:rPr>
          <w:rFonts w:ascii="Arial" w:cs="Arial" w:eastAsia="Arial" w:hAnsi="Arial"/>
          <w:sz w:val="18"/>
          <w:szCs w:val="18"/>
          <w:color w:val="auto"/>
        </w:rPr>
        <w:t>that move crude oil from wellhead or central battery connections to regional market hubs;</w:t>
      </w:r>
    </w:p>
    <w:p>
      <w:pPr>
        <w:spacing w:after="0" w:line="252" w:lineRule="exact"/>
        <w:rPr>
          <w:rFonts w:ascii="Arial" w:cs="Arial" w:eastAsia="Arial" w:hAnsi="Arial"/>
          <w:sz w:val="18"/>
          <w:szCs w:val="18"/>
          <w:color w:val="auto"/>
        </w:rPr>
      </w:pPr>
    </w:p>
    <w:p>
      <w:pPr>
        <w:ind w:left="1300" w:right="160" w:hanging="320"/>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intra-basin pipelines </w:t>
      </w:r>
      <w:r>
        <w:rPr>
          <w:rFonts w:ascii="Arial" w:cs="Arial" w:eastAsia="Arial" w:hAnsi="Arial"/>
          <w:sz w:val="18"/>
          <w:szCs w:val="18"/>
          <w:color w:val="auto"/>
        </w:rPr>
        <w:t>that are used as a hub system creating a significant amount of flexibility by creating connections between regional</w:t>
      </w:r>
      <w:r>
        <w:rPr>
          <w:rFonts w:ascii="Arial" w:cs="Arial" w:eastAsia="Arial" w:hAnsi="Arial"/>
          <w:sz w:val="18"/>
          <w:szCs w:val="18"/>
          <w:i w:val="1"/>
          <w:iCs w:val="1"/>
          <w:color w:val="auto"/>
        </w:rPr>
        <w:t xml:space="preserve"> </w:t>
      </w:r>
      <w:r>
        <w:rPr>
          <w:rFonts w:ascii="Arial" w:cs="Arial" w:eastAsia="Arial" w:hAnsi="Arial"/>
          <w:sz w:val="18"/>
          <w:szCs w:val="18"/>
          <w:color w:val="auto"/>
        </w:rPr>
        <w:t>hub locations; and</w:t>
      </w:r>
    </w:p>
    <w:p>
      <w:pPr>
        <w:spacing w:after="0" w:line="197" w:lineRule="exact"/>
        <w:rPr>
          <w:rFonts w:ascii="Arial" w:cs="Arial" w:eastAsia="Arial" w:hAnsi="Arial"/>
          <w:sz w:val="18"/>
          <w:szCs w:val="18"/>
          <w:color w:val="auto"/>
        </w:rPr>
      </w:pPr>
    </w:p>
    <w:p>
      <w:pPr>
        <w:ind w:left="1300" w:right="380" w:hanging="320"/>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long-haul pipelines </w:t>
      </w:r>
      <w:r>
        <w:rPr>
          <w:rFonts w:ascii="Arial" w:cs="Arial" w:eastAsia="Arial" w:hAnsi="Arial"/>
          <w:sz w:val="18"/>
          <w:szCs w:val="18"/>
          <w:color w:val="auto"/>
        </w:rPr>
        <w:t>that move crude oil from (i) regional market hubs to major market hubs such as Cushing, Oklahoma or to export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including our Corpus Christi terminal or (ii) major market hubs to a refinery.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Gathering Pipelines</w:t>
      </w:r>
    </w:p>
    <w:p>
      <w:pPr>
        <w:spacing w:after="0" w:line="25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i w:val="1"/>
          <w:iCs w:val="1"/>
          <w:color w:val="auto"/>
        </w:rPr>
        <w:t xml:space="preserve">Permian Basin. </w:t>
      </w:r>
      <w:r>
        <w:rPr>
          <w:rFonts w:ascii="Arial" w:cs="Arial" w:eastAsia="Arial" w:hAnsi="Arial"/>
          <w:sz w:val="18"/>
          <w:szCs w:val="18"/>
          <w:color w:val="auto"/>
        </w:rPr>
        <w:t>We own and operate over 3,200 miles of gathering pipelines in both the Midland Basin and the Delaware Basin that in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over 2.5 million barrels per day of pipeline capacity. This gathering capacity includes pipeline capacity that delivers volumes to regional market hubs. Approximately 75% of the capacity of our gathering systems is in the Delaware Basin.</w:t>
      </w:r>
    </w:p>
    <w:p>
      <w:pPr>
        <w:spacing w:after="0" w:line="211"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i w:val="1"/>
          <w:iCs w:val="1"/>
          <w:color w:val="auto"/>
        </w:rPr>
        <w:t xml:space="preserve">Central. </w:t>
      </w:r>
      <w:r>
        <w:rPr>
          <w:rFonts w:ascii="Arial" w:cs="Arial" w:eastAsia="Arial" w:hAnsi="Arial"/>
          <w:sz w:val="18"/>
          <w:szCs w:val="18"/>
          <w:color w:val="auto"/>
        </w:rPr>
        <w:t>We own and operate gathering pipelines that source crude oil from Western and Central Oklahoma and Southwest Kansas for</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delivery into our terminal facilities at Cushing, Oklahoma.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Rocky Mountain. </w:t>
      </w:r>
      <w:r>
        <w:rPr>
          <w:rFonts w:ascii="Arial" w:cs="Arial" w:eastAsia="Arial" w:hAnsi="Arial"/>
          <w:sz w:val="18"/>
          <w:szCs w:val="18"/>
          <w:color w:val="auto"/>
        </w:rPr>
        <w:t>We own and operate pipelines that provide gathering services in the Bakken and the Powder River Basin.</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Western. </w:t>
      </w:r>
      <w:r>
        <w:rPr>
          <w:rFonts w:ascii="Arial" w:cs="Arial" w:eastAsia="Arial" w:hAnsi="Arial"/>
          <w:sz w:val="18"/>
          <w:szCs w:val="18"/>
          <w:color w:val="auto"/>
        </w:rPr>
        <w:t>We own and operate a pipeline in the San Joaquin Valley that gathers locally produced crude oil, which is then delivered via our Line 63</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system and/or Line 2000 pipeline for transportation to Los Angeles area refiners.</w:t>
      </w:r>
    </w:p>
    <w:p>
      <w:pPr>
        <w:spacing w:after="0" w:line="19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Canada. </w:t>
      </w:r>
      <w:r>
        <w:rPr>
          <w:rFonts w:ascii="Arial" w:cs="Arial" w:eastAsia="Arial" w:hAnsi="Arial"/>
          <w:sz w:val="16"/>
          <w:szCs w:val="16"/>
          <w:color w:val="auto"/>
        </w:rPr>
        <w:t>We own and operate gathering systems with capacity of approximately 220,000 barrels per day. These gathering systems source crude</w:t>
      </w:r>
      <w:r>
        <w:rPr>
          <w:rFonts w:ascii="Arial" w:cs="Arial" w:eastAsia="Arial" w:hAnsi="Arial"/>
          <w:sz w:val="16"/>
          <w:szCs w:val="16"/>
          <w:i w:val="1"/>
          <w:iCs w:val="1"/>
          <w:color w:val="auto"/>
        </w:rPr>
        <w:t xml:space="preserve"> </w:t>
      </w:r>
      <w:r>
        <w:rPr>
          <w:rFonts w:ascii="Arial" w:cs="Arial" w:eastAsia="Arial" w:hAnsi="Arial"/>
          <w:sz w:val="16"/>
          <w:szCs w:val="16"/>
          <w:color w:val="auto"/>
        </w:rPr>
        <w:t>from truck terminals and pipeline connected facilities to deliver to the Enbridge Mainline system at our Kerrobert and Regina terminals in Saskatchewan.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Intra-basin Pipelines</w:t>
      </w:r>
    </w:p>
    <w:p>
      <w:pPr>
        <w:spacing w:after="0" w:line="252"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i w:val="1"/>
          <w:iCs w:val="1"/>
          <w:color w:val="auto"/>
        </w:rPr>
        <w:t xml:space="preserve">Permian Basin. </w:t>
      </w:r>
      <w:r>
        <w:rPr>
          <w:rFonts w:ascii="Arial" w:cs="Arial" w:eastAsia="Arial" w:hAnsi="Arial"/>
          <w:sz w:val="16"/>
          <w:szCs w:val="16"/>
          <w:color w:val="auto"/>
        </w:rPr>
        <w:t>We own and operate an intra-basin pipeline system with a capacity of over 2 million barrels per day that connects gathering</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pipelines and truck injection volumes to our owned and operated as well as third-party mainline pipelines that transport crude oil to major market hubs. This interconnected pipeline system is designed to provide shippers flow assurance, flexibility and access to multiple markets.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Canada. </w:t>
      </w:r>
      <w:r>
        <w:rPr>
          <w:rFonts w:ascii="Arial" w:cs="Arial" w:eastAsia="Arial" w:hAnsi="Arial"/>
          <w:sz w:val="17"/>
          <w:szCs w:val="17"/>
          <w:color w:val="auto"/>
        </w:rPr>
        <w:t>We own and operate intra-basin pipelines with capacity of approximately 290,000 barrels per day that deliver crude from northern and</w:t>
      </w:r>
      <w:r>
        <w:rPr>
          <w:rFonts w:ascii="Arial" w:cs="Arial" w:eastAsia="Arial" w:hAnsi="Arial"/>
          <w:sz w:val="17"/>
          <w:szCs w:val="17"/>
          <w:i w:val="1"/>
          <w:iCs w:val="1"/>
          <w:color w:val="auto"/>
        </w:rPr>
        <w:t xml:space="preserve"> </w:t>
      </w:r>
      <w:r>
        <w:rPr>
          <w:rFonts w:ascii="Arial" w:cs="Arial" w:eastAsia="Arial" w:hAnsi="Arial"/>
          <w:sz w:val="17"/>
          <w:szCs w:val="17"/>
          <w:color w:val="auto"/>
        </w:rPr>
        <w:t>southern Alberta to the Edmonton, Alberta market hub. These pipelines provide shippers with flexibility to access the Enbridge and TransMountain long-haul pipelines along with the Imperial Oil Refinery. In addition, we have three cross-border pipelines that have the flexibility to move up to approximately 60,000 barrels per day of Canadian crude oil to our Rocky Mountain area long-haul pipelines. These intra-basin pipelines also have the ability to deliver up to approximately 105,000 barrels per day of crude oil to third-party pipelines in the Rocky Mountain region.</w:t>
      </w:r>
    </w:p>
    <w:p>
      <w:pPr>
        <w:sectPr>
          <w:pgSz w:w="11900" w:h="16838" w:orient="portrait"/>
          <w:cols w:equalWidth="0" w:num="1">
            <w:col w:w="11200"/>
          </w:cols>
          <w:pgMar w:left="320" w:top="130" w:right="37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Long-haul Pipelines</w:t>
      </w:r>
    </w:p>
    <w:p>
      <w:pPr>
        <w:spacing w:after="0" w:line="252"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i w:val="1"/>
          <w:iCs w:val="1"/>
          <w:color w:val="auto"/>
        </w:rPr>
        <w:t xml:space="preserve">Permian Basin. </w:t>
      </w:r>
      <w:r>
        <w:rPr>
          <w:rFonts w:ascii="Arial" w:cs="Arial" w:eastAsia="Arial" w:hAnsi="Arial"/>
          <w:sz w:val="16"/>
          <w:szCs w:val="16"/>
          <w:color w:val="auto"/>
        </w:rPr>
        <w:t>We own interests in multiple long-haul pipeline systems that, on a combined basis, represent over 1.5 million barrels per day of</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operational takeaway capacity (net to our ownership interests) out of the Permian Basin to major market hubs in Corpus Christi and Houston, Texas and Cushing, Oklahoma. Below is a description of some of our most significant long-haul pipeline systems within the Permian Basin region.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Permian to Cushing/Mid-Continent</w:t>
      </w:r>
    </w:p>
    <w:p>
      <w:pPr>
        <w:spacing w:after="0" w:line="256" w:lineRule="exact"/>
        <w:rPr>
          <w:sz w:val="20"/>
          <w:szCs w:val="20"/>
          <w:color w:val="auto"/>
        </w:rPr>
      </w:pPr>
    </w:p>
    <w:p>
      <w:pPr>
        <w:ind w:left="980" w:right="120" w:hanging="324"/>
        <w:spacing w:after="0" w:line="279"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Basin Pipeline (Permian to Cushing). </w:t>
      </w:r>
      <w:r>
        <w:rPr>
          <w:rFonts w:ascii="Arial" w:cs="Arial" w:eastAsia="Arial" w:hAnsi="Arial"/>
          <w:sz w:val="17"/>
          <w:szCs w:val="17"/>
          <w:color w:val="auto"/>
        </w:rPr>
        <w:t>We own an 87% UJI in and are the operator of Basin Pipeline. Basin Pipeline has three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98" w:lineRule="exact"/>
        <w:rPr>
          <w:rFonts w:ascii="Arial" w:cs="Arial" w:eastAsia="Arial" w:hAnsi="Arial"/>
          <w:sz w:val="17"/>
          <w:szCs w:val="17"/>
          <w:color w:val="auto"/>
        </w:rPr>
      </w:pPr>
    </w:p>
    <w:p>
      <w:pPr>
        <w:ind w:left="980" w:right="24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Sunrise II Pipeline. </w:t>
      </w:r>
      <w:r>
        <w:rPr>
          <w:rFonts w:ascii="Arial" w:cs="Arial" w:eastAsia="Arial" w:hAnsi="Arial"/>
          <w:sz w:val="18"/>
          <w:szCs w:val="18"/>
          <w:color w:val="auto"/>
        </w:rPr>
        <w:t>We operate the Sunrise II Pipeline and, through a UJI arrangement, own 400,000 barrels of the capacity. Our Sunrise II</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transports crude oil from Midland and Colorado City to connecting carriers at Wichita Falls.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Permian to Gulf Coast</w:t>
      </w:r>
    </w:p>
    <w:p>
      <w:pPr>
        <w:spacing w:after="0" w:line="256" w:lineRule="exact"/>
        <w:rPr>
          <w:sz w:val="20"/>
          <w:szCs w:val="20"/>
          <w:color w:val="auto"/>
        </w:rPr>
      </w:pPr>
    </w:p>
    <w:p>
      <w:pPr>
        <w:ind w:left="980" w:right="180" w:hanging="324"/>
        <w:spacing w:after="0" w:line="259" w:lineRule="auto"/>
        <w:tabs>
          <w:tab w:leader="none" w:pos="97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BridgeTex Pipeline (Permian to Houston). </w:t>
      </w:r>
      <w:r>
        <w:rPr>
          <w:rFonts w:ascii="Arial" w:cs="Arial" w:eastAsia="Arial" w:hAnsi="Arial"/>
          <w:sz w:val="18"/>
          <w:szCs w:val="18"/>
          <w:color w:val="auto"/>
        </w:rPr>
        <w:t>We own a 20% interest in the legal entity that owns the BridgeTex Pipeline, with two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The pipeline, operated by a subsidiary of Magellan Midstream Partners, L.P., originates at Colorado City, Texas and extends to Houston, Texas. The pipeline has a capacity of 440,000 barrels per day and is capable of receiving supply from both our Basin and Midland South (formerly Sunrise) pipelines.</w:t>
      </w:r>
    </w:p>
    <w:p>
      <w:pPr>
        <w:spacing w:after="0" w:line="213" w:lineRule="exact"/>
        <w:rPr>
          <w:rFonts w:ascii="Arial" w:cs="Arial" w:eastAsia="Arial" w:hAnsi="Arial"/>
          <w:sz w:val="18"/>
          <w:szCs w:val="18"/>
          <w:i w:val="1"/>
          <w:iCs w:val="1"/>
          <w:color w:val="auto"/>
        </w:rPr>
      </w:pPr>
    </w:p>
    <w:p>
      <w:pPr>
        <w:ind w:left="980" w:right="300" w:hanging="324"/>
        <w:spacing w:after="0" w:line="286"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Cactus Pipeline (Permian to Corpus Christi). </w:t>
      </w:r>
      <w:r>
        <w:rPr>
          <w:rFonts w:ascii="Arial" w:cs="Arial" w:eastAsia="Arial" w:hAnsi="Arial"/>
          <w:sz w:val="17"/>
          <w:szCs w:val="17"/>
          <w:color w:val="auto"/>
        </w:rPr>
        <w:t>We own and operate the Cactus Pipeline, which has a capacity of 390,000 barrels per day,</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originates at McCamey, Texas and extends to Gardendale, Texas. Cactus Pipeline volumes are interconnected to the Corpus Christi, Texas market through a connection at Gardendale to our Eagle Ford joint venture pipeline system.</w:t>
      </w:r>
    </w:p>
    <w:p>
      <w:pPr>
        <w:spacing w:after="0" w:line="192" w:lineRule="exact"/>
        <w:rPr>
          <w:rFonts w:ascii="Arial" w:cs="Arial" w:eastAsia="Arial" w:hAnsi="Arial"/>
          <w:sz w:val="17"/>
          <w:szCs w:val="17"/>
          <w:color w:val="auto"/>
        </w:rPr>
      </w:pPr>
    </w:p>
    <w:p>
      <w:pPr>
        <w:jc w:val="both"/>
        <w:ind w:left="980" w:right="360" w:hanging="324"/>
        <w:spacing w:after="0" w:line="263" w:lineRule="auto"/>
        <w:tabs>
          <w:tab w:leader="none" w:pos="97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Cactus II Pipeline (Permian to Corpus Christi). </w:t>
      </w:r>
      <w:r>
        <w:rPr>
          <w:rFonts w:ascii="Arial" w:cs="Arial" w:eastAsia="Arial" w:hAnsi="Arial"/>
          <w:sz w:val="18"/>
          <w:szCs w:val="18"/>
          <w:color w:val="auto"/>
        </w:rPr>
        <w:t>We own a 65% interest in the legal entity that owns the Cactus II Pipeline (“Cactus II”),</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operate. Cactus II is a Permian mainline system that extends directly to the Corpus Christi, Texas market, and has a capacity of 670,000 barrels per day.</w:t>
      </w:r>
    </w:p>
    <w:p>
      <w:pPr>
        <w:spacing w:after="0" w:line="210" w:lineRule="exact"/>
        <w:rPr>
          <w:rFonts w:ascii="Arial" w:cs="Arial" w:eastAsia="Arial" w:hAnsi="Arial"/>
          <w:sz w:val="18"/>
          <w:szCs w:val="18"/>
          <w:i w:val="1"/>
          <w:iCs w:val="1"/>
          <w:color w:val="auto"/>
        </w:rPr>
      </w:pPr>
    </w:p>
    <w:p>
      <w:pPr>
        <w:ind w:left="980" w:hanging="324"/>
        <w:spacing w:after="0" w:line="270"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Wink to Webster Pipeline. </w:t>
      </w:r>
      <w:r>
        <w:rPr>
          <w:rFonts w:ascii="Arial" w:cs="Arial" w:eastAsia="Arial" w:hAnsi="Arial"/>
          <w:sz w:val="17"/>
          <w:szCs w:val="17"/>
          <w:color w:val="auto"/>
        </w:rPr>
        <w:t>We own a 16% interest in the legal entity that owns the Wink to Webster Pipeline (“W2W Pipeline”), which in turn</w:t>
      </w:r>
      <w:r>
        <w:rPr>
          <w:rFonts w:ascii="Arial" w:cs="Arial" w:eastAsia="Arial" w:hAnsi="Arial"/>
          <w:sz w:val="17"/>
          <w:szCs w:val="17"/>
          <w:i w:val="1"/>
          <w:iCs w:val="1"/>
          <w:color w:val="auto"/>
        </w:rPr>
        <w:t xml:space="preserve"> </w:t>
      </w:r>
      <w:r>
        <w:rPr>
          <w:rFonts w:ascii="Arial" w:cs="Arial" w:eastAsia="Arial" w:hAnsi="Arial"/>
          <w:sz w:val="17"/>
          <w:szCs w:val="17"/>
          <w:color w:val="auto"/>
        </w:rPr>
        <w:t>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which is currently in partial service, will provide approximately 1.5 million barrels per day of crude oil capacity (1.1 million barrels per day, net to the UJI interest) and is supported by long-term shipper commitments. Phase one of the pipeline system from Midland, Texas to Webster, Texas is currently in service. Phase two, which increases the pipeline system to 1.5 million barrels per day of capacity, is expected to be in service in the fourth quarter of 2021, at which time long-term shipper commitments will become effective. The third phase of the project, which includes the segments from Wink, Texas to Midland, Texas and from Webster, Texas to Baytown, Texas, has been deferred by the partners until the fourth quarter of 2023.</w:t>
      </w:r>
    </w:p>
    <w:p>
      <w:pPr>
        <w:spacing w:after="0" w:line="20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South Texas/Eagle Ford. </w:t>
      </w:r>
      <w:r>
        <w:rPr>
          <w:rFonts w:ascii="Arial" w:cs="Arial" w:eastAsia="Arial" w:hAnsi="Arial"/>
          <w:sz w:val="18"/>
          <w:szCs w:val="18"/>
          <w:color w:val="auto"/>
        </w:rPr>
        <w:t>We own a 50% interest in the legal entity that owns the Eagle Ford Pipeline through a joint venture with a subsidiary of</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We serve as the operator of the Eagle Ford Pipeline, which has a total capacity of approximately 660,000 barrels per day and connects Permian and Eagle Ford area production to Corpus Christi, Texas refiners and terminals. Additionally, the Eagle Ford Pipeline has connectivity to Houston, Texas via a connection with Enterprise’s pipeline at Lyssy, Texas.</w:t>
      </w:r>
    </w:p>
    <w:p>
      <w:pPr>
        <w:spacing w:after="0" w:line="21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Central. </w:t>
      </w:r>
      <w:r>
        <w:rPr>
          <w:rFonts w:ascii="Arial" w:cs="Arial" w:eastAsia="Arial" w:hAnsi="Arial"/>
          <w:sz w:val="18"/>
          <w:szCs w:val="18"/>
          <w:color w:val="auto"/>
        </w:rPr>
        <w:t>We own and operate various pipeline systems that extend from our Cushing terminal in Oklahoma to various refineries and/or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hubs. Below is a description of some of our most significant pipeline systems in the Central region.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980" w:right="60" w:hanging="324"/>
        <w:spacing w:after="0" w:line="293" w:lineRule="auto"/>
        <w:tabs>
          <w:tab w:leader="none" w:pos="975"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Diamond Pipeline (Cushing to Memphis). </w:t>
      </w:r>
      <w:r>
        <w:rPr>
          <w:rFonts w:ascii="Arial" w:cs="Arial" w:eastAsia="Arial" w:hAnsi="Arial"/>
          <w:sz w:val="16"/>
          <w:szCs w:val="16"/>
          <w:color w:val="auto"/>
        </w:rPr>
        <w:t>We own a 50% interest in the legal entity that owns the Diamond Pipeline through a joint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with Valero Energy Corporation (“Valero”). We operate the Diamond Pipeline, which extends from our Cushing Terminal to Valero’s refinery in Memphis, Tennessee. The Diamond Pipeline is underpinned by a long-term minimum volume commitment and currently has a total capacity of 200,000 barrels per day. Following the successful 2019 open season on the Capline Pipeline system (“Capline”), the joint venture partners sanctioned an expansion and modest extension of the Diamond Pipeline that will expand its capacity to approximately 420,000 barrels per day, connect it to Capline and facilitate the movement of volumes from Cushing, Oklahoma to St. James, Louisiana.</w:t>
      </w:r>
    </w:p>
    <w:p>
      <w:pPr>
        <w:spacing w:after="0" w:line="191" w:lineRule="exact"/>
        <w:rPr>
          <w:rFonts w:ascii="Arial" w:cs="Arial" w:eastAsia="Arial" w:hAnsi="Arial"/>
          <w:sz w:val="16"/>
          <w:szCs w:val="16"/>
          <w:i w:val="1"/>
          <w:iCs w:val="1"/>
          <w:color w:val="auto"/>
        </w:rPr>
      </w:pPr>
    </w:p>
    <w:p>
      <w:pPr>
        <w:jc w:val="both"/>
        <w:ind w:left="980" w:right="120" w:hanging="324"/>
        <w:spacing w:after="0" w:line="287" w:lineRule="auto"/>
        <w:tabs>
          <w:tab w:leader="none" w:pos="975"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Red River Pipeline (Cushing to Longview)</w:t>
      </w:r>
      <w:r>
        <w:rPr>
          <w:rFonts w:ascii="Arial" w:cs="Arial" w:eastAsia="Arial" w:hAnsi="Arial"/>
          <w:sz w:val="16"/>
          <w:szCs w:val="16"/>
          <w:color w:val="auto"/>
        </w:rPr>
        <w:t>. The Red River Pipeline is an approximately 235,000 barrel per day capacity pipeline that extends</w:t>
      </w:r>
      <w:r>
        <w:rPr>
          <w:rFonts w:ascii="Arial" w:cs="Arial" w:eastAsia="Arial" w:hAnsi="Arial"/>
          <w:sz w:val="16"/>
          <w:szCs w:val="16"/>
          <w:i w:val="1"/>
          <w:iCs w:val="1"/>
          <w:color w:val="auto"/>
        </w:rPr>
        <w:t xml:space="preserve"> </w:t>
      </w:r>
      <w:r>
        <w:rPr>
          <w:rFonts w:ascii="Arial" w:cs="Arial" w:eastAsia="Arial" w:hAnsi="Arial"/>
          <w:sz w:val="16"/>
          <w:szCs w:val="16"/>
          <w:color w:val="auto"/>
        </w:rPr>
        <w:t>from our Cushing Terminal in Oklahoma to Longview, Texas, where it connects with various pipelines. The Red River Pipeline is supported by long-term shipper commitments and we serve as operator. In May 2019, we announced a new joint venture of the Red River Pipeline.</w:t>
      </w:r>
    </w:p>
    <w:p>
      <w:pPr>
        <w:spacing w:after="0" w:line="2" w:lineRule="exact"/>
        <w:rPr>
          <w:rFonts w:ascii="Arial" w:cs="Arial" w:eastAsia="Arial" w:hAnsi="Arial"/>
          <w:sz w:val="16"/>
          <w:szCs w:val="16"/>
          <w:i w:val="1"/>
          <w:iCs w:val="1"/>
          <w:color w:val="auto"/>
        </w:rPr>
      </w:pPr>
    </w:p>
    <w:p>
      <w:pPr>
        <w:ind w:left="980" w:right="160"/>
        <w:spacing w:after="0" w:line="270" w:lineRule="auto"/>
        <w:rPr>
          <w:rFonts w:ascii="Arial" w:cs="Arial" w:eastAsia="Arial" w:hAnsi="Arial"/>
          <w:sz w:val="16"/>
          <w:szCs w:val="16"/>
          <w:i w:val="1"/>
          <w:iCs w:val="1"/>
          <w:color w:val="auto"/>
        </w:rPr>
      </w:pPr>
      <w:r>
        <w:rPr>
          <w:rFonts w:ascii="Arial" w:cs="Arial" w:eastAsia="Arial" w:hAnsi="Arial"/>
          <w:sz w:val="17"/>
          <w:szCs w:val="17"/>
          <w:color w:val="auto"/>
        </w:rPr>
        <w:t>Delek Logistics Partners, LP (“Delek”) purchased a 33% ownership interest in the new Red River Pipeline Company LLC (“Red River JV”) joint venture and we retained a 67% interest. In 2020, we put into service an expansion that enables additional volume pull-through from Cushing, Oklahoma and the Permian to the U.S. Gulf Coast markets, providing additional supply optionality for shippers. In support of this expansion, Delek increased its long-term throughput and deficiency agreement on the Red River Pipeline system from an existing 35,000 barrels per day to 100,000 barrels per day. The Red River JV has an approximate 69% UJI in the pipeline segment from Cushing to Hewitt and owns 100% of the segment of the pipeline extending from Hewitt to Longview.</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Rocky Mountain. </w:t>
      </w:r>
      <w:r>
        <w:rPr>
          <w:rFonts w:ascii="Arial" w:cs="Arial" w:eastAsia="Arial" w:hAnsi="Arial"/>
          <w:sz w:val="18"/>
          <w:szCs w:val="18"/>
          <w:color w:val="auto"/>
        </w:rPr>
        <w:t>Our pipeline systems in the Rocky Mountain region provide access to our terminal in Cushing, Oklahoma as well as other major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hubs. We own and operate the Bakken North pipeline system that accommodates bidirectional flow and can move crude oil from the Bakken to the Enbridge Mainline system at Regina, Saskatchewan or from the Enbridge Mainline system to our terminal in Trenton, North Dakota. We own a UJI in a pipeline system that extends from the Canadian border to our terminal in Guernsey, Wyoming. This pipeline system receives crude oil from our Rangeland and Milk River Pipelines in Canada. In addition to these assets, our largest Rocky Mountain area systems include the following joint venture pipelines, both of which connect to our terminal in Cushing, Oklahoma.</w:t>
      </w:r>
    </w:p>
    <w:p>
      <w:pPr>
        <w:spacing w:after="0" w:line="219" w:lineRule="exact"/>
        <w:rPr>
          <w:sz w:val="20"/>
          <w:szCs w:val="20"/>
          <w:color w:val="auto"/>
        </w:rPr>
      </w:pPr>
    </w:p>
    <w:p>
      <w:pPr>
        <w:ind w:left="980" w:right="60" w:hanging="324"/>
        <w:spacing w:after="0" w:line="259"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Saddlehorn Pipeline</w:t>
      </w:r>
      <w:r>
        <w:rPr>
          <w:rFonts w:ascii="Arial" w:cs="Arial" w:eastAsia="Arial" w:hAnsi="Arial"/>
          <w:sz w:val="18"/>
          <w:szCs w:val="18"/>
          <w:color w:val="auto"/>
        </w:rPr>
        <w:t>. We own a 30% interest in the legal entity that owns the Saddlehorn Pipeline and, through a UJI arrangement, owns</w:t>
      </w:r>
      <w:r>
        <w:rPr>
          <w:rFonts w:ascii="Arial" w:cs="Arial" w:eastAsia="Arial" w:hAnsi="Arial"/>
          <w:sz w:val="18"/>
          <w:szCs w:val="18"/>
          <w:i w:val="1"/>
          <w:iCs w:val="1"/>
          <w:color w:val="auto"/>
        </w:rPr>
        <w:t xml:space="preserve"> </w:t>
      </w:r>
      <w:r>
        <w:rPr>
          <w:rFonts w:ascii="Arial" w:cs="Arial" w:eastAsia="Arial" w:hAnsi="Arial"/>
          <w:sz w:val="18"/>
          <w:szCs w:val="18"/>
          <w:color w:val="auto"/>
        </w:rPr>
        <w:t>290,000 barrels per day of capacity in the Saddlehorn Pipeline, which includes a recent expansion of 100,000 barrels per day. The pipeline extends from the Niobrara and Denver-Julesburg (“DJ”) Basin to Cushing and is operated by Magellan. The Saddlehorn Pipeline is supported by minimum volume commitments.</w:t>
      </w:r>
    </w:p>
    <w:p>
      <w:pPr>
        <w:spacing w:after="0" w:line="213" w:lineRule="exact"/>
        <w:rPr>
          <w:rFonts w:ascii="Arial" w:cs="Arial" w:eastAsia="Arial" w:hAnsi="Arial"/>
          <w:sz w:val="18"/>
          <w:szCs w:val="18"/>
          <w:color w:val="auto"/>
        </w:rPr>
      </w:pPr>
    </w:p>
    <w:p>
      <w:pPr>
        <w:ind w:left="980" w:right="140" w:hanging="324"/>
        <w:spacing w:after="0" w:line="296" w:lineRule="auto"/>
        <w:tabs>
          <w:tab w:leader="none" w:pos="975"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White Cliffs Pipeline. </w:t>
      </w:r>
      <w:r>
        <w:rPr>
          <w:rFonts w:ascii="Arial" w:cs="Arial" w:eastAsia="Arial" w:hAnsi="Arial"/>
          <w:sz w:val="16"/>
          <w:szCs w:val="16"/>
          <w:color w:val="auto"/>
        </w:rPr>
        <w:t>We own an approximate 36% interest in the entity that owns the White Cliffs Pipeline system through a joint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18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i w:val="1"/>
          <w:iCs w:val="1"/>
          <w:color w:val="auto"/>
        </w:rPr>
        <w:t xml:space="preserve">Western. </w:t>
      </w:r>
      <w:r>
        <w:rPr>
          <w:rFonts w:ascii="Arial" w:cs="Arial" w:eastAsia="Arial" w:hAnsi="Arial"/>
          <w:sz w:val="17"/>
          <w:szCs w:val="17"/>
          <w:color w:val="auto"/>
        </w:rPr>
        <w:t>We own and operate the Line 63 and Line 2000 pipelines in California. Line 2000 is a mainline system that has the capacity to transport</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Canadian NGL Pipelines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Supply lines. </w:t>
      </w:r>
      <w:r>
        <w:rPr>
          <w:rFonts w:ascii="Arial" w:cs="Arial" w:eastAsia="Arial" w:hAnsi="Arial"/>
          <w:sz w:val="18"/>
          <w:szCs w:val="18"/>
          <w:color w:val="auto"/>
        </w:rPr>
        <w:t>Our supply lines transport NGL from producing locations to downstream processing facilities. Our primary supply system, the Co-Ed</w:t>
      </w:r>
      <w:r>
        <w:rPr>
          <w:rFonts w:ascii="Arial" w:cs="Arial" w:eastAsia="Arial" w:hAnsi="Arial"/>
          <w:sz w:val="18"/>
          <w:szCs w:val="18"/>
          <w:i w:val="1"/>
          <w:iCs w:val="1"/>
          <w:color w:val="auto"/>
        </w:rPr>
        <w:t xml:space="preserve"> </w:t>
      </w:r>
      <w:r>
        <w:rPr>
          <w:rFonts w:ascii="Arial" w:cs="Arial" w:eastAsia="Arial" w:hAnsi="Arial"/>
          <w:sz w:val="18"/>
          <w:szCs w:val="18"/>
          <w:color w:val="auto"/>
        </w:rPr>
        <w:t>NGL pipeline system, has transportation capacity of approximately 70,000 barrels per day and gathers NGL from Southwest and Central Alberta (Cardium, Deep Basin, and Alberta Montney) for delivery to our Fort Saskatchewan, Alberta NGL fractionation facilities. In addition, we own a 50% UJI in a supply line with capacity of approximately 50,000 barrels per day that carries NGL from our Empress, Alberta fractionation facility to cavern storage assets in Kerrobert, Saskatchewan.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 xml:space="preserve">Market lines. </w:t>
      </w:r>
      <w:r>
        <w:rPr>
          <w:rFonts w:ascii="Arial" w:cs="Arial" w:eastAsia="Arial" w:hAnsi="Arial"/>
          <w:sz w:val="17"/>
          <w:szCs w:val="17"/>
          <w:color w:val="auto"/>
        </w:rPr>
        <w:t>Market lines are typically used to transport NGL from production locations to further downstream market distribution and storage</w:t>
      </w:r>
      <w:r>
        <w:rPr>
          <w:rFonts w:ascii="Arial" w:cs="Arial" w:eastAsia="Arial" w:hAnsi="Arial"/>
          <w:sz w:val="17"/>
          <w:szCs w:val="17"/>
          <w:i w:val="1"/>
          <w:iCs w:val="1"/>
          <w:color w:val="auto"/>
        </w:rPr>
        <w:t xml:space="preserve"> </w:t>
      </w:r>
      <w:r>
        <w:rPr>
          <w:rFonts w:ascii="Arial" w:cs="Arial" w:eastAsia="Arial" w:hAnsi="Arial"/>
          <w:sz w:val="17"/>
          <w:szCs w:val="17"/>
          <w:color w:val="auto"/>
        </w:rPr>
        <w:t>terminals. We own and operate one market pipeline, the Plains Petroleum Transmission Company (“PPTC”) pipeline system, which has approximately 15,500 barrels per day of capacity. The pipeline extends from our Empress, Alberta fractionation facility to our Fort Whyte terminal in Winnipeg, Manitoba. The pipeline also delivers NGL to various terminals and rail loading facilities along the pipeline system.</w:t>
      </w:r>
    </w:p>
    <w:p>
      <w:pPr>
        <w:spacing w:after="0" w:line="19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i w:val="1"/>
          <w:iCs w:val="1"/>
          <w:color w:val="auto"/>
        </w:rPr>
        <w:t xml:space="preserve">Hub lines. </w:t>
      </w:r>
      <w:r>
        <w:rPr>
          <w:rFonts w:ascii="Arial" w:cs="Arial" w:eastAsia="Arial" w:hAnsi="Arial"/>
          <w:sz w:val="17"/>
          <w:szCs w:val="17"/>
          <w:color w:val="auto"/>
        </w:rPr>
        <w:t>Hub lines connect regional hub locations, such as processing assets to storage and petrochemical facilities. We own and operate hub</w:t>
      </w:r>
      <w:r>
        <w:rPr>
          <w:rFonts w:ascii="Arial" w:cs="Arial" w:eastAsia="Arial" w:hAnsi="Arial"/>
          <w:sz w:val="17"/>
          <w:szCs w:val="17"/>
          <w:i w:val="1"/>
          <w:iCs w:val="1"/>
          <w:color w:val="auto"/>
        </w:rPr>
        <w:t xml:space="preserve"> </w:t>
      </w:r>
      <w:r>
        <w:rPr>
          <w:rFonts w:ascii="Arial" w:cs="Arial" w:eastAsia="Arial" w:hAnsi="Arial"/>
          <w:sz w:val="17"/>
          <w:szCs w:val="17"/>
          <w:color w:val="auto"/>
        </w:rPr>
        <w:t>lines in eastern Canada with approximately 130,000 barrels per day of capacity that transport propane and butane from our Sarnia, Ontario fractionation facility to our St. Clair, Michigan and Windsor, Ontario storage, rail and truck terminals, as well as third-party locations, and ethane from the Kinder Morgan Utopia pipeline to Nova Chemicals’ Corunna petrochemical complex in Sarnia, Ontario.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52"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We generate revenue through a combination of month-to-month and multi-year agreements and processing arrangements.</w:t>
      </w:r>
    </w:p>
    <w:p>
      <w:pPr>
        <w:spacing w:after="0" w:line="19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Revenues generated in this segment include (i) storage and throughput fees at our crude oil, NGL and natural gas storage facilities, (ii) fees from natural gas and condensate processing services and from NGL fractionation and isomerization services and (iii) loading and unloading fees at our rail terminals.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2020, we owned, operated or employed a variety of long-term physical assets throughout the United States and Canada in this segment, including:</w:t>
      </w:r>
    </w:p>
    <w:p>
      <w:pPr>
        <w:spacing w:after="0" w:line="19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75 million barrels of crude oil storage capacity primarily at our terminalling and storage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28 million barrels of NGL storage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68 billion cubic feet (“Bcf”) of natural gas storage working gas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26 Bcf of owned base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five natural gas processing plants located throughout Canada and the Gulf Coast area of the United States;</w:t>
      </w:r>
    </w:p>
    <w:p>
      <w:pPr>
        <w:spacing w:after="0" w:line="117"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120,000 barrels per day;</w:t>
      </w:r>
    </w:p>
    <w:p>
      <w:pPr>
        <w:spacing w:after="0" w:line="62"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eight fractionation plants located throughout Canada and the United States with an aggregate net processing capacity of approximately 206,500 barrels per day, and an isomerization and fractionation facility in California with an aggregate processing capacity of approximately 15,000 barrels per day;</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22 crude oil and NGL rail terminals located throughout the United States and Canada;</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five marine facilities in the United States;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330 miles of active pipelines that support our facilities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contains a detailed description of our more significant Facilities segment assets.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Storage and Terminalling Facilities</w:t>
      </w:r>
    </w:p>
    <w:p>
      <w:pPr>
        <w:spacing w:after="0" w:line="24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largest crude oil terminals are located in key market hubs, including Cushing, Oklahoma, St. James, Louisiana, Midland, Texas and Patoka, Illinois, and have connectivity to all major inbound and outbound pipelines and other terminals at these hubs.</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are the largest provider of crude oil terminalling services in Cushing, Oklahoma, which is one of the largest physical trading hubs in the United States and is the delivery point for crude oil futures contracts traded on the NYMEX. Our Cushing Terminal has been designated by the NYMEX as an approved delivery location for crude oil delivered under the NYMEX light sweet crude oil futures contract.</w:t>
      </w:r>
    </w:p>
    <w:p>
      <w:pPr>
        <w:spacing w:after="0" w:line="211"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Our Cushing terminal is connected to our long-haul pipelines from the Permian Basin and Rocky Mountain regions, as well as to our Central region gathering pipelines. Additionally the terminal supplies crude oil to all four of our joint venture, Central region long-haul pipelines.</w:t>
      </w:r>
    </w:p>
    <w:p>
      <w:pPr>
        <w:spacing w:after="0" w:line="173"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Our Midland terminal has access to all of our Permian Basin gathering pipelines, either through direct connections, or through our intra-basin pipelines in the Permian Basin. Likewise, the terminal is also either directly connected, or connected through our intra-basin pipelines to all four of our Permian Basin long-haul pipelines.</w:t>
      </w:r>
    </w:p>
    <w:p>
      <w:pPr>
        <w:spacing w:after="0" w:line="21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terminals at Corpus Christi, Texas, St. James, Louisiana and Mobile, Alabama all have docks and the capacity to export crude oil. In addition, our St James terminal has a rail unload facility that can move crude from rail cars to pipelines that service local refiners, or to our dock for export.</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Patoka and St. James terminals are both connected to Capline pipeline, and the terminals will be a receipt and destination facility, respectively, once Capline is placed into service in 2022.</w:t>
      </w:r>
    </w:p>
    <w:p>
      <w:pPr>
        <w:spacing w:after="0" w:line="19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crude oil terminals have significant flexibility and operational capabilities, including large-scale multi-grade handling and segregation capabilities and multiple marine transportation loading and unloading capabilities. The table below presents our crude oil storage capacity by location as of December 31,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Crude Oil Storage Facilities</w:t>
            </w:r>
          </w:p>
        </w:tc>
        <w:tc>
          <w:tcPr>
            <w:tcW w:w="140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 Capacity</w:t>
            </w:r>
          </w:p>
        </w:tc>
        <w:tc>
          <w:tcPr>
            <w:tcW w:w="0" w:type="dxa"/>
            <w:vAlign w:val="bottom"/>
          </w:tcPr>
          <w:p>
            <w:pPr>
              <w:spacing w:after="0"/>
              <w:rPr>
                <w:sz w:val="1"/>
                <w:szCs w:val="1"/>
                <w:color w:val="auto"/>
              </w:rPr>
            </w:pPr>
          </w:p>
        </w:tc>
      </w:tr>
      <w:tr>
        <w:trPr>
          <w:trHeight w:val="188"/>
        </w:trPr>
        <w:tc>
          <w:tcPr>
            <w:tcW w:w="9800" w:type="dxa"/>
            <w:vAlign w:val="bottom"/>
            <w:gridSpan w:val="2"/>
            <w:vMerge w:val="continue"/>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(MMBbls)</w:t>
            </w:r>
          </w:p>
        </w:tc>
        <w:tc>
          <w:tcPr>
            <w:tcW w:w="0" w:type="dxa"/>
            <w:vAlign w:val="bottom"/>
          </w:tcPr>
          <w:p>
            <w:pPr>
              <w:spacing w:after="0"/>
              <w:rPr>
                <w:sz w:val="1"/>
                <w:szCs w:val="1"/>
                <w:color w:val="auto"/>
              </w:rPr>
            </w:pPr>
          </w:p>
        </w:tc>
      </w:tr>
      <w:tr>
        <w:trPr>
          <w:trHeight w:val="224"/>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Cushing</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i w:val="1"/>
                <w:iCs w:val="1"/>
                <w:color w:val="auto"/>
              </w:rPr>
              <w:t>St. James</w:t>
            </w: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Patoka</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i w:val="1"/>
                <w:iCs w:val="1"/>
                <w:color w:val="auto"/>
              </w:rPr>
              <w:t>Permian Basin Area</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Mobile and Ten Mile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800" w:type="dxa"/>
            <w:vAlign w:val="bottom"/>
            <w:gridSpan w:val="2"/>
          </w:tcPr>
          <w:p>
            <w:pPr>
              <w:ind w:left="20"/>
              <w:spacing w:after="0" w:line="230" w:lineRule="exact"/>
              <w:rPr>
                <w:sz w:val="20"/>
                <w:szCs w:val="20"/>
                <w:color w:val="auto"/>
              </w:rPr>
            </w:pPr>
            <w:r>
              <w:rPr>
                <w:rFonts w:ascii="Arial" w:cs="Arial" w:eastAsia="Arial" w:hAnsi="Arial"/>
                <w:sz w:val="18"/>
                <w:szCs w:val="18"/>
                <w:i w:val="1"/>
                <w:iCs w:val="1"/>
                <w:color w:val="auto"/>
              </w:rPr>
              <w:t xml:space="preserve">Corpus Christi </w:t>
            </w:r>
            <w:r>
              <w:rPr>
                <w:rFonts w:ascii="Arial" w:cs="Arial" w:eastAsia="Arial" w:hAnsi="Arial"/>
                <w:sz w:val="23"/>
                <w:szCs w:val="23"/>
                <w:i w:val="1"/>
                <w:iCs w:val="1"/>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8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23"/>
                <w:szCs w:val="23"/>
                <w:i w:val="1"/>
                <w:iCs w:val="1"/>
                <w:color w:val="auto"/>
                <w:vertAlign w:val="superscript"/>
              </w:rPr>
              <w:t>(2)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9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own 50% of this storage capacity through our investment in Eagle Ford Terminals Corpus Christi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Amount includes approximately 2 million barrels of storage capacity associated with our crude oil rail terminal operations.</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NGL Storage, Fractionation and Isomerization and Natural Gas Processing Facilities</w:t>
      </w:r>
    </w:p>
    <w:p>
      <w:pPr>
        <w:spacing w:after="0" w:line="25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have a large integrated network of NGL storage and fractionation and natural gas processing facilities throughout Canada, as well as NGL storage and fractionation facilities in the United States. The tables below present volumes and capacities for these facilities as of December 31, 2020 and our most significant assets are described further below.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NGL Storage Facilities</w:t>
            </w:r>
          </w:p>
        </w:tc>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177"/>
              <w:spacing w:after="0"/>
              <w:rPr>
                <w:sz w:val="20"/>
                <w:szCs w:val="20"/>
                <w:color w:val="auto"/>
              </w:rPr>
            </w:pPr>
            <w:r>
              <w:rPr>
                <w:rFonts w:ascii="Arial" w:cs="Arial" w:eastAsia="Arial" w:hAnsi="Arial"/>
                <w:sz w:val="14"/>
                <w:szCs w:val="14"/>
                <w:b w:val="1"/>
                <w:bCs w:val="1"/>
                <w:color w:val="auto"/>
              </w:rPr>
              <w:t>Total Capacity</w:t>
            </w:r>
          </w:p>
        </w:tc>
        <w:tc>
          <w:tcPr>
            <w:tcW w:w="0" w:type="dxa"/>
            <w:vAlign w:val="bottom"/>
          </w:tcPr>
          <w:p>
            <w:pPr>
              <w:spacing w:after="0"/>
              <w:rPr>
                <w:sz w:val="1"/>
                <w:szCs w:val="1"/>
                <w:color w:val="auto"/>
              </w:rPr>
            </w:pPr>
          </w:p>
        </w:tc>
      </w:tr>
      <w:tr>
        <w:trPr>
          <w:trHeight w:val="188"/>
        </w:trPr>
        <w:tc>
          <w:tcPr>
            <w:tcW w:w="60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(MMBbls)</w:t>
            </w:r>
          </w:p>
        </w:tc>
        <w:tc>
          <w:tcPr>
            <w:tcW w:w="0" w:type="dxa"/>
            <w:vAlign w:val="bottom"/>
          </w:tcPr>
          <w:p>
            <w:pPr>
              <w:spacing w:after="0"/>
              <w:rPr>
                <w:sz w:val="1"/>
                <w:szCs w:val="1"/>
                <w:color w:val="auto"/>
              </w:rPr>
            </w:pPr>
          </w:p>
        </w:tc>
      </w:tr>
      <w:tr>
        <w:trPr>
          <w:trHeight w:val="224"/>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Fort Saskatchewan</w:t>
            </w:r>
          </w:p>
        </w:tc>
        <w:tc>
          <w:tcPr>
            <w:tcW w:w="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040" w:type="dxa"/>
            <w:vAlign w:val="bottom"/>
            <w:gridSpan w:val="3"/>
          </w:tcPr>
          <w:p>
            <w:pPr>
              <w:ind w:left="20"/>
              <w:spacing w:after="0"/>
              <w:rPr>
                <w:sz w:val="20"/>
                <w:szCs w:val="20"/>
                <w:color w:val="auto"/>
              </w:rPr>
            </w:pPr>
            <w:r>
              <w:rPr>
                <w:rFonts w:ascii="Arial" w:cs="Arial" w:eastAsia="Arial" w:hAnsi="Arial"/>
                <w:sz w:val="18"/>
                <w:szCs w:val="18"/>
                <w:i w:val="1"/>
                <w:iCs w:val="1"/>
                <w:color w:val="auto"/>
              </w:rPr>
              <w:t>Sarnia Area</w:t>
            </w:r>
          </w:p>
        </w:tc>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Empress Area</w:t>
            </w:r>
          </w:p>
        </w:tc>
        <w:tc>
          <w:tcPr>
            <w:tcW w:w="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i w:val="1"/>
                <w:iCs w:val="1"/>
                <w:color w:val="auto"/>
              </w:rPr>
              <w:t>Other</w:t>
            </w:r>
          </w:p>
        </w:tc>
        <w:tc>
          <w:tcPr>
            <w:tcW w:w="2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6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20" w:type="dxa"/>
            <w:vAlign w:val="bottom"/>
          </w:tcPr>
          <w:p>
            <w:pPr>
              <w:spacing w:after="0"/>
              <w:rPr>
                <w:sz w:val="11"/>
                <w:szCs w:val="11"/>
                <w:color w:val="auto"/>
              </w:rPr>
            </w:pPr>
          </w:p>
        </w:tc>
        <w:tc>
          <w:tcPr>
            <w:tcW w:w="19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Ownership Interest</w:t>
            </w:r>
          </w:p>
        </w:tc>
        <w:tc>
          <w:tcPr>
            <w:tcW w:w="20" w:type="dxa"/>
            <w:vAlign w:val="bottom"/>
          </w:tcPr>
          <w:p>
            <w:pPr>
              <w:spacing w:after="0"/>
              <w:rPr>
                <w:sz w:val="11"/>
                <w:szCs w:val="11"/>
                <w:color w:val="auto"/>
              </w:rPr>
            </w:pPr>
          </w:p>
        </w:tc>
        <w:tc>
          <w:tcPr>
            <w:tcW w:w="1740" w:type="dxa"/>
            <w:vAlign w:val="bottom"/>
            <w:gridSpan w:val="4"/>
          </w:tcPr>
          <w:p>
            <w:pPr>
              <w:jc w:val="center"/>
              <w:ind w:right="260"/>
              <w:spacing w:after="0" w:line="135" w:lineRule="exact"/>
              <w:rPr>
                <w:sz w:val="20"/>
                <w:szCs w:val="20"/>
                <w:color w:val="auto"/>
              </w:rPr>
            </w:pPr>
            <w:r>
              <w:rPr>
                <w:rFonts w:ascii="Arial" w:cs="Arial" w:eastAsia="Arial" w:hAnsi="Arial"/>
                <w:sz w:val="12"/>
                <w:szCs w:val="12"/>
                <w:b w:val="1"/>
                <w:bCs w:val="1"/>
                <w:color w:val="auto"/>
              </w:rPr>
              <w:t xml:space="preserve">Spec Product </w:t>
            </w:r>
            <w:r>
              <w:rPr>
                <w:rFonts w:ascii="Arial" w:cs="Arial" w:eastAsia="Arial" w:hAnsi="Arial"/>
                <w:sz w:val="15"/>
                <w:szCs w:val="15"/>
                <w:b w:val="1"/>
                <w:bCs w:val="1"/>
                <w:color w:val="auto"/>
                <w:vertAlign w:val="superscript"/>
              </w:rPr>
              <w:t>(1)</w:t>
            </w:r>
          </w:p>
        </w:tc>
        <w:tc>
          <w:tcPr>
            <w:tcW w:w="140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88"/>
        </w:trPr>
        <w:tc>
          <w:tcPr>
            <w:tcW w:w="6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(Bbls/d)</w:t>
            </w:r>
          </w:p>
        </w:tc>
        <w:tc>
          <w:tcPr>
            <w:tcW w:w="14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24"/>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Empress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8"/>
                <w:szCs w:val="18"/>
                <w:color w:val="auto"/>
              </w:rPr>
              <w:t>19,300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0" w:type="dxa"/>
            <w:vAlign w:val="bottom"/>
          </w:tcPr>
          <w:p>
            <w:pPr>
              <w:spacing w:after="0"/>
              <w:rPr>
                <w:sz w:val="1"/>
                <w:szCs w:val="1"/>
                <w:color w:val="auto"/>
              </w:rPr>
            </w:pPr>
          </w:p>
        </w:tc>
      </w:tr>
      <w:tr>
        <w:trPr>
          <w:trHeight w:val="229"/>
        </w:trPr>
        <w:tc>
          <w:tcPr>
            <w:tcW w:w="6040" w:type="dxa"/>
            <w:vAlign w:val="bottom"/>
            <w:gridSpan w:val="3"/>
          </w:tcPr>
          <w:p>
            <w:pPr>
              <w:ind w:left="20"/>
              <w:spacing w:after="0"/>
              <w:rPr>
                <w:sz w:val="20"/>
                <w:szCs w:val="20"/>
                <w:color w:val="auto"/>
              </w:rPr>
            </w:pPr>
            <w:r>
              <w:rPr>
                <w:rFonts w:ascii="Arial" w:cs="Arial" w:eastAsia="Arial" w:hAnsi="Arial"/>
                <w:sz w:val="18"/>
                <w:szCs w:val="18"/>
                <w:i w:val="1"/>
                <w:iCs w:val="1"/>
                <w:color w:val="auto"/>
              </w:rPr>
              <w:t>Fort Saskatchewan</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21-100%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6"/>
              <w:spacing w:after="0"/>
              <w:rPr>
                <w:sz w:val="20"/>
                <w:szCs w:val="20"/>
                <w:color w:val="auto"/>
              </w:rPr>
            </w:pPr>
            <w:r>
              <w:rPr>
                <w:rFonts w:ascii="Arial" w:cs="Arial" w:eastAsia="Arial" w:hAnsi="Arial"/>
                <w:sz w:val="18"/>
                <w:szCs w:val="18"/>
                <w:color w:val="auto"/>
              </w:rPr>
              <w:t>49,100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68,100</w:t>
            </w:r>
          </w:p>
        </w:tc>
        <w:tc>
          <w:tcPr>
            <w:tcW w:w="0" w:type="dxa"/>
            <w:vAlign w:val="bottom"/>
          </w:tcPr>
          <w:p>
            <w:pPr>
              <w:spacing w:after="0"/>
              <w:rPr>
                <w:sz w:val="1"/>
                <w:szCs w:val="1"/>
                <w:color w:val="auto"/>
              </w:rPr>
            </w:pPr>
          </w:p>
        </w:tc>
      </w:tr>
      <w:tr>
        <w:trPr>
          <w:trHeight w:val="229"/>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Sarnia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47,200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i w:val="1"/>
                <w:iCs w:val="1"/>
                <w:color w:val="auto"/>
              </w:rPr>
              <w:t>Other</w:t>
            </w:r>
          </w:p>
        </w:tc>
        <w:tc>
          <w:tcPr>
            <w:tcW w:w="1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82-100%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8"/>
                <w:szCs w:val="18"/>
                <w:color w:val="auto"/>
              </w:rPr>
              <w:t>128,800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221,500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Total Gas</w:t>
            </w:r>
          </w:p>
        </w:tc>
        <w:tc>
          <w:tcPr>
            <w:tcW w:w="140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Gas</w:t>
            </w: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140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87"/>
              </w:rPr>
              <w:t>Processing</w:t>
            </w:r>
          </w:p>
        </w:tc>
        <w:tc>
          <w:tcPr>
            <w:tcW w:w="0" w:type="dxa"/>
            <w:vAlign w:val="bottom"/>
          </w:tcPr>
          <w:p>
            <w:pPr>
              <w:spacing w:after="0"/>
              <w:rPr>
                <w:sz w:val="1"/>
                <w:szCs w:val="1"/>
                <w:color w:val="auto"/>
              </w:rPr>
            </w:pPr>
          </w:p>
        </w:tc>
      </w:tr>
      <w:tr>
        <w:trPr>
          <w:trHeight w:val="135"/>
        </w:trPr>
        <w:tc>
          <w:tcPr>
            <w:tcW w:w="6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18"/>
                <w:szCs w:val="18"/>
                <w:b w:val="1"/>
                <w:bCs w:val="1"/>
                <w:color w:val="auto"/>
                <w:vertAlign w:val="superscript"/>
              </w:rPr>
              <w:t>(2)</w:t>
            </w:r>
          </w:p>
        </w:tc>
        <w:tc>
          <w:tcPr>
            <w:tcW w:w="20" w:type="dxa"/>
            <w:vAlign w:val="bottom"/>
          </w:tcPr>
          <w:p>
            <w:pPr>
              <w:spacing w:after="0"/>
              <w:rPr>
                <w:sz w:val="11"/>
                <w:szCs w:val="11"/>
                <w:color w:val="auto"/>
              </w:rPr>
            </w:pPr>
          </w:p>
        </w:tc>
        <w:tc>
          <w:tcPr>
            <w:tcW w:w="19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Ownership Interest</w:t>
            </w:r>
          </w:p>
        </w:tc>
        <w:tc>
          <w:tcPr>
            <w:tcW w:w="20" w:type="dxa"/>
            <w:vAlign w:val="bottom"/>
          </w:tcPr>
          <w:p>
            <w:pPr>
              <w:spacing w:after="0"/>
              <w:rPr>
                <w:sz w:val="11"/>
                <w:szCs w:val="11"/>
                <w:color w:val="auto"/>
              </w:rPr>
            </w:pPr>
          </w:p>
        </w:tc>
        <w:tc>
          <w:tcPr>
            <w:tcW w:w="1740" w:type="dxa"/>
            <w:vAlign w:val="bottom"/>
            <w:gridSpan w:val="4"/>
          </w:tcPr>
          <w:p>
            <w:pPr>
              <w:jc w:val="center"/>
              <w:ind w:right="260"/>
              <w:spacing w:after="0" w:line="135" w:lineRule="exact"/>
              <w:rPr>
                <w:sz w:val="20"/>
                <w:szCs w:val="20"/>
                <w:color w:val="auto"/>
              </w:rPr>
            </w:pPr>
            <w:r>
              <w:rPr>
                <w:rFonts w:ascii="Arial" w:cs="Arial" w:eastAsia="Arial" w:hAnsi="Arial"/>
                <w:sz w:val="12"/>
                <w:szCs w:val="12"/>
                <w:b w:val="1"/>
                <w:bCs w:val="1"/>
                <w:color w:val="auto"/>
              </w:rPr>
              <w:t xml:space="preserve">Spec Product </w:t>
            </w:r>
            <w:r>
              <w:rPr>
                <w:rFonts w:ascii="Arial" w:cs="Arial" w:eastAsia="Arial" w:hAnsi="Arial"/>
                <w:sz w:val="15"/>
                <w:szCs w:val="15"/>
                <w:b w:val="1"/>
                <w:bCs w:val="1"/>
                <w:color w:val="auto"/>
                <w:vertAlign w:val="superscript"/>
              </w:rPr>
              <w:t>(1)</w:t>
            </w:r>
          </w:p>
        </w:tc>
        <w:tc>
          <w:tcPr>
            <w:tcW w:w="14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89"/>
        </w:trPr>
        <w:tc>
          <w:tcPr>
            <w:tcW w:w="6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(Bcf/d)</w:t>
            </w:r>
          </w:p>
        </w:tc>
        <w:tc>
          <w:tcPr>
            <w:tcW w:w="14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(Bcf/d)</w:t>
            </w:r>
          </w:p>
        </w:tc>
        <w:tc>
          <w:tcPr>
            <w:tcW w:w="0" w:type="dxa"/>
            <w:vAlign w:val="bottom"/>
          </w:tcPr>
          <w:p>
            <w:pPr>
              <w:spacing w:after="0"/>
              <w:rPr>
                <w:sz w:val="1"/>
                <w:szCs w:val="1"/>
                <w:color w:val="auto"/>
              </w:rPr>
            </w:pPr>
          </w:p>
        </w:tc>
      </w:tr>
      <w:tr>
        <w:trPr>
          <w:trHeight w:val="223"/>
        </w:trPr>
        <w:tc>
          <w:tcPr>
            <w:tcW w:w="5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United States Gulf Coast Area</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6040" w:type="dxa"/>
            <w:vAlign w:val="bottom"/>
            <w:gridSpan w:val="3"/>
          </w:tcPr>
          <w:p>
            <w:pPr>
              <w:ind w:left="20"/>
              <w:spacing w:after="0"/>
              <w:rPr>
                <w:sz w:val="20"/>
                <w:szCs w:val="20"/>
                <w:color w:val="auto"/>
              </w:rPr>
            </w:pPr>
            <w:r>
              <w:rPr>
                <w:rFonts w:ascii="Arial" w:cs="Arial" w:eastAsia="Arial" w:hAnsi="Arial"/>
                <w:sz w:val="18"/>
                <w:szCs w:val="18"/>
                <w:i w:val="1"/>
                <w:iCs w:val="1"/>
                <w:color w:val="auto"/>
              </w:rPr>
              <w:t>Empress Area</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50-88%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Represents average volumes net to our share for the entire year.</w:t>
      </w:r>
    </w:p>
    <w:p>
      <w:pPr>
        <w:spacing w:after="0" w:line="117" w:lineRule="exact"/>
        <w:rPr>
          <w:sz w:val="20"/>
          <w:szCs w:val="20"/>
          <w:color w:val="auto"/>
        </w:rPr>
      </w:pPr>
    </w:p>
    <w:p>
      <w:pPr>
        <w:ind w:left="20" w:right="440" w:hanging="11"/>
        <w:spacing w:after="0" w:line="277" w:lineRule="auto"/>
        <w:rPr>
          <w:sz w:val="20"/>
          <w:szCs w:val="20"/>
          <w:color w:val="auto"/>
        </w:rPr>
      </w:pPr>
      <w:r>
        <w:rPr>
          <w:rFonts w:ascii="Arial" w:cs="Arial" w:eastAsia="Arial" w:hAnsi="Arial"/>
          <w:sz w:val="18"/>
          <w:szCs w:val="18"/>
          <w:color w:val="auto"/>
        </w:rPr>
        <w:t>While natural gas processing volumes are presented, they are not indicative of revenues generated by these assets as fees associated with our natural gas processing activities are generally fixed.</w:t>
      </w:r>
    </w:p>
    <w:p>
      <w:pPr>
        <w:spacing w:after="0" w:line="200" w:lineRule="exact"/>
        <w:rPr>
          <w:sz w:val="20"/>
          <w:szCs w:val="20"/>
          <w:color w:val="auto"/>
        </w:rPr>
      </w:pPr>
    </w:p>
    <w:p>
      <w:pPr>
        <w:sectPr>
          <w:pgSz w:w="11900" w:h="16838" w:orient="portrait"/>
          <w:cols w:equalWidth="0" w:num="2">
            <w:col w:w="140" w:space="500"/>
            <w:col w:w="10560"/>
          </w:cols>
          <w:pgMar w:left="320" w:top="130" w:right="379" w:bottom="1440" w:gutter="0" w:footer="0" w:header="0"/>
          <w:type w:val="continuous"/>
        </w:sectPr>
      </w:pPr>
    </w:p>
    <w:p>
      <w:pPr>
        <w:spacing w:after="0" w:line="10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Fort Saskatchewan. </w:t>
      </w:r>
      <w:r>
        <w:rPr>
          <w:rFonts w:ascii="Arial" w:cs="Arial" w:eastAsia="Arial" w:hAnsi="Arial"/>
          <w:sz w:val="17"/>
          <w:szCs w:val="17"/>
          <w:color w:val="auto"/>
        </w:rPr>
        <w:t>The Fort Saskatchewan facility is located near Edmonton, Alberta in one of the key North American NGL hubs. The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is a receipt, storage, fractionation and delivery facility for NGL and is connected to other major NGL plants and pipeline systems in the area. The facility’s primary assets include 28 storage caverns. The facility includes assets operated by us and assets operated by a third party. Our ownership in the various facility assets ranges from approximately 21% to 100%. Our Fort Saskatchewan fractionation facility has a design capacity of 85,000 barrels per day and is able to produce up to approximately 50,000 barrels per day of spec propane, butane and condensate. The remaining capacity is used to produce a propane and butane mix, which is sent to our Sarnia facility for further fractionation. Through our 21% ownership in the Keyera Fort Saskatchewan fractionation plant, we have additional fractionation capacity of approximately 17,300 barrels per day.</w:t>
      </w:r>
    </w:p>
    <w:p>
      <w:pPr>
        <w:spacing w:after="0" w:line="20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Sarnia Area. </w:t>
      </w:r>
      <w:r>
        <w:rPr>
          <w:rFonts w:ascii="Arial" w:cs="Arial" w:eastAsia="Arial" w:hAnsi="Arial"/>
          <w:sz w:val="17"/>
          <w:szCs w:val="17"/>
          <w:color w:val="auto"/>
        </w:rPr>
        <w:t>Our Sarnia Area facilities in Southwestern Ontario consist of (i) our Sarnia facility, (ii) our Windsor storage terminal and (iii) our St.</w:t>
      </w:r>
      <w:r>
        <w:rPr>
          <w:rFonts w:ascii="Arial" w:cs="Arial" w:eastAsia="Arial" w:hAnsi="Arial"/>
          <w:sz w:val="17"/>
          <w:szCs w:val="17"/>
          <w:i w:val="1"/>
          <w:iCs w:val="1"/>
          <w:color w:val="auto"/>
        </w:rPr>
        <w:t xml:space="preserve"> </w:t>
      </w:r>
      <w:r>
        <w:rPr>
          <w:rFonts w:ascii="Arial" w:cs="Arial" w:eastAsia="Arial" w:hAnsi="Arial"/>
          <w:sz w:val="17"/>
          <w:szCs w:val="17"/>
          <w:color w:val="auto"/>
        </w:rPr>
        <w:t>Clair, Michigan terminal. The Sarnia facility is a large NGL fractionation and storage facility located in the Sarnia Chemical Valley that contains multiple rail and truck loading spots. The Sarnia Area facilities are served by a network of multiple pipelines connected to various refineries, chemical plants and other pipeline systems in the area. This pipeline network also delivers product between our Sarnia facility and our Windsor storage terminal in addition to the delivery capability from our Sarnia facility to our St. Clair terminal. The Sarnia Fractionator is the largest fractionation plant in Eastern Canada and receives NGL feedstock primarily from the Enbridge pipeline system. The fractionation unit is able to produce approximately 120,000 barrels per day of spec NGL products. Our ownership in the various processing units at the Sarnia Fractionator ranges from 62% to 84%.</w:t>
      </w:r>
    </w:p>
    <w:p>
      <w:pPr>
        <w:spacing w:after="0" w:line="20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Empress Area. </w:t>
      </w:r>
      <w:r>
        <w:rPr>
          <w:rFonts w:ascii="Arial" w:cs="Arial" w:eastAsia="Arial" w:hAnsi="Arial"/>
          <w:sz w:val="17"/>
          <w:szCs w:val="17"/>
          <w:color w:val="auto"/>
        </w:rPr>
        <w:t>We own and/or operate four straddle plants located in the Empress Area, capable of processing up to 6.0 Bcf of natural gas per day,</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supply available to these plants are typically in the 2.5 to 3.5 Bcf per day range. These plants produce approximately 30,000 to 40,000 barrels per day of NGL which can be fractionated at either our Empress or Sarnia fractionators. Our Empress fractionation facility is capable of processing and producing up to 23,300 barrels per day of spec NGL products and is connected to our PPTC pipeline system.</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have a long-term liquids supply and profit sharing contract with a third-party owned straddle plant, near Cochrane, Alberta, with gross</w:t>
      </w:r>
      <w:r>
        <w:rPr>
          <w:rFonts w:ascii="Arial" w:cs="Arial" w:eastAsia="Arial" w:hAnsi="Arial"/>
          <w:sz w:val="17"/>
          <w:szCs w:val="17"/>
          <w:i w:val="1"/>
          <w:iCs w:val="1"/>
          <w:color w:val="auto"/>
        </w:rPr>
        <w:t xml:space="preserve"> </w:t>
      </w:r>
      <w:r>
        <w:rPr>
          <w:rFonts w:ascii="Arial" w:cs="Arial" w:eastAsia="Arial" w:hAnsi="Arial"/>
          <w:sz w:val="17"/>
          <w:szCs w:val="17"/>
          <w:color w:val="auto"/>
        </w:rPr>
        <w:t>processing capacity of approximately 2.5 Bcf per day. NGL produced from this facility are transported on our Co-Ed pipeline system to our Fort Saskatchewan area assets, and then to our Sarnia fractionator via the Enbridge pipeline system. In addition, we own a facility located near Bakersfield, California that provides approximately 15,000 barrels per day of isomerization and fractionation services to producers and customers.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own two natural gas storage facilities with an aggregate commercial working gas capacity of approximately 68 Bcf in service as of December 31, 2020. Our natural gas storage facilities are strategically located within the Gulf Coast market and have a diverse group of customers, including liquefied natural gas (“LNG”) exporters, utilities, pipelines, producers, power generators and marketers whose storage needs vary from traditional seasonal storage services to hourly balancing. We are located near several major market hubs and our facilities have multiple physical interconnects with third-party interstate pipelines, intrastate pipelines and direct connect customers, serving markets in the Gulf Coast, Mid-Atlantic, Northeast, and Southeast regions of the United States.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Gardendale condensate processing facility is located in La Salle County, Texas. The facility stabilizes condensate that is primarily sourced from our Eagle Ford area gathering systems. The NGL extracted at this facility is delivered to a third-party pipeline that delivers the NGL to Mont Belvieu, Texas. The facility has a total processing capacity of 120,000 barrels per day and usable storage capacity of 160,000 barrels. Throughput at the Gardendale processing facility is supplied by long-term commitments from producers.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Rail Facilities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own crude oil rail loading facilities located at or near Carr, Colorado; Tampa, Colorado; Manitou, North Dakota; and Kerrobert, Saskatchewan. We own crude oil rail unloading facilities in St. James, Louisiana, Yorktown, Virginia and Bakersfield, California. The table below presents aggregate loading and unloading capacity for these facilities as of December 31,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Loading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Unloading</w:t>
            </w: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20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Ownership Interest</w:t>
            </w: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Capacity</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Capacity</w:t>
            </w:r>
          </w:p>
        </w:tc>
        <w:tc>
          <w:tcPr>
            <w:tcW w:w="0" w:type="dxa"/>
            <w:vAlign w:val="bottom"/>
          </w:tcPr>
          <w:p>
            <w:pPr>
              <w:spacing w:after="0"/>
              <w:rPr>
                <w:sz w:val="1"/>
                <w:szCs w:val="1"/>
                <w:color w:val="auto"/>
              </w:rPr>
            </w:pPr>
          </w:p>
        </w:tc>
      </w:tr>
      <w:tr>
        <w:trPr>
          <w:trHeight w:val="188"/>
        </w:trPr>
        <w:tc>
          <w:tcPr>
            <w:tcW w:w="60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(Bbls/d)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(Bbls/d)</w:t>
            </w:r>
          </w:p>
        </w:tc>
        <w:tc>
          <w:tcPr>
            <w:tcW w:w="0" w:type="dxa"/>
            <w:vAlign w:val="bottom"/>
          </w:tcPr>
          <w:p>
            <w:pPr>
              <w:spacing w:after="0"/>
              <w:rPr>
                <w:sz w:val="1"/>
                <w:szCs w:val="1"/>
                <w:color w:val="auto"/>
              </w:rPr>
            </w:pPr>
          </w:p>
        </w:tc>
      </w:tr>
      <w:tr>
        <w:trPr>
          <w:trHeight w:val="224"/>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Crude Oil Rail Facilities</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264,000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Rail Facilities</w:t>
      </w:r>
    </w:p>
    <w:p>
      <w:pPr>
        <w:spacing w:after="0" w:line="256"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We own 18 operational NGL rail facilities (including our Fort Saskatchewan rail facility, as well as facilities that can provide both crude oil and NGL service) strategically located near our NGL facilities as well as third-party distribution centers throughout Canada and the United States. Our NGL rail terminals are predominately utilized for internal purposes specifically for our supply and logistics activities. See our “Supply and Logistics Segment” discussion following this section for further discussion regarding the use of our rail terminals. The table below presents additional information regarding our NGL rail facilities as of 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Ownership Interest</w:t>
            </w:r>
          </w:p>
        </w:tc>
        <w:tc>
          <w:tcPr>
            <w:tcW w:w="1140" w:type="dxa"/>
            <w:vAlign w:val="bottom"/>
          </w:tcPr>
          <w:p>
            <w:pPr>
              <w:ind w:left="440"/>
              <w:spacing w:after="0"/>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8"/>
        </w:trPr>
        <w:tc>
          <w:tcPr>
            <w:tcW w:w="614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w w:val="91"/>
              </w:rPr>
              <w:t>Rack Spots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Storage Spots</w:t>
            </w:r>
          </w:p>
        </w:tc>
        <w:tc>
          <w:tcPr>
            <w:tcW w:w="0" w:type="dxa"/>
            <w:vAlign w:val="bottom"/>
          </w:tcPr>
          <w:p>
            <w:pPr>
              <w:spacing w:after="0"/>
              <w:rPr>
                <w:sz w:val="1"/>
                <w:szCs w:val="1"/>
                <w:color w:val="auto"/>
              </w:rPr>
            </w:pPr>
          </w:p>
        </w:tc>
      </w:tr>
      <w:tr>
        <w:trPr>
          <w:trHeight w:val="224"/>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NGL Rail Facilities</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284</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Supply and Logistics segment activities include the purchase, logistics and resale of crude oil and NGL in North America. Through these transactions, we seek to maintain a position that is substantially balanced between purchases and sales and future delivery obligations. The segment owns a significant volume of crude oil and NGL required to conduct our commercial activities. The crude oil and NGL used to support our ongoing commercial activities is classified as long-term assets and linefill or minimum inventory requirements. A summary of the assets employed to support our commercial activities, December 31, 2020, include approximately:</w:t>
      </w:r>
    </w:p>
    <w:p>
      <w:pPr>
        <w:spacing w:after="0" w:line="21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 million barrels of crude oil and NGL linefill in pipelines owned by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4 million barrels of crude oil and NGL utilized as linefill in pipelines owned by third parties or otherwise required as long-term inventory;</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680 trucks and 840 trailers;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6,000 crude oil and NGL railcars.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crude oil activities generally include the purchase of crude oil at the wellhead or at central tank batteries typically owned by the crude oil producer. We may also purchase crude oil at market hubs, such as our Cushing terminal, or in-transit in a pipeline. We typically transport our crude oil supply to market hub locations, or directly to refiners using our pipeline or trucking assets and, to a lesser extent, pipelines owned by third parties. We may also optimize the value of our supply by executing exchanges with third parties, where we may exchange qualities of crude oil or the location of our crude oil, and we would either pay or receive a fee for the differential in value for the quality or location of the crude oil. We may use derivative instruments such as the NYMEX futures market to hedge our exposure to crude oil prices. We also hedge the currency differential between the U.S. and Canadian dollar for crude oil purchased on a Canadian dollar basis and sold on a U.S. dollar basis.</w:t>
      </w:r>
    </w:p>
    <w:p>
      <w:pPr>
        <w:spacing w:after="0" w:line="20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crude oil supplies are typically sold to refiners, crude oil exporters, traders or other market participants. All crude oil sales arrangements are subject to credit approval. In certain circumstances, where the market value for prompt deliveries of crude oil is discounted to the value for deferred delivery (such conditions are referred to as a “Contango Market”) we may store crude oil in tanks included in our Facilities or Transportation segments and use a NYMEX futures contract to hedge the value of the stored crude oil.</w:t>
      </w:r>
    </w:p>
    <w:p>
      <w:pPr>
        <w:spacing w:after="0" w:line="21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NGL activities include the purchase of both NGL and the spec components propane and butane (“spec products”). Our NGL supply is typically sourced at our Empress facility, where we acquire the rights to extract NGL from producers and/or shippers of the gas streams that pass through our Empress facility. The extraction rights that we acquire allow us to process that gas at our Empress facility and extract the higher valued NGL from the gas stream. We then purchase natural gas to replace the thermal content attributable to the NGL that was extracted. Our NGL supply at Empress is then either fractionated into spec products at our Empress fractionator, or transported on a third-party pipeline and fractionated into spec products at our Sarnia fractionator. Often times we will use derivative instruments to hedge the differential between natural gas prices and the spec product prices to ensure that we are able to extract and fractionate NGL, and deliver spec products to markets at a profitable margin.</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acquire spec products from third parties. The majority of the spec products we purchase are at the end (“tailgate”) of our Fort Saskatchewan fractionator; however, we may also purchase butane from refiners and propane and/or butane from third-party processors. Some of the spec product we purchase at Fort Saskatchewan is combined into a propane/butane mix and transported on a third-party pipeline to our Sarnia fractionator. The spec products that we own are transported by pipeline, rail or truck and either delivered to one of our storage facilities, or delivered and sold to a third party. Similar to our crude oil activities, spec products may be profitably stored when there is a Contango Market. The value of the stored product is hedged using various derivative instruments.</w:t>
      </w:r>
    </w:p>
    <w:p>
      <w:pPr>
        <w:spacing w:after="0" w:line="21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i w:val="1"/>
          <w:iCs w:val="1"/>
          <w:color w:val="auto"/>
        </w:rPr>
        <w:t xml:space="preserve">Credit. </w:t>
      </w:r>
      <w:r>
        <w:rPr>
          <w:rFonts w:ascii="Arial" w:cs="Arial" w:eastAsia="Arial" w:hAnsi="Arial"/>
          <w:sz w:val="16"/>
          <w:szCs w:val="16"/>
          <w:color w:val="auto"/>
        </w:rPr>
        <w:t>Our supply and logistics activities require significant extensions of credit by our suppliers. In order to assure our ability to perform our</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When we sell crude oil and NGL, we must determine the amount, if any, of credit to be extended to any given customer. Because our typical sales transactions can involve large volumes of crude oil, the risk of nonpayment and nonperformance by customers is a major consideration in our business. We believe our sales are made to creditworthy entities or entities with adequate credit support. 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 See Note 3 to our Consolidated Financial Statements for further discussion of our credit review process and risk management procedures.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80" w:type="dxa"/>
            <w:vAlign w:val="bottom"/>
          </w:tcPr>
          <w:p>
            <w:pPr>
              <w:jc w:val="right"/>
              <w:ind w:right="437"/>
              <w:spacing w:after="0"/>
              <w:rPr>
                <w:sz w:val="20"/>
                <w:szCs w:val="20"/>
                <w:color w:val="auto"/>
              </w:rPr>
            </w:pPr>
            <w:r>
              <w:rPr>
                <w:rFonts w:ascii="Arial" w:cs="Arial" w:eastAsia="Arial" w:hAnsi="Arial"/>
                <w:sz w:val="14"/>
                <w:szCs w:val="14"/>
                <w:b w:val="1"/>
                <w:bCs w:val="1"/>
                <w:color w:val="auto"/>
              </w:rPr>
              <w:t>Volumes</w:t>
            </w:r>
          </w:p>
        </w:tc>
        <w:tc>
          <w:tcPr>
            <w:tcW w:w="0" w:type="dxa"/>
            <w:vAlign w:val="bottom"/>
          </w:tcPr>
          <w:p>
            <w:pPr>
              <w:spacing w:after="0"/>
              <w:rPr>
                <w:sz w:val="1"/>
                <w:szCs w:val="1"/>
                <w:color w:val="auto"/>
              </w:rPr>
            </w:pPr>
          </w:p>
        </w:tc>
      </w:tr>
      <w:tr>
        <w:trPr>
          <w:trHeight w:val="188"/>
        </w:trPr>
        <w:tc>
          <w:tcPr>
            <w:tcW w:w="14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(MBbls/d)</w:t>
            </w:r>
          </w:p>
        </w:tc>
        <w:tc>
          <w:tcPr>
            <w:tcW w:w="0" w:type="dxa"/>
            <w:vAlign w:val="bottom"/>
          </w:tcPr>
          <w:p>
            <w:pPr>
              <w:spacing w:after="0"/>
              <w:rPr>
                <w:sz w:val="1"/>
                <w:szCs w:val="1"/>
                <w:color w:val="auto"/>
              </w:rPr>
            </w:pPr>
          </w:p>
        </w:tc>
      </w:tr>
      <w:tr>
        <w:trPr>
          <w:trHeight w:val="224"/>
        </w:trPr>
        <w:tc>
          <w:tcPr>
            <w:tcW w:w="9640" w:type="dxa"/>
            <w:vAlign w:val="bottom"/>
            <w:gridSpan w:val="3"/>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9"/>
        </w:trPr>
        <w:tc>
          <w:tcPr>
            <w:tcW w:w="96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NGL sales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8"/>
        </w:trPr>
        <w:tc>
          <w:tcPr>
            <w:tcW w:w="140" w:type="dxa"/>
            <w:vAlign w:val="bottom"/>
            <w:tcBorders>
              <w:bottom w:val="single" w:sz="8" w:color="CCEEFF"/>
            </w:tcBorders>
            <w:shd w:val="clear" w:color="auto" w:fill="CCEEFF"/>
          </w:tcPr>
          <w:p>
            <w:pPr>
              <w:spacing w:after="0"/>
              <w:rPr>
                <w:sz w:val="21"/>
                <w:szCs w:val="21"/>
                <w:color w:val="auto"/>
              </w:rPr>
            </w:pPr>
          </w:p>
        </w:tc>
        <w:tc>
          <w:tcPr>
            <w:tcW w:w="9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Supply and Logistics segment total volumes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r>
              <w:rPr>
                <w:rFonts w:ascii="Arial" w:cs="Arial" w:eastAsia="Arial" w:hAnsi="Arial"/>
                <w:sz w:val="12"/>
                <w:szCs w:val="12"/>
                <w:color w:val="auto"/>
                <w:w w:val="81"/>
              </w:rPr>
              <w:t>(1)</w:t>
            </w:r>
          </w:p>
        </w:tc>
        <w:tc>
          <w:tcPr>
            <w:tcW w:w="9500" w:type="dxa"/>
            <w:vAlign w:val="bottom"/>
            <w:gridSpan w:val="2"/>
            <w:vMerge w:val="restart"/>
          </w:tcPr>
          <w:p>
            <w:pPr>
              <w:ind w:left="500"/>
              <w:spacing w:after="0"/>
              <w:rPr>
                <w:sz w:val="20"/>
                <w:szCs w:val="20"/>
                <w:color w:val="auto"/>
              </w:rPr>
            </w:pPr>
            <w:r>
              <w:rPr>
                <w:rFonts w:ascii="Arial" w:cs="Arial" w:eastAsia="Arial" w:hAnsi="Arial"/>
                <w:sz w:val="18"/>
                <w:szCs w:val="18"/>
                <w:color w:val="auto"/>
              </w:rPr>
              <w:t>Of this amount, approximately 862 MBbls/d were purchased in the Permian Basin.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40" w:type="dxa"/>
            <w:vAlign w:val="bottom"/>
          </w:tcPr>
          <w:p>
            <w:pPr>
              <w:spacing w:after="0"/>
              <w:rPr>
                <w:sz w:val="7"/>
                <w:szCs w:val="7"/>
                <w:color w:val="auto"/>
              </w:rPr>
            </w:pPr>
          </w:p>
        </w:tc>
        <w:tc>
          <w:tcPr>
            <w:tcW w:w="9500" w:type="dxa"/>
            <w:vAlign w:val="bottom"/>
            <w:gridSpan w:val="2"/>
            <w:vMerge w:val="continue"/>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Crude oil, NGL and natural gas commodity prices have historically been very volatile. For example, in the last year, the prompt month NYMEX light, sweet futures contract (commonly referred to as “WTI”) price ranged from a low of approximately minus $38 per barrel to a high of approximately $63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pacing w:after="0" w:line="18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has in the past, and may in the future create market conditions that are more challenging to our business model. In extended periods of lower crude oil and/or NGL prices, or periods where the supply and demand fundamentals compress regional location differentials, our financial results may be adversely impacted. In such market conditions, product flows on our pipelines in our Transportation segment may be adversely impacted and/or our Supply and Logistics segment may not fully recover its costs on certain transactions. Alternatively, in periods where supply exceeds regional demand and/or pipeline egress, product flows on our pipelines may be favorably impacted and/or our Supply and Logistics segment may be able to capture additional margins. In executing our business model, we employ a variety of financial risk management tools and techniques, predominantly in our Supply and Logistics segment. These are discussed in greater detail in the “—Risk Management” section below.</w:t>
      </w:r>
    </w:p>
    <w:p>
      <w:pPr>
        <w:spacing w:after="0" w:line="208" w:lineRule="exact"/>
        <w:rPr>
          <w:sz w:val="20"/>
          <w:szCs w:val="20"/>
          <w:color w:val="auto"/>
        </w:rPr>
      </w:pPr>
    </w:p>
    <w:p>
      <w:pPr>
        <w:ind w:right="60" w:firstLine="693"/>
        <w:spacing w:after="0" w:line="263" w:lineRule="auto"/>
        <w:rPr>
          <w:sz w:val="20"/>
          <w:szCs w:val="20"/>
          <w:color w:val="auto"/>
        </w:rPr>
      </w:pPr>
      <w:r>
        <w:rPr>
          <w:rFonts w:ascii="Arial" w:cs="Arial" w:eastAsia="Arial" w:hAnsi="Arial"/>
          <w:sz w:val="18"/>
          <w:szCs w:val="18"/>
          <w:color w:val="auto"/>
        </w:rPr>
        <w:t>Relative contribution levels will vary from quarter-to-quarter due to seasonality, particularly with respect to our NGL activities in our Supply and Logistics segment. However, we expect that (absent material outperformance in our Supply and Logistics segment) our fee-based Transportation and Facilities segments should comprise more than 90% of our aggregate segment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activity.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19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Marathon Petroleum Corporation and its subsidiaries accounted for 13%, 12% and 14% of our revenues for the years ended December 31, 2020, 2019 and 2018, respectively. ExxonMobil Corporation and its subsidiaries accounted for 12%, 12% and 14% of our revenues for the years ended December 31, 2020, 2019 and 2018, respectively. Phillips 66 Company and its subsidiaries accounted for 11% of our revenues for the year ended December 31, 2019. No other customers accounted for 10% or more of our revenues during any of the three years ended December 31, 2020.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16 to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supply regions and demand for crude oil and NGL by end users. Although new pipeline projects represent a source of competition for our business, there are also existing third-party owned pipelines with excess capacity in the vicinity of our operations that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for the foreseeable future. As a result of multiple pipeline expansions that have occurred or are being completed in the Permian Basin and other areas, together with meaningful reductions in expected production growth due to COVID-19 impacts, we anticipate competition for uncommitted barrels and contract renewals and extensions will be amplified in the coming years, increasing our contract renewal and customer retention risk.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21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brokers and marketers of widely varying sizes, financial resources and experience. Some of these competitors have capital resources greater than ours. The addition of new pipelines supported by minimum volume commitments and/or acreage dedications could also amplify the level of competition for purchasing wellhead barrels, especially in the Permian Basin and thus impact our margins.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Regulations—Our operations are subject to laws and regulations relating to protection of the environment and wildlife,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but not all, of the laws and regulations affecting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Safety and Environmental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operations involving the storage, treatment, processing and transportation of liquid and gaseous hydrocarbons, including crude oil, are subject to stringent federal, state, provincial and local laws and regulations governing the discharge of materials into the environment or otherwise relating to protection of the environment, including wildlife.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and remedial liabilities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health and safety laws and regulations to which our operations are subject.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Safety/Integrity Management</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Canada Energy Regulator (“CER”), formerly the National Energy Board, and provincial agencies.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DOT that require transportation pipeline operators to implement integrity management programs, including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$41 million in 2020. Based on currently available information, our preliminary estimate for 2021 is that we will incur approximately $32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$24 million in 2020, and our preliminary estimate for 2021 is that we will incur approximately $18 million of such costs.</w:t>
      </w:r>
    </w:p>
    <w:p>
      <w:pPr>
        <w:spacing w:after="0" w:line="21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PHMSA was reauthorized and the HLPSA was amended in 2011, 2016 and 2020. The regulatory changes precipitated by these actions have increased our cost to operate. For example, in October 2019, PHMSA published three final rules that create or expand reporting, inspection, maintenance and other pipeline safety obligations. Additionally, in the Fiscal Year 2021 Omnibus Appropriations Bill, Congress reauthorized PHMSA through fiscal year 2023 and directed the agency to move forward with several regulatory actions, including the “Pipeline Safety: Class Location Change Requirements” and the “Pipeline Safety: Safety of Gas Transmission and Gathering Pipelines” proposed rulemakings. Congress has also instructed PHMSA to issue final regulations that will require operators of non-rural gas gathering lines and new and existing transmission and distribution pipeline facilities to conduct certain leak detection and repair programs and to require facility inspection and maintenance plans to align with those regulations.</w:t>
      </w:r>
    </w:p>
    <w:p>
      <w:pPr>
        <w:spacing w:after="0" w:line="19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October 2015, the Governor of California signed the Oil Spill Response: Environmentally and Ecologically Sensitive Areas Bill (“AB-864”) which requires new and existing pipelines located near environmentally and ecologically sensitive areas (“EESA”) connected to or located in the coastal zone to use best available technologies (“BAT”) to reduce the amount of oil released in an oil spill to protect state waters and wildlife. BAT includes, but is not limited to, installation of leak detection technologies, automatic shutoff systems, or remote controlled sectionalized block valves, or any combination of these technologies based on a risk analysis conducted by the operator. The Regulation became effective on October 1, 2020. Milestone dates include: May 1, 2021 – Requests for exemption (for pipelines located outside the Coastal Zone, if the operator can show through spill modeling / risk analysis that a release would not impact the coastal zone portion of an EESA) or deferral (pipeline already employing BAT) from the provisions of this Article shall be submitted to the State Fire Marshal no later than this date; October 1, 2021 – Submittal of Risk analysis, BAT evaluation, and implementation plan for existing pipelines; and April 1, 2023 – Completion of retrofit of existing pipelines with BAT is due. Compliance with these requirements will impact our pipeline operations in California and add to the cost to operate the pipelines subject to these rules.</w:t>
      </w:r>
    </w:p>
    <w:p>
      <w:pPr>
        <w:spacing w:after="0" w:line="19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DOT has generally adopted American Petroleum Institute Standard (“API”) 653 as the standard for the inspection, repair, alteration and reconstruction of steel above ground petroleum storage tanks subject to DOT jurisdiction. API 653 requires regularly scheduled inspection and repair of tanks remaining in service. In the United States, our costs associated with this program were approximately $27 million in 2020. For 2021, we have budgeted approximately $30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Canada, the CER and provincial agencies regulate the safety and integrity management of pipelines and storage tanks used for hydrocarbon transmission. We have incurred and will continue to incur costs related to such regulatory requirements.</w:t>
      </w:r>
    </w:p>
    <w:p>
      <w:pPr>
        <w:spacing w:after="0" w:line="19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continue to implement Pipeline, Facility and Cavern Integrity Management Programs to comply with applicable regulatory requirements and assist in our efforts to mitigate risk. Costs incurred for such integrity management activities were approximately $69 million in 2020. We are increasing our integrity dig and pipeline replacement projects to ensure safe and reliable operations as we seek to expand volumes on certain of our systems. Our preliminary estimate for 2021 is that we will incur approximately $81 million of costs on such projects.</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cannot predict the potential costs associated with additional, future regulation. Significant additional expenses could be incurred, and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additional operational requirements and constraints could be imposed, if new or more stringently interpreted pipeline safety requirements are implemented.</w:t>
      </w:r>
    </w:p>
    <w:p>
      <w:pPr>
        <w:spacing w:after="0" w:line="261" w:lineRule="exact"/>
        <w:rPr>
          <w:sz w:val="20"/>
          <w:szCs w:val="20"/>
          <w:color w:val="auto"/>
        </w:rPr>
      </w:pPr>
    </w:p>
    <w:p>
      <w:pPr>
        <w:jc w:val="center"/>
        <w:ind w:right="882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subject to more rigorous and costly disposal requirements, resulting in additional capital expenditures or operating expenses.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20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are subject to the Environmental Protection Agency’s (“EPA”)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 In January 2016, the EPA finalized revisions to the Risk Management Plan (“RMP”) rules, including requirements for the use of third-party compliance audits, root cause analyses for facilities that experience releases, process hazard analyses and enhanced information-sharing provisions, effective March 2017. In November 2019, the EPA finalized revisions to the RMP rules, removing requirements related to public disclosure, third-party audits and post-incident root cause analyses, among others. However, several environmental groups and trade unions have challenged the EPA’s revised rule. OSHA has announced that it is considering similar revisions to the PSM rule, but, to date, has not issued a Notice of Proposed Rulemaking. The potential for further revisions to either the RMP or PSM rule is uncertain at this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52"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may experience releases of hydrocarbon products into the environment from our pipeline, rail, storage and other facility operations. We may also discover environmental impacts from past releases that were previously unidentified. The costs and liabilities associated with any such releases or environmental impacts could be significant and may not be covered by insurance; accordingly, such costs and liabilities could have a material adverse impact on our results of operations and/or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5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United States operations are subject to the United States Clean Air Act (“Clean Air Act”), comparable state laws and associated federal, state and local regulations. Our Canadian operations are also subject to federal and provincial air emission regulations, which are discussed in subsequent sections.</w:t>
      </w:r>
    </w:p>
    <w:p>
      <w:pPr>
        <w:spacing w:after="0" w:line="211"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EPA has adopted rules for reporting the emission of carbon dioxide, methane and other greenhouse gases (“GHG”) from certain sources.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w:t>
      </w:r>
    </w:p>
    <w:p>
      <w:pPr>
        <w:spacing w:after="0" w:line="214" w:lineRule="exact"/>
        <w:rPr>
          <w:sz w:val="20"/>
          <w:szCs w:val="20"/>
          <w:color w:val="auto"/>
        </w:rPr>
      </w:pPr>
    </w:p>
    <w:p>
      <w:pPr>
        <w:ind w:firstLine="648"/>
        <w:spacing w:after="0" w:line="308" w:lineRule="auto"/>
        <w:rPr>
          <w:sz w:val="20"/>
          <w:szCs w:val="20"/>
          <w:color w:val="auto"/>
        </w:rPr>
      </w:pPr>
      <w:r>
        <w:rPr>
          <w:rFonts w:ascii="Arial" w:cs="Arial" w:eastAsia="Arial" w:hAnsi="Arial"/>
          <w:sz w:val="16"/>
          <w:szCs w:val="16"/>
          <w:color w:val="auto"/>
        </w:rPr>
        <w:t>In 2016, the EPA finalized regulations affecting new, modified and reconstructed sources of air emission in the oil and natural gas sectors (NSPS Subpart OOOOa) that required significant reductions in fugitive methane emissions from certain upstream and midstream oil and gas facilities. We had one</w:t>
      </w:r>
    </w:p>
    <w:p>
      <w:pPr>
        <w:spacing w:after="0" w:line="336" w:lineRule="auto"/>
        <w:rPr>
          <w:sz w:val="20"/>
          <w:szCs w:val="20"/>
          <w:color w:val="auto"/>
        </w:rPr>
      </w:pPr>
      <w:r>
        <w:rPr>
          <w:rFonts w:ascii="Arial" w:cs="Arial" w:eastAsia="Arial" w:hAnsi="Arial"/>
          <w:sz w:val="17"/>
          <w:szCs w:val="17"/>
          <w:color w:val="auto"/>
        </w:rPr>
        <w:t>natural gas storage facility for which a portion was subject to this regulation. In late 2020, the EPA rescinded the methane requirements of this rule, such that no Plains facility is now affected. There is a possibility that the Biden administration may reverse these changes, and we will continue to monitor these developments. For the period during which our single facility was subject to these requirements, compliance costs were not material.</w:t>
      </w:r>
    </w:p>
    <w:p>
      <w:pPr>
        <w:spacing w:after="0" w:line="15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California has implemented a GHG cap-and-trade program, authorized under Assembly Bill 32 (“AB32”). Since its start in 2014, California’s cap-and-trade program has only applied to large industrial facilities with carbon dioxide equivalent emissions over 25,000 metric tons. The California Air Resources Board has published a list of facilities that are subject to this program. At this time, the list only includes one of our facilities, the Lone Star Gas Liquids facility in Shafter, California because it is a significant combustion and propane fractionation source. As a result, compliance instruments for GHG emissions have been purchased since 2013.</w:t>
      </w:r>
    </w:p>
    <w:p>
      <w:pPr>
        <w:spacing w:after="0" w:line="215" w:lineRule="exact"/>
        <w:rPr>
          <w:sz w:val="20"/>
          <w:szCs w:val="20"/>
          <w:color w:val="auto"/>
        </w:rPr>
      </w:pPr>
    </w:p>
    <w:p>
      <w:pPr>
        <w:jc w:val="both"/>
        <w:ind w:right="80" w:firstLine="648"/>
        <w:spacing w:after="0" w:line="296" w:lineRule="auto"/>
        <w:rPr>
          <w:sz w:val="20"/>
          <w:szCs w:val="20"/>
          <w:color w:val="auto"/>
        </w:rPr>
      </w:pPr>
      <w:r>
        <w:rPr>
          <w:rFonts w:ascii="Arial" w:cs="Arial" w:eastAsia="Arial" w:hAnsi="Arial"/>
          <w:sz w:val="16"/>
          <w:szCs w:val="16"/>
          <w:color w:val="auto"/>
        </w:rPr>
        <w:t>Effective January 1, 2015, the AB32 regulations also covered finished fuel providers and importers. California finished fuels providers (refiners and importers) are required to purchase GHG emission credits for finished fuel sold in or imported into California. Plains Marketing was included in this portion of the regulation due to propane imports and completed its first year of compliance in 2016. Effective January 1, 2018, importers of finished fuels responsible for compliance costs associated with GHG has changed from the consignee to the importer on title of the product. Plains Midstream Canada is now included in this change to the rule due to its imports of propane into California and submitted its first compliance report in 2019.</w:t>
      </w:r>
    </w:p>
    <w:p>
      <w:pPr>
        <w:spacing w:after="0" w:line="188" w:lineRule="exact"/>
        <w:rPr>
          <w:sz w:val="20"/>
          <w:szCs w:val="20"/>
          <w:color w:val="auto"/>
        </w:rPr>
      </w:pPr>
    </w:p>
    <w:p>
      <w:pPr>
        <w:ind w:right="240" w:firstLine="648"/>
        <w:spacing w:after="0" w:line="294" w:lineRule="auto"/>
        <w:rPr>
          <w:sz w:val="20"/>
          <w:szCs w:val="20"/>
          <w:color w:val="auto"/>
        </w:rPr>
      </w:pPr>
      <w:r>
        <w:rPr>
          <w:rFonts w:ascii="Arial" w:cs="Arial" w:eastAsia="Arial" w:hAnsi="Arial"/>
          <w:sz w:val="16"/>
          <w:szCs w:val="16"/>
          <w:color w:val="auto"/>
        </w:rPr>
        <w:t>California has also implemented several climate change initiatives via executive order. Executive Order B-30-15 was signed by California’s Governor in mid-2015. This Executive Order requires a 40% reduction in GHG emissions from the 1990 baseline level by 2030. Compliance with this reduction requirement may necessitate the lowering of the threshold for industrial facilities required to participate in the GHG cap and trade program. In late 2020, the governor of California issued an executive order setting targets on the limitation or phase-out of the sale of petroleum-fueled passenger,</w:t>
      </w:r>
    </w:p>
    <w:p>
      <w:pPr>
        <w:spacing w:after="0" w:line="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commercial, and off-road vehicles over the next 15 to 25 years. A number of other states are working to implement zero-emission vehicle requirements or targets. Separately, in October 2020, the Governor of California signed another executive order that establishes a state goal to conserve at least 30% of California’s land and coastal waters by 2030 and directs state agencies to implement other measures to mitigate climate change and strengthen biodiversity.</w:t>
      </w:r>
    </w:p>
    <w:p>
      <w:pPr>
        <w:spacing w:after="0" w:line="17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In December 2015, the Paris Agreement was signed at the 21st annual Conference of Parties to the United Nations Framework Convention on Climate Change (“UNFCCC”). The Paris Agreement, which came into effect in November 2016, requires signatory parties to develop and implement carbon emission reduction policies with a goal of limiting the rise in average global temperatures to 2°C or less. The United States is currently a signatory to the Paris Agreement. The Paris Agreement is likely to become a significant driver for future potential GHG reduction programs in participating countries, including the United States. President Biden has announced that climate change policy will be a focal point of his administration, and legislative or regulatory initiatives may be developed that may impose additional restrictions on our operations. In January 2021, President Biden signed an executive order directing the Secretary of the Interior to pause new oil and gas leases on public lands and in offshore waters of the United States. The Biden administration could also pursue the imposition of more restrictive requirements for the establishment of pipeline infrastructure or more restrictive GHG emissions limitations for oil and gas facilities. There is also a risk that financial institutions may be required to adopt policies that have the effect of reducing the funding available to the hydrocarbon energy sector. The Federal Reserve recently announced that it has joined the Network for Greening the Financial System, a consortium of financial regulators focused on addressing climate-related risks in the financial sector. Finally, to the extent increasing concentrations of GHGs in the Earth’s atmosphere may produce climate changes that have significant physical effects, such as increased frequency and severity of storms, droughts, floods and other climatic events, such events could have a material adverse effect on our assets, particularly those located in coastal or flood prone areas.</w:t>
      </w:r>
    </w:p>
    <w:p>
      <w:pPr>
        <w:spacing w:after="0" w:line="211"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Federal Regulations. </w:t>
      </w:r>
      <w:r>
        <w:rPr>
          <w:rFonts w:ascii="Arial" w:cs="Arial" w:eastAsia="Arial" w:hAnsi="Arial"/>
          <w:sz w:val="18"/>
          <w:szCs w:val="18"/>
          <w:color w:val="auto"/>
        </w:rPr>
        <w:t>Large emitters of GHG have been required to report their emissions under the Canadian Greenhouse Gas Emissions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Program since 2004. Effective January 1, 2018, the Federal Department of Environment and Climate Change lowered the reporting threshold for all facilities from 50 thousand tonnes per year (“kt/y”) to 10 kt/y GHG emissions. This has resulted in one additional PMC facility (for a total of four locations) being currently required to prepare annual reports of their emissions. The associated cost with this reporting requirement is not considered to be material.</w:t>
      </w:r>
    </w:p>
    <w:p>
      <w:pPr>
        <w:spacing w:after="0" w:line="21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December 2015, the UNFCCC ratified the Paris Agreement to accelerate climate change initiatives and to intensify the actions of member nations in the reduction of GHG emissions. This ratification also included requirements that all parties report on their emissions status and agreement for a review every five years to assess success among member nations in attaining objectives and targets under this agreement. The Government of Canada has implemented a pan-Canadian approach to pricing carbon pollution requiring all Canadian provinces and territories to have carbon pricing in place by 2018, which is now in effect. The provinces and territories were granted flexibility in deciding how they implement carbon pricing either by placing a direct price on carbon pollution or adopting a cap and trade system. The Provincial programs that fail to meet the Federal government’s requirements for their programs are required to adopt the Federal program. The Federal program includes two components: a direct price on carbon pollution (the Federal price on carbon pollution will start at CAD$20 per tonne in 2019 and rise by CAD$10 per year to reach CAD$50 per tonne in 2022) and an output based pricing system (“OBPS”) designed to address competitiveness risk for large emitters. However, legislation has been proposed which, if enacted, may increase the carbon prices charged on businesses in jurisdictions subject to the federal program.</w:t>
      </w:r>
    </w:p>
    <w:p>
      <w:pPr>
        <w:spacing w:after="0" w:line="21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November 2020, the Federal government introduced proposed legislation that would commit the government to reach net-zero GHG emissions by 2050 through setting legally-binding, five-year emissions reduction targets (2030, 2035, 2040 and 2045). The impact of this proposed legislation on PMC operations cannot be determined until the legislation is passed and details of emission reduction targets are disclosed.</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December 2020, the Federal government released a Climate Plan signaling its intent to increase the Federal price on carbon pollution from CAD$30 per tonne to CAD$50 per tonne in 2022 with a further annual increase of CAD$15 per year up to CAD$170 per tonne in 2030. Legislation has not yet been passed for the increase in price on carbon. Costs for compliance with any increase in cost of carbon will be budgeted annually as part of ordinary operating cost processes.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April 2018, the Federal Department of Environment and Climate Change introduced regulations designed to reduce methane emissions by up to 45% by 2025 (from 2012 levels) from oil and natural gas facilities. The scope and requirements of the proposed rule are similar to the EPA methane rules described above. Effective June 2017, the Federal Department of Environment and Climate Change has introduced the Multi Sector Air Pollutants Regulations which set air pollution emission standards across Canada for several industrial sectors that utilize applicable equipment regulated under this program. The regulations establish specific limits to the amount of nitrogen oxides emitted from gas fueled boilers, heaters and stationary spark-ignition engines above a specified power rating. Based on these regulations, reporting obligations exist that are associated with seven facilities with equipment that meets specifications of the program. The implications of these regulations coming into effect are not believed to be material.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Provincial Regulations</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Ontario</w:t>
      </w:r>
      <w:r>
        <w:rPr>
          <w:rFonts w:ascii="Arial" w:cs="Arial" w:eastAsia="Arial" w:hAnsi="Arial"/>
          <w:sz w:val="17"/>
          <w:szCs w:val="17"/>
          <w:color w:val="auto"/>
        </w:rPr>
        <w:t>. In February 2015, the Ontario Ministry of Environment and Climate Change issued a discussion paper that identified carbon pricing as a</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action necessary to reduce emissions of GHGs. In April 2015, the Ontario government announced it would be implementing a GHG cap and trade program, which would be implemented through the Western Climate Initiative (“WCI”), which included Quebec and California. Mandatory participants for the program were responsible for their emissions starting January 1, 2017. PMC’s facility at Sarnia was considered a mandatory participant in the program. Compliance with the federal OBPS is not expected to have a material adverse effect on our operations.</w:t>
      </w:r>
    </w:p>
    <w:p>
      <w:pPr>
        <w:spacing w:after="0" w:line="203"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In July 2019, the Ontario government implemented the Emissions Performance Standards (“EPS”) regulation as a successor program to the repealed GHG cap and trade program. In September 2020, the Federal government accepted the EPS program as equivalent to the OBPS which allows Ontario to move forward with implementing the EPS. Ontario has yet to specify the start date of the EPS and must update regulations to bring the EPS program into effect. Until the EPS comes into force, the PMC Sarnia facility is subject to the OBPS program. Costs for compliance with the OBPS or EPS is budgeted annually and is not expected to have a material effect on operations.</w:t>
      </w:r>
    </w:p>
    <w:p>
      <w:pPr>
        <w:spacing w:after="0" w:line="13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2018, the Ontario government introduced an updated Sulphur Dioxide (“SO</w:t>
      </w:r>
      <w:r>
        <w:rPr>
          <w:rFonts w:ascii="Arial" w:cs="Arial" w:eastAsia="Arial" w:hAnsi="Arial"/>
          <w:sz w:val="22"/>
          <w:szCs w:val="22"/>
          <w:color w:val="auto"/>
          <w:vertAlign w:val="subscript"/>
        </w:rPr>
        <w:t>2</w:t>
      </w:r>
      <w:r>
        <w:rPr>
          <w:rFonts w:ascii="Arial" w:cs="Arial" w:eastAsia="Arial" w:hAnsi="Arial"/>
          <w:sz w:val="17"/>
          <w:szCs w:val="17"/>
          <w:color w:val="auto"/>
        </w:rPr>
        <w:t>”) standard which requires the reduction of SO2 from the current one hour average emission rate of 690 micrograms per cubic meter of air (“µg/m3”) to the new one hour standard of 100 µg/m3 by 2023 at industrial facilities. The introduction of this reduction measure requires evaluation of current emissions and may require equipment upgrades at our Sarnia facility. The evaluation process has not been concluded and the impact of the standard is still under review.</w:t>
      </w:r>
    </w:p>
    <w:p>
      <w:pPr>
        <w:spacing w:after="0" w:line="19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Alberta. </w:t>
      </w:r>
      <w:r>
        <w:rPr>
          <w:rFonts w:ascii="Arial" w:cs="Arial" w:eastAsia="Arial" w:hAnsi="Arial"/>
          <w:sz w:val="16"/>
          <w:szCs w:val="16"/>
          <w:color w:val="auto"/>
        </w:rPr>
        <w:t>The Alberta Climate Change and Emissions Management Act provided a framework for managing GHG emissions with the intent of</w:t>
      </w:r>
      <w:r>
        <w:rPr>
          <w:rFonts w:ascii="Arial" w:cs="Arial" w:eastAsia="Arial" w:hAnsi="Arial"/>
          <w:sz w:val="16"/>
          <w:szCs w:val="16"/>
          <w:i w:val="1"/>
          <w:iCs w:val="1"/>
          <w:color w:val="auto"/>
        </w:rPr>
        <w:t xml:space="preserve"> </w:t>
      </w:r>
      <w:r>
        <w:rPr>
          <w:rFonts w:ascii="Arial" w:cs="Arial" w:eastAsia="Arial" w:hAnsi="Arial"/>
          <w:sz w:val="16"/>
          <w:szCs w:val="16"/>
          <w:color w:val="auto"/>
        </w:rPr>
        <w:t>reducing specified gas emissions to 50% of 1990 levels by December 31, 2020. The Specified Gas Emitters Regulation (“SGER”) was the initial program introduced which imposed GHG emissions limits on large emitters and required reductions in GHG emissions intensity. In January 2018, the SGER was replaced with the Carbon Competitive Incentive Regulation (“CCIR”) for compliance years 2018 and 2019. In January 2020, the Emissions Management and Climate Resilience Act replaces the Climate Change and Emissions Management Act and the CCIR was replaced with the Technology Innovation and Emissions Reduction (“TIER”) regulation. Compliance options under the TIER are similar to those under the previous SGER and CCIR programs such that</w:t>
      </w:r>
    </w:p>
    <w:p>
      <w:pPr>
        <w:spacing w:after="0" w:line="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GHG fund credit purchase will be required if reduction targets identified under the program are not attained. PMC’s Empress VI facility is a mandatory participant under the TIER. For economic reasons, Ft. Saskatchewan and six other PMC facilities have opted in to be a part of the TIER program for 2020. By opting in, the fuel consumption at these asset locations avoid being subject to the federal fuel charge.</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Alberta repealed the provincial “Climate Leadership Act” in May 2019 and removed its provincial carbon pricing program. The province is now subject to the federal carbon pricing program. Assets within the TIER program are exempt from the federal carbon pricing program but other fuel consumption as part of operations is subject to the federal levies. The federal fuel charge cost increase has been captured as part of the annual budgeting cycle.</w:t>
      </w:r>
    </w:p>
    <w:p>
      <w:pPr>
        <w:spacing w:after="0" w:line="21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association with the federal methane reduction targets, the Alberta Energy Regulator amended Directive 60 to outline reduction requirements. New reporting measures and requirements for fugitive emission surveys and methane emission reduction came into force in January 2020. Cost for reporting and completing surveys have been captured within the 2020 and beyond annual operational budgets.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jc w:val="both"/>
        <w:ind w:right="280" w:firstLine="648"/>
        <w:spacing w:after="0" w:line="257" w:lineRule="auto"/>
        <w:rPr>
          <w:sz w:val="20"/>
          <w:szCs w:val="20"/>
          <w:color w:val="auto"/>
        </w:rPr>
      </w:pPr>
      <w:r>
        <w:rPr>
          <w:rFonts w:ascii="Arial" w:cs="Arial" w:eastAsia="Arial" w:hAnsi="Arial"/>
          <w:sz w:val="18"/>
          <w:szCs w:val="18"/>
          <w:i w:val="1"/>
          <w:iCs w:val="1"/>
          <w:color w:val="auto"/>
        </w:rPr>
        <w:t>Other Canadian Jurisdictions</w:t>
      </w:r>
      <w:r>
        <w:rPr>
          <w:rFonts w:ascii="Arial" w:cs="Arial" w:eastAsia="Arial" w:hAnsi="Arial"/>
          <w:sz w:val="18"/>
          <w:szCs w:val="18"/>
          <w:color w:val="auto"/>
        </w:rPr>
        <w:t>. Nova Scotia and Quebec Cap and Trade programs cover propane supplied by PMC into the Nova Scotia and</w:t>
      </w:r>
      <w:r>
        <w:rPr>
          <w:rFonts w:ascii="Arial" w:cs="Arial" w:eastAsia="Arial" w:hAnsi="Arial"/>
          <w:sz w:val="18"/>
          <w:szCs w:val="18"/>
          <w:i w:val="1"/>
          <w:iCs w:val="1"/>
          <w:color w:val="auto"/>
        </w:rPr>
        <w:t xml:space="preserve"> </w:t>
      </w:r>
      <w:r>
        <w:rPr>
          <w:rFonts w:ascii="Arial" w:cs="Arial" w:eastAsia="Arial" w:hAnsi="Arial"/>
          <w:sz w:val="18"/>
          <w:szCs w:val="18"/>
          <w:color w:val="auto"/>
        </w:rPr>
        <w:t>Quebec markets. PMC is required to purchase GHG emission credits and submit annual compliance reports under each province’s respective Cap and Trade program. Program compliance costs will be passed along to the purchaser. Effective April 1, 2019, the federal carbon pricing program came into effect for provinces that do not have a carbon pricing program in place. This includes Saskatchewan, Manitoba, Ontario and New Brunswick. Program compliance costs will be passed along to the purchaser.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21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w:t>
      </w:r>
    </w:p>
    <w:p>
      <w:pPr>
        <w:spacing w:after="0" w:line="21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addition, for over 35 years, the U.S. Army Corps of Engineers (the “Corps”) has authorized construction, maintenance and repair of pipelines under a streamlined nationwide permit program under the CWA known as Nationwide Permit 12 (“NWP”). The NWP program is supported by strong statutory and regulatory history and was originally approved by Congress in 1977. From time to time, environmental groups have challenged the NWP program; however, to date, federal courts have upheld the validity of the NWP program under the CWA. In April 2020, the U.S. District Court for the District of Montana invalidated the 2017 decision by the Corps to reissue the NWP; however, industry groups appealed the decision, and the NWP was reinstated by the U.S. Supreme Court, pending a U.S. Circuit Court appeal process. We anticipate that the appeal will be decided in 2021. Additionally, in response to the vacatur, the Corps has announced a reissuance of the NWP 12 for oil and natural gas pipeline activities, including certain revisions to the conditions for the use of NWP 12; however, the rule has not been officially published and, with President Biden taking office in January 2021, may be subject to further revisions or suspension. While the full extent and impact of the vacatur is unclear at this time, we could face significant delays and financial costs when seeking project approvals from the Corps if we cannot obtain coverage under NWP 12.</w:t>
      </w:r>
    </w:p>
    <w:p>
      <w:pPr>
        <w:spacing w:after="0" w:line="19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May 2015, the EPA published a final rule that attempted to clarify federal jurisdiction under the CWA over waters of the United States (“WOTUS”). This clarification greatly expanded the definition of WOTUS, thus increasing the jurisdiction of the Corps. Following the issuance of a presidential executive order to review the rule in January 2017, the EPA and the Corps proposed a rulemaking in June 2017 to repeal the May 2015 rule. The EPA and Corps also announced their intent to issue a new rule defining the CWA’s jurisdiction and finalized a stay delaying implementation of the 2015 rule for two years. Several states and environmental organizations announced their intent to challenge the stay and any attempt by the EPA and the Corps to rescind or revise the rule. However, on April 21, 2020, the EPA and the Corps announced the 2020 Final Rule concerning the redefinition of WOTUS. The 2020 Final Rule provides the outer bounds of the federal waters covered under the CWA’s key permitting programs such as Section 404 dredge and fill permits, Section 402 discharge permits and Section 311 oil spill prevention plans. The Final Rule took effect on June 22, 2020. In general, the 2020 Final Rule resulted in fewer federally regulated waters under the CWA offering a streamlined list of only four clear categories of jurisdictional waters and 12 exclusions. A decrease in mitigation requirements is expected, with traditional wetland states (e.g., Louisiana) and states in the arid west (e.g., Texas) expected to be among the most affected by the new rule. However, legal challenges to this rulemaking are ongoing, and it is possible that the new presidential administration could propose a broader interpretation of WOTUS.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52"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associated with lengthy regulatory review and approval requirements could materially and negatively affect the viability of such projects.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5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General Interstate Regulation in the United States. </w:t>
      </w:r>
      <w:r>
        <w:rPr>
          <w:rFonts w:ascii="Arial" w:cs="Arial" w:eastAsia="Arial" w:hAnsi="Arial"/>
          <w:sz w:val="18"/>
          <w:szCs w:val="18"/>
          <w:color w:val="auto"/>
        </w:rPr>
        <w:t>Our interstate common carrier liquids pipeline operations are subject to rate regulation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U.S. Federal Energy Regulatory Commission (“FERC”) under the Interstate Commerce Act (“ICA”). The ICA requires that tariff rates for liquids pipelines, which include both crude oil pipelines and refined products pipelines, be just and reasonable and non-discriminatory. Failure to comply with the requirements of the ICA could result in the imposition of civil or criminal penalties.</w:t>
      </w:r>
    </w:p>
    <w:p>
      <w:pPr>
        <w:spacing w:after="0" w:line="21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 xml:space="preserve">State Regulation in the United States. </w:t>
      </w:r>
      <w:r>
        <w:rPr>
          <w:rFonts w:ascii="Arial" w:cs="Arial" w:eastAsia="Arial" w:hAnsi="Arial"/>
          <w:sz w:val="17"/>
          <w:szCs w:val="17"/>
          <w:color w:val="auto"/>
        </w:rPr>
        <w:t>Our intrastate liquids pipeline transportation activities are subject to various state laws and regulations,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i w:val="1"/>
          <w:iCs w:val="1"/>
          <w:color w:val="auto"/>
        </w:rPr>
        <w:t xml:space="preserve">U.S. Energy Policy Act of 1992 and Subsequent Developments. </w:t>
      </w:r>
      <w:r>
        <w:rPr>
          <w:rFonts w:ascii="Arial" w:cs="Arial" w:eastAsia="Arial" w:hAnsi="Arial"/>
          <w:sz w:val="16"/>
          <w:szCs w:val="16"/>
          <w:color w:val="auto"/>
        </w:rPr>
        <w:t>In October 1992, Congress passed the Energy Policy Act of 1992 (“EPAct”),</w:t>
      </w:r>
      <w:r>
        <w:rPr>
          <w:rFonts w:ascii="Arial" w:cs="Arial" w:eastAsia="Arial" w:hAnsi="Arial"/>
          <w:sz w:val="16"/>
          <w:szCs w:val="16"/>
          <w:i w:val="1"/>
          <w:iCs w:val="1"/>
          <w:color w:val="auto"/>
        </w:rPr>
        <w:t xml:space="preserve"> </w:t>
      </w:r>
      <w:r>
        <w:rPr>
          <w:rFonts w:ascii="Arial" w:cs="Arial" w:eastAsia="Arial" w:hAnsi="Arial"/>
          <w:sz w:val="16"/>
          <w:szCs w:val="16"/>
          <w:color w:val="auto"/>
        </w:rPr>
        <w:t>which, 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Pursuant to a December 2020 Order, commencing July 1, 2021, the annual index adjustment for the five year period ending June 30, 2026 will equal the producer price index for finished goods for the applicable year plus an adjustment factor of 0.78%. Rehearing of the December 2020 Order has been requested, and the requests remain pending before FERC. Pipelines may raise their rates to the rate ceiling level generated by application of the annual index adjustment factor each year; however, a shipper may challenge such increase if the increase in the pipeline’s rates is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Indexing is the default methodology to change rates. The FERC, however, retained cost-of-service ratemaking, market-based rates and settlement rates as alternatives to the indexing approach that may be used in certain specified circumstances. Because the indexing methodology for the next five-year period is tied in part to an inflation index and is not based on our specific costs, the indexing methodology could hamper our ability to recover cost increases.</w:t>
      </w:r>
    </w:p>
    <w:p>
      <w:pPr>
        <w:spacing w:after="0" w:line="20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rate or rules as unduly discriminatory or preferential.</w:t>
      </w:r>
    </w:p>
    <w:p>
      <w:pPr>
        <w:spacing w:after="0" w:line="20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i w:val="1"/>
          <w:iCs w:val="1"/>
          <w:color w:val="auto"/>
        </w:rPr>
        <w:t>Pipeline Rate Regulation in the United States</w:t>
      </w:r>
      <w:r>
        <w:rPr>
          <w:rFonts w:ascii="Arial" w:cs="Arial" w:eastAsia="Arial" w:hAnsi="Arial"/>
          <w:sz w:val="18"/>
          <w:szCs w:val="18"/>
          <w:color w:val="auto"/>
        </w:rPr>
        <w:t>. The FERC historically has not investigated rates of liquids pipelines on its own initiative when</w:t>
      </w:r>
      <w:r>
        <w:rPr>
          <w:rFonts w:ascii="Arial" w:cs="Arial" w:eastAsia="Arial" w:hAnsi="Arial"/>
          <w:sz w:val="18"/>
          <w:szCs w:val="18"/>
          <w:i w:val="1"/>
          <w:iCs w:val="1"/>
          <w:color w:val="auto"/>
        </w:rPr>
        <w:t xml:space="preserve"> </w:t>
      </w:r>
      <w:r>
        <w:rPr>
          <w:rFonts w:ascii="Arial" w:cs="Arial" w:eastAsia="Arial" w:hAnsi="Arial"/>
          <w:sz w:val="18"/>
          <w:szCs w:val="18"/>
          <w:color w:val="auto"/>
        </w:rPr>
        <w:t>those rates have not been the subject of a protest or complaint by a shipper. The majority of our Transportation segment profit in the United States is produced by rates that are either grandfathered or set by agreement with one or more shippers. These rates remain regulated by FERC and are subject to challenge or review and modification by FERC consistent with the requirements of the ICA, which requires that tariff rates for liquids pipelines, which include both crude oil pipelines and refined products pipelines, be just and reasonable and non-discriminatory. See Item 1A. “Risk Factors—Risks Related to Laws and Regulations—Our assets are subject to federal, state and provincial regulation. Rate regulation or a successful challenge to the rates we charge on our U.S. and Canadian pipeline systems may reduce the amount of cash we generate.” for additional discussion on how our rates could be impacted by this policy change.</w:t>
      </w:r>
    </w:p>
    <w:p>
      <w:pPr>
        <w:spacing w:after="0" w:line="221"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i w:val="1"/>
          <w:iCs w:val="1"/>
          <w:color w:val="auto"/>
        </w:rPr>
        <w:t xml:space="preserve">Canadian Regulation. </w:t>
      </w:r>
      <w:r>
        <w:rPr>
          <w:rFonts w:ascii="Arial" w:cs="Arial" w:eastAsia="Arial" w:hAnsi="Arial"/>
          <w:sz w:val="16"/>
          <w:szCs w:val="16"/>
          <w:color w:val="auto"/>
        </w:rPr>
        <w:t>Our Canadian pipeline assets are subject to regulation by the CER and by provincial authorities. With respect to a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of the DOT, the OSHA, as well as other federal and state regulatory agencies and Canadian regulatory agencies for operations in Canada.</w:t>
      </w:r>
    </w:p>
    <w:p>
      <w:pPr>
        <w:spacing w:after="0" w:line="17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December 2015, Congress passed the Fixing America’s Surface Transportation (“FAST”) Act which was subsequently signed by the President. This legislation clarified the parameters around the timeline and requirements for railcars hauling crude oil in the United States. We believe our railcar fleet is in compliance in all material respects with current standards for crude oil moved by rail.</w:t>
      </w:r>
    </w:p>
    <w:p>
      <w:pPr>
        <w:spacing w:after="0" w:line="21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December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the permitted vapor pressure limits.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Indigenous Protections</w:t>
      </w:r>
    </w:p>
    <w:p>
      <w:pPr>
        <w:spacing w:after="0" w:line="25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 For example, in 2020, the Supreme Court ruled in </w:t>
      </w:r>
      <w:r>
        <w:rPr>
          <w:rFonts w:ascii="Arial" w:cs="Arial" w:eastAsia="Arial" w:hAnsi="Arial"/>
          <w:sz w:val="16"/>
          <w:szCs w:val="16"/>
          <w:i w:val="1"/>
          <w:iCs w:val="1"/>
          <w:color w:val="auto"/>
        </w:rPr>
        <w:t>McGirt v. Oklahoma</w:t>
      </w:r>
      <w:r>
        <w:rPr>
          <w:rFonts w:ascii="Arial" w:cs="Arial" w:eastAsia="Arial" w:hAnsi="Arial"/>
          <w:sz w:val="16"/>
          <w:szCs w:val="16"/>
          <w:color w:val="auto"/>
        </w:rPr>
        <w:t xml:space="preserve"> that the Muscogee (Creek) Nation reservation in Eastern Oklahoma has not been disestablished (i.e., officially unrecognized). Prior to the court’s ruling, the prevailing view was that all reservations within Oklahoma had been disestablished prior to statehood in 1907. Although the court’s ruling indicates that it is limited to criminal law as applied within the Muscogee (Creek) Nation reservation, the ruling has significant potential implications for civil law within the Muscogee (Creek) Nation reservation, as well as other reservations that may similarly be found to not have been disestablished. Later in 2020, state courts in Oklahoma, applying the analysis in </w:t>
      </w:r>
      <w:r>
        <w:rPr>
          <w:rFonts w:ascii="Arial" w:cs="Arial" w:eastAsia="Arial" w:hAnsi="Arial"/>
          <w:sz w:val="16"/>
          <w:szCs w:val="16"/>
          <w:i w:val="1"/>
          <w:iCs w:val="1"/>
          <w:color w:val="auto"/>
        </w:rPr>
        <w:t>McGirt</w:t>
      </w:r>
      <w:r>
        <w:rPr>
          <w:rFonts w:ascii="Arial" w:cs="Arial" w:eastAsia="Arial" w:hAnsi="Arial"/>
          <w:sz w:val="16"/>
          <w:szCs w:val="16"/>
          <w:color w:val="auto"/>
        </w:rPr>
        <w:t>, ruled that the Cherokee, Chickasaw, Seminole, and Choctaw reservations likewise had not been disestablished.</w:t>
      </w:r>
    </w:p>
    <w:p>
      <w:pPr>
        <w:spacing w:after="0" w:line="19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October 1, 2020, the EPA granted approval to the State of Oklahoma under Section 10211(a) of the Safe, Accountable, Flexible, Efficient Transportation Equity Act of 2005 (the “SAFETE Act”) to administer all of the State’s existing EPA-approved regulatory programs to Indian Country within the State except: Indian allotments to which Indian titles have not been extinguished; lands that are held in trust by the United States on behalf of any Indian or Tribe; lands that are owned in fee by any Tribe where title was acquired through a treaty with the United States to which such Tribe is a party and that have never been allotted to any citizen or member of such Tribe. The approval extends the State’s authority for existing EPA-approved regulatory programs to all lands within the State to which the State applied such programs prior to the U.S. Supreme Court’s ruling regarding the Muscogee (Creek) Nation reservation. However, several Tribes have expressed dissatisfaction with the consultation process performed in relation to this approval, and it is possible that EPA’s approval under the SAFETE Act could be challenged. Additionally, the SAFETE Act provides that any Tribe in Oklahoma may seek “Treatment as a State” by the EPA, and it is possible that one or more of the Tribes in Oklahoma may seek such an approval from EPA. At this time, we cannot predict how these jurisdictional issues may ultimately be resolved.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As a result of our cross border activities, including transportation and importation of crude oil, NGL and natural gas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North American Free Trade Agreement (“NAFTA”) replacement, the United States-Mexico-Canada Agreement (“USMCA”) (July 1, 2020)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CER.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$1.25 million per violation per day, subject to the FTC’s annual inflation adjustment.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$1.23 million, subject to the CFTC’s annual inflation adjustment, or triple the monetary gain to the person for each violation.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5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w:t>
      </w:r>
    </w:p>
    <w:p>
      <w:pPr>
        <w:spacing w:after="0" w:line="192"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20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 numbers and volumes of relevant transactions to the FERC. Our natural gas storage facilities are subject to these annual reporting requirements.</w:t>
      </w:r>
    </w:p>
    <w:p>
      <w:pPr>
        <w:spacing w:after="0" w:line="20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approximately $1.31 million per day for each violation, subject to FERC’s annual inflation adjustment. FERC also has the authority to order disgorgement of profits from transactions deemed to violate the NGA and the EPAct 2005.</w:t>
      </w:r>
    </w:p>
    <w:p>
      <w:pPr>
        <w:spacing w:after="0" w:line="21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January 2020, PHMSA finalized a rule regarding the safety of underground natural gas storage facilities, which was published in the Federal Register on February 12, 2020. This rule maintains several elements from the earlier interim rule, incorporating API Recommended Practices 1170 and 1171 in PHMSA regulations; revises the definition of underground natural gas storage facility; and clarifies certain reporting and notification criteria. We do not anticipate that compliance with the final rule will have a significant adverse effect on our operations.</w:t>
      </w:r>
    </w:p>
    <w:p>
      <w:pPr>
        <w:spacing w:after="0" w:line="198"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Hazards and Insurance</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21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real property holdings generally consist of: (i) parcels of land that we own in fee, (ii) surface leases and underground storage leases and</w:t>
      </w:r>
    </w:p>
    <w:p>
      <w:pPr>
        <w:spacing w:after="0" w:line="35" w:lineRule="exact"/>
        <w:rPr>
          <w:sz w:val="20"/>
          <w:szCs w:val="20"/>
          <w:color w:val="auto"/>
        </w:rPr>
      </w:pPr>
    </w:p>
    <w:p>
      <w:pPr>
        <w:ind w:right="80" w:firstLine="8"/>
        <w:spacing w:after="0" w:line="292" w:lineRule="auto"/>
        <w:tabs>
          <w:tab w:leader="none" w:pos="3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primary human capital management objective is to attract, retain and develop a high quality workforce that will enable us to maintain and enhance a culture that is consistent with our core values of safety and environmental stewardship; ethics and integrity; accountability; and respect and fairness. To support this objective, we seek to attract, reward and support employees through competitive pay, benefits and other programs; develop employees and encourage internal talent mobility to prepare employees for critical roles and leadership positions for the future; facilitate the development of a workplace culture that is diverse, engaging and inclusive; and promote efficiency and a high performance culture by investing in technology and systems and providing tools and resources that enable employees at work.</w:t>
      </w:r>
    </w:p>
    <w:p>
      <w:pPr>
        <w:spacing w:after="0" w:line="2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a limited partnership, we do not directly have officers and employees. Our operations and activities are managed by Plains All American GP LLC (“GP LLC”), which employs our management and operational personnel (other than our Canadian personnel, who are employed by our subsidiary, PMCULC). As of December 31, 2020, GP LLC and PMCULC employed approximately 4,400 people in North America, of which approximately 3,200 were employed in the U.S. and approximately 1,200 were employed in Canada. Approximately 68% of our workforce (approximately 3,000 employees) are field employees, which includes approximately 880 employees in our trucking division. Our employees are located in 29 states in the U.S. and in 4 provinces in Canada. Approximately 136 employees are covered by five separate collective bargaining agreements, which run through 2023 and 2024.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52"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“Good Catch-Close Call” communications, periodic and situation specific safety stand-downs, lessons learned sharing and stop work authorization for all employees. We also have a number of programs that are focused on employee wellness, including an employee assistance program that has provided free mental and behavioral support for employees during the COVID-19 pandemic. In addition, in order to incentivize performance in the areas of safety and environmental responsibility, our performance-based annual bonus program includes a safety component that is based on year-over-year reductions in our recordable injury rate, and an environmental responsibility component that is tied to year-over-year reductions in the number of federally reportable releases we experience. Since 2017, for each of these metrics, we have improved our performance each year and achieved cumulative three year reductions of more than 50%.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2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are committed to providing a professional work environment where all employees are treated with respect and dignity and provided with equal opportunities. To that end, we strive to develop a culture of inclusion and diversity in our workforce and aspire to employ a workforce that reflects the diversity of the communities where we operate. As of December 31, 2020, approximately 21% of our overall workforce was female (44% exclusive of field employees), and minorities represented approximately 31% of our U.S. workforce (36% exclusive of field employees).</w:t>
      </w:r>
    </w:p>
    <w:p>
      <w:pPr>
        <w:spacing w:after="0" w:line="198" w:lineRule="exact"/>
        <w:rPr>
          <w:sz w:val="20"/>
          <w:szCs w:val="20"/>
          <w:color w:val="auto"/>
        </w:rPr>
      </w:pPr>
    </w:p>
    <w:p>
      <w:pPr>
        <w:ind w:right="340" w:firstLine="648"/>
        <w:spacing w:after="0" w:line="301" w:lineRule="auto"/>
        <w:rPr>
          <w:sz w:val="20"/>
          <w:szCs w:val="20"/>
          <w:color w:val="auto"/>
        </w:rPr>
      </w:pPr>
      <w:r>
        <w:rPr>
          <w:rFonts w:ascii="Arial" w:cs="Arial" w:eastAsia="Arial" w:hAnsi="Arial"/>
          <w:sz w:val="16"/>
          <w:szCs w:val="16"/>
          <w:color w:val="auto"/>
        </w:rPr>
        <w:t>To support diversity and inclusion efforts at Plains and across the broader industry, we created and sponsor an employee resource group called Cultivating Connections. This group is dedicated to encouraging diversity, inclusion and advancement of women in the industry through networking, mentoring, sharing experiences and ideas, training, and furthering the development of leadership skills. Through Cultivating Connections, an employee mentorship program was also established to encourage professional growth through the development of core competencies.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Leadership Development</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are committed to the continued development of our people. We provide a multitude of training programs covering topics such as field operations, health and safety, regulatory compliance, technical training, management and leadership skills, and professional development. We also operate a number of internal programs at all levels of the workforce that are designed to identify and develop future leaders of the organization. The Board receives reports from senior management on a regular basis regarding the status of succession plans with respect to executive leadership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252"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Our compensation and benefits programs are designed to attract, retain and motivate our employees and to reward them for their services and success. In addition to providing competitive salaries and other compensation opportunities, we offer comprehensive and competitive benefits to our eligible employees including, depending on location, life and health (medical, dental and vision) insurance, prescription drug benefits, flexible spending accounts, parental leave, disability coverage, mental and behavioral health resources, paid time off, retirement savings plan, education reimbursement program and a disaster relief fund.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5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The following is a brief summary of certain material tax considerations of owning and disposing of common units, however, the tax consequences of ownership of common units are complex and depend in part on the owner’s individual tax circumstances.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 This summary does not address all aspects of U.S. federal income taxation or the tax considerations arising under the laws of any non-U.S., state, or local jurisdiction, or under U.S. federal estate and gift tax laws. It is the responsibility of each unitholder, either individually or through a tax advisor, to investigate the legal and tax consequences, under the laws of pertinent U.S. federal, states and localities of the unitholder’s investment in us. Further, it is the responsibility of each unitholder to file all U.S. federal, state and local tax returns that may be required of the unitholder. Also see Item 1A. “Risk Factors—Tax Risks to Unitholders” and “Risk Factors—Tax Risks to Common Unitholders</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 Cash Distributions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treated for U.S. federal income tax purposes as a partnership based upon our meeting the “Qualifying Income Exception” imposed by Section 7704 of the Code, which we must meet each year. The owners of our common units are considered partners in the Partnership so long as they do not loan their common units to others to cover short sales or otherwise dispose of those units. Accordingly, subject to the Bipartisan Budget Act audit rules, we generally are not liable for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including with respect to intercompany interest payments and dividend payments. Unitholders may be eligible for foreign tax credits with respect to allocable Canadian withholding and income taxes paid.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Allocations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A unitholder who disposes of common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Common Units</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the amount of all distributions made to the unitholder (including deemed distributions due to a decrease in the unitholder’s share of our nonrecourse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Partnership Losses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20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2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taxpayers other than corporations in taxable years beginning after December 31, 2020,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in each case, increased by the applicable inflation adjustment.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general, we are entitled to a deduction for interest paid or accrued on indebtedness properly allocable to our trade or business during our taxable year. However, subject to the exceptions in the Coronavirus Aid, Relief, and Economic Security Act (the “CARES Act,” discussed below),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common units will generally be increased by the amount of any excess business interest upon a disposition of such common units.</w:t>
      </w:r>
    </w:p>
    <w:p>
      <w:pPr>
        <w:spacing w:after="0" w:line="191"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For our 2020 taxable year, the CARES Act increases the 30% adjusted taxable income limitation to 50%, unless we elect not to apply such increase. For purposes of determining our 50% adjusted taxable income limitation, we may elect to substitute our 2020 adjusted taxable income with our 2019 adjusted taxable income, which may result in a greater business interest expense deduction. In addition, unitholders may treat 50% of any excess business interest allocated to them in 2019 as deductible in the 2020 taxable year without regard to the 2020 business interest expense limitations. The remaining 50% of such unitholder’s excess business interest is carried forward and subject to the same limitations as other taxable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52"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25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 unitholder who sells common units will recognize gain or loss equal to the difference between the amount realized and the adjusted tax basis of those common units (taking into account any basis adjustments attributable to previously disallowed interest deductions).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to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19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Common Units by Tax-Exempt Organizations and Certain Other Investors</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federal income tax returns and to pay tax on the unitholder’s share of our taxable income and on gain realized from the sale or disposition of common units to the extent the gain is effectively connected with a U.S. trade or business of the non-U.S. unitholder.</w:t>
      </w:r>
    </w:p>
    <w:p>
      <w:pPr>
        <w:spacing w:after="0" w:line="20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recently issued Treasury regulations provide that the “amount realized” on a transfer of an interest in a publicly traded partnership, such as our common units, will generally be the amount of gross proceeds paid to the broker effecting the applicable transfer on behalf of the transferor, and thus will be determined without regard to any decrease in that partner’s share of a publicly traded partnership’s liabilities. The Treasury regulations further provide that withholding on a transfer of an interest in a publicly traded partnership will not be imposed on a transfer that occurs prior to January 1, 2022. For a transfer of interests in a publicly traded partnership that is effected through a broker on or after January 1, 2022, the obligation to withhold is imposed on the transferor’s broker. Prospective foreign unitholders should consult their tax advisors regarding the impact of these rules on an investment in our common units.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Procedures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We make available, free of charge on our Internet website at </w:t>
      </w:r>
      <w:r>
        <w:rPr>
          <w:rFonts w:ascii="Arial" w:cs="Arial" w:eastAsia="Arial" w:hAnsi="Arial"/>
          <w:sz w:val="17"/>
          <w:szCs w:val="17"/>
          <w:i w:val="1"/>
          <w:iCs w:val="1"/>
          <w:color w:val="auto"/>
        </w:rPr>
        <w:t>ir.paalp.com</w:t>
      </w:r>
      <w:r>
        <w:rPr>
          <w:rFonts w:ascii="Arial" w:cs="Arial" w:eastAsia="Arial" w:hAnsi="Arial"/>
          <w:sz w:val="17"/>
          <w:szCs w:val="17"/>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7"/>
          <w:szCs w:val="17"/>
          <w:i w:val="1"/>
          <w:iCs w:val="1"/>
          <w:color w:val="auto"/>
        </w:rPr>
        <w:t>http://www.sec.gov</w:t>
      </w:r>
      <w:r>
        <w:rPr>
          <w:rFonts w:ascii="Arial" w:cs="Arial" w:eastAsia="Arial" w:hAnsi="Arial"/>
          <w:sz w:val="17"/>
          <w:szCs w:val="17"/>
          <w:color w:val="auto"/>
        </w:rPr>
        <w:t>. Our website includes a significant amount of information about us, including financial and other information that could be deemed material to investors. Investors and others are encouraged to review such information. The information posted on our website is not incorporated by reference into this Annual Report on Form 10-K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References to the “PAGP Entities” include PAGP GP, PAGP, Plains All American GP LLC, AAP and PAA GP LLC. References to our “general partner,” as the context requires, include any or all of the PAGP Entities. References to the “Plains Entities” include us, our subsidiaries and the PAGP Entities.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Our business, results of operations, financial condition, cash flows and unit price can be adversely affected by many factors including but not limited to:</w:t>
      </w:r>
    </w:p>
    <w:p>
      <w:pPr>
        <w:spacing w:after="0" w:line="275" w:lineRule="exact"/>
        <w:rPr>
          <w:sz w:val="20"/>
          <w:szCs w:val="20"/>
          <w:color w:val="auto"/>
        </w:rPr>
      </w:pPr>
    </w:p>
    <w:p>
      <w:pPr>
        <w:ind w:left="660" w:right="44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volume of crude oil, natural gas and NGL shipped, processed, purchased, stored, fractionated and/or gathered at or through the use of our facilities, which can be negatively impacted by a variety of factors outside of our control;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pandemics, epidemics or other public health emergencies, such as the recent COVID-19 pandemic;</w:t>
      </w:r>
    </w:p>
    <w:p>
      <w:pPr>
        <w:spacing w:after="0" w:line="63"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in our industry, including recontracting and other risks associated with the general capacity overbuild of midstream energy infrastructure in some of the areas where we operate;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supply and demand, which can be caused by a variety of factors outside of our control;</w:t>
      </w:r>
    </w:p>
    <w:p>
      <w:pPr>
        <w:spacing w:after="0" w:line="63"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 catastrophes, terrorist attacks (including eco-terrorist attacks), process safety failures or other events, including pipeline or facility accidents and cyber or other attacks on our electronic and computer systems, could interrupt our operations and/or result in severe personal injury, property damage and environmental damage;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cybersecurity breaches and other disruptions could compromise our information and operations, and expose us to liability;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societal and political pressures, including opposition to the development or operation of our pipelines and facilities from various groups;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overall forward market for crude oil and NGL, and certain market structures, the absence of pricing volatility and other market factors;</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fully implement or realize expected returns or other anticipated benefits associated with joint venture and joint ownership arrangements, divestitures, acquisitions and other projects;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our investment grade credit rating or the ability to receive open credit;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credit risk of our customers and other counterparties we transact with in the ordinary course of business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otherwise limit our access to capital;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insufficiency of, or non-compliance with, our risk policies;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insurance coverage may not fully cover our losses and we may in the future encounter increased costs related to, and lack of availability of, insurance;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or future debt levels, or inability to borrow additional funds or capitalize on business opportunities;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currency exchange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recruiting and retaining our workforce;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impairment of long-term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under-utilization of certain assets due to fixed costs incurred to obtain the right to use such assets;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many of our assets have been in service for many years and require significant expenditures to maintain them. As a result, our maintenance or repair costs may increase in the future;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do not own all of the land on which our pipelines and facilities are located, which could result in disruptions to our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perform all of our obligations under our contracts, which could lead to increased costs;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obtain materials or commodities in the quantity and the quality we need, and at commercially acceptable prices, whether due to supply disruptions, tariffs, quotas or other factors.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Our business may be adversely impacted by existing or new laws, executive orders and regulations relating to protection of the environment and wildlife, operational safety, cross-border import/export and tax matters, financial and hedging activities, climate change and related matters.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partnership structure carries inherent risks, including but not limited to:</w:t>
      </w:r>
    </w:p>
    <w:p>
      <w:pPr>
        <w:spacing w:after="0" w:line="2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reimbursements due to our general partner may be substantial and will reduce our cash available for distribution to unitholders;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distributions are not guaranteed and may fluctuate with our performance and the establishment of financial reserves;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preferred units have rights, preferences and privileges that are not held by, and are preferential to the rights of, holders of our common units;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unitholders may not be able to remove our general partner even if they wish to do so;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issue additional common units without unitholder approval, which would dilute a unitholder’s existing ownership interests; and</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conflicts of interest could arise among our general partner and us or the unitholders.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Debt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debt securities are subject to risks including but not limited to:</w:t>
      </w:r>
    </w:p>
    <w:p>
      <w:pPr>
        <w:spacing w:after="0" w:line="252" w:lineRule="exact"/>
        <w:rPr>
          <w:sz w:val="20"/>
          <w:szCs w:val="20"/>
          <w:color w:val="auto"/>
        </w:rPr>
      </w:pPr>
    </w:p>
    <w:p>
      <w:pPr>
        <w:ind w:left="660" w:right="28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 and</w:t>
      </w:r>
    </w:p>
    <w:p>
      <w:pPr>
        <w:spacing w:after="0" w:line="2" w:lineRule="exact"/>
        <w:rPr>
          <w:rFonts w:ascii="Arial" w:cs="Arial" w:eastAsia="Arial" w:hAnsi="Arial"/>
          <w:sz w:val="18"/>
          <w:szCs w:val="18"/>
          <w:color w:val="auto"/>
        </w:rPr>
      </w:pPr>
    </w:p>
    <w:p>
      <w:pPr>
        <w:ind w:left="660" w:right="640" w:hanging="328"/>
        <w:spacing w:after="0" w:line="26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do not have the same flexibility as other types of organizations to accumulate cash, which may limit cash available to service our debt securities or to repay them at maturity.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 and Series B Preferred Unitholders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Units or Series B Preferred Units are subject to tax risks, which may adversely impact the value of or market for our units and may reduce our cash available for distribution or debt service, including but not limited to:</w:t>
      </w:r>
    </w:p>
    <w:p>
      <w:pPr>
        <w:spacing w:after="0" w:line="19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status as a partnership for U.S. federal income tax purposes and not being subject to a material amount of entity-level taxation;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legislative, judicial or administrative changes or differing interpretations, possibly applied on a retroactive basis;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potential audit adjustments to our income tax returns for tax years beginning after December 31, 2017, by the IRS or state tax authorities;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IRS or Canada Revenue Agency (“CRA”) contests to the federal income tax positions or inter-country allocations we take;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unitholders may be required to pay taxes on their share of our income even if they do not receive any cash distributions from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tax-exempt entities and non-U.S. unitholders face unique tax issues from owning our units;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taxable gain or loss on the disposition of our common units could be more or less than expected;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unitholders may be subject to limitation on their ability to deduct interest expense incurred by us;</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unitholders will likely be subject to state, local and non-U.S. taxes and return filing requirements in states and jurisdictions where they do not live as a result of investing in our units; and</w:t>
      </w:r>
    </w:p>
    <w:p>
      <w:pPr>
        <w:spacing w:after="0" w:line="8"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tax 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Our profitability depends on the volume of crude oil, natural gas and NGL shipped, processed, purchased, stored, fractionated and/or gathered at or through the use of our facilities, which can be negatively impacted by a variety of factors outside of our control.</w:t>
      </w:r>
    </w:p>
    <w:p>
      <w:pPr>
        <w:spacing w:after="0" w:line="173"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Drilling activity, crude oil production and benchmark crude oil prices can fluctuate significantly over time. For example, the current COVID-19 pandemic has resulted in a swift and material decline in global crude oil demand and crude oil prices, which has led to a significant reduction of domestic crude oil, NGL and natural gas production, and it is unclear if or when global demand will recover to pre-pandemic levels. This has had an adverse effect on the demand for the midstream services we offer and the commercial opportunities that are available to us. If demand remains depressed or declines further it is likely to have an adverse impact on our financial performance. A turnaround of these adverse macroeconomic factors depends largely on an increase in global demand for crude oil, which will be driven primarily by the extent to which consumer demand and demand for crude oil rebound following the pandemic.</w:t>
      </w:r>
    </w:p>
    <w:p>
      <w:pPr>
        <w:spacing w:after="0" w:line="22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for producers or adverse governmental or regulatory action, it could adversely impact production. In turn, such developments could lead to reduced throughput on our pipelines and at our other facilities, which, depending on the level of production declines, could have a material adverse effect on our business.</w:t>
      </w:r>
    </w:p>
    <w:p>
      <w:pPr>
        <w:spacing w:after="0" w:line="21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Also, except with respect to some of our recently constructed long haul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21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our ability to secure additional supplies of crude oil.</w:t>
      </w:r>
    </w:p>
    <w:p>
      <w:pPr>
        <w:spacing w:after="0" w:line="19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Our business, results of operations, financial condition, cash flows and unit price can be adversely affected by pandemics, epidemics or other public health emergencies, such as the current COVID-19 pandemic.</w:t>
      </w:r>
    </w:p>
    <w:p>
      <w:pPr>
        <w:spacing w:after="0" w:line="198" w:lineRule="exact"/>
        <w:rPr>
          <w:sz w:val="20"/>
          <w:szCs w:val="20"/>
          <w:color w:val="auto"/>
        </w:rPr>
      </w:pPr>
    </w:p>
    <w:p>
      <w:pPr>
        <w:ind w:right="140" w:firstLine="648"/>
        <w:spacing w:after="0" w:line="299" w:lineRule="auto"/>
        <w:rPr>
          <w:sz w:val="20"/>
          <w:szCs w:val="20"/>
          <w:color w:val="auto"/>
        </w:rPr>
      </w:pPr>
      <w:r>
        <w:rPr>
          <w:rFonts w:ascii="Arial" w:cs="Arial" w:eastAsia="Arial" w:hAnsi="Arial"/>
          <w:sz w:val="16"/>
          <w:szCs w:val="16"/>
          <w:color w:val="auto"/>
        </w:rPr>
        <w:t>Our business, results of operations, financial condition, cash flows and unit price can be adversely affected by pandemics, epidemics or other public health emergencies. The current COVID-19 pandemic has caused widespread economic disruption, and resulted in material reductions in demand for crude oil, NGL and other petroleum products, which in turn has resulted in significant declines in the actual or expected volume of crude oil and NGL</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shipped, processed, purchased, stored, fractionated and/or gathered at or through the use of many of our assets. Future pandemics, epidemics or other public health emergencies may have greater economic impacts.</w:t>
      </w:r>
    </w:p>
    <w:p>
      <w:pPr>
        <w:spacing w:after="0" w:line="19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a result of the COVID-19 pandemic, many of our support functions are operating remotely, which presents technical and communication challenges, including increased vulnerability to cybersecurity breaches, risk management oversights or delays in, or disruptions to, communications. In addition, pandemic-related restrictions may adversely impact our ability to operate and maintain our assets, and may adversely impact the supply chain to source goods and services required for our operating activities.</w:t>
      </w:r>
    </w:p>
    <w:p>
      <w:pPr>
        <w:spacing w:after="0" w:line="21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long term impacts of the COVID-19 pandemic remain highly uncertain and depend on a wide variety of factors that are outside of our control, including the development, deployment and effectiveness of vaccines, treatments and testing protocols; mutations of the virus resulting in increased transmissibility or severity of the disease or decreasing the effectiveness of vaccines or treatments; the capacity of our healthcare systems and public health infrastructure to manage current and future outbreaks; and various political and economic considerations. It is unknown whether consumption of petroleum products will return to pre-COVID levels due to changes in consumer habits or preferences. As a result, we are unable to predict the timing of any such market recovery, including a return to market conditions that are more conducive to an increase in drilling and production activities in the United States and Canada.</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profitability can be negatively affected by a variety of factors stemming from competition in our industry, including risks associated with the general capacity overbuild of midstream energy infrastructure in some of the areas where we operate.</w:t>
      </w:r>
    </w:p>
    <w:p>
      <w:pPr>
        <w:spacing w:after="0" w:line="19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investment capital projects, acquisitions and joint venture activities. Some of our competitors have capital resources many times greater than ours or control greater supplies of crude oil, natural gas or NGL. In addition, other competitors with significant excess capacity and high financial leverage may attempt to survive and compete by reducing transportation rates to levels approaching variable operating costs, without regard to whether they are generating an acceptable return on their investment. These competitive risks make it more difficult for us to attract new customers and expose us to increased contract renewal and customer retention risk with respect to our existing customers.</w:t>
      </w:r>
    </w:p>
    <w:p>
      <w:pPr>
        <w:spacing w:after="0" w:line="193" w:lineRule="exact"/>
        <w:rPr>
          <w:sz w:val="20"/>
          <w:szCs w:val="20"/>
          <w:color w:val="auto"/>
        </w:rPr>
      </w:pPr>
    </w:p>
    <w:p>
      <w:pPr>
        <w:ind w:right="700" w:firstLine="648"/>
        <w:spacing w:after="0" w:line="291" w:lineRule="auto"/>
        <w:rPr>
          <w:sz w:val="20"/>
          <w:szCs w:val="20"/>
          <w:color w:val="auto"/>
        </w:rPr>
      </w:pPr>
      <w:r>
        <w:rPr>
          <w:rFonts w:ascii="Arial" w:cs="Arial" w:eastAsia="Arial" w:hAnsi="Arial"/>
          <w:sz w:val="16"/>
          <w:szCs w:val="16"/>
          <w:color w:val="auto"/>
        </w:rPr>
        <w:t>A significant driver of competition in some of the markets where we operate (including, for example, the Eagle Ford, Permian Basin, and Rockies/Bakken areas) stems from the rapid development of new midstream energy infrastructure capacity that was driven by the combination of</w:t>
      </w:r>
    </w:p>
    <w:p>
      <w:pPr>
        <w:ind w:firstLine="8"/>
        <w:spacing w:after="0" w:line="267" w:lineRule="auto"/>
        <w:tabs>
          <w:tab w:leader="none" w:pos="2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these areas have become, or in the future may become, overbuilt, resulting in an excess of midstream energy infrastructure capacity. For example, several new pipeline projects have been placed in service or are currently under construction, and such projects have resulted in, and may contribute to future, excess takeaway capacity in certain areas where we operate. In addition, as an established participant in some markets, we also face competition from aggressive new entrants to the market who are willing to provide services at a lower rate of return in order to establish relationships and gain a foothold in the market. In addition, our Supply and Logistics segment is a customer of our Transportation and Facilities segments (See Note 21 to our Consolidated Financial Statements for a discussion of our operating segments). Competition that impacts our Supply and Logistics activities could result in a reduction in the use of our Transportation and Facilities assets by our Supply and Logistics segment. All of these competitive effects put downward pressure on our throughput and margins and, together with other adverse competitive effects, could have a significant adverse impact on our financial position, cash flows and ability to pay or increase distributions to our unitholders.</w:t>
      </w:r>
    </w:p>
    <w:p>
      <w:pPr>
        <w:spacing w:after="0" w:line="213"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With respect to our crude oil activities, our competitors include other crude oil pipelines, the major integrated oil companies, their marketing affiliates, refiners, private equity-backed entities, and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pacing w:after="0" w:line="214" w:lineRule="exact"/>
        <w:rPr>
          <w:sz w:val="20"/>
          <w:szCs w:val="20"/>
          <w:color w:val="auto"/>
        </w:rPr>
      </w:pPr>
    </w:p>
    <w:p>
      <w:pPr>
        <w:ind w:right="160" w:firstLine="607"/>
        <w:spacing w:after="0" w:line="286" w:lineRule="auto"/>
        <w:rPr>
          <w:sz w:val="20"/>
          <w:szCs w:val="20"/>
          <w:color w:val="auto"/>
        </w:rPr>
      </w:pPr>
      <w:r>
        <w:rPr>
          <w:rFonts w:ascii="Arial" w:cs="Arial" w:eastAsia="Arial" w:hAnsi="Arial"/>
          <w:sz w:val="17"/>
          <w:szCs w:val="17"/>
          <w:color w:val="auto"/>
        </w:rPr>
        <w:t>With respect to our natural gas storage operations, the principal elements of competition are rates, terms of service, supply and market access and flexibility of service.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9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supply and demand, which can be caused by a variety of factors outside of our control, can negatively affect our operating results.</w:t>
      </w:r>
    </w:p>
    <w:p>
      <w:pPr>
        <w:spacing w:after="0" w:line="275"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Supply and demand for crude oil and other hydrocarbon products we handle is dependent upon a variety of factors, including price, current and future economic conditions, fuel conservation measures, alternative fuel adoption, governmental regulation, including climate change regulations, and technological advances in fuel economy and energy generation devices. For example, legislative, regulatory or executive actions intended to reduce emissions of greenhouse gases could increase the cost of consuming crude oil and other hydrocarbon products, thereby causing a reduction in the demand for such products. Given that crude oil and petroleum products are global commodities, demand can also be significantly influenced by developments in other countries and markets, particularly in key consumption markets like China. Ultimately, this can lead to a reduction in demand for the services we provide. Demand also depends on the ability and willingness of shippers having access to our transportation assets to satisfy their demand by deliveries through those assets. 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21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Also, increased supply of NGL products could reduce the value of NGL we handle and reduce the margins realized by us.</w:t>
      </w:r>
    </w:p>
    <w:p>
      <w:pPr>
        <w:spacing w:after="0" w:line="21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Natural disasters, catastrophes, terrorist attacks (including eco-terrorist attacks), process safety failures or other events, including pipeline or facility accidents and cyber or other attacks on our electronic and computer systems, could interrupt our operations and/or result in severe personal injury, property damage and environmental damage, which could have a material adverse effect on our financial position, results of operations and cash flows.</w:t>
      </w:r>
    </w:p>
    <w:p>
      <w:pPr>
        <w:spacing w:after="0" w:line="21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Some of our operations involve risks of personal injury, property damage and environmental damage that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our physical facilities and hackers may attack our electronic and computer systems.</w:t>
      </w:r>
    </w:p>
    <w:p>
      <w:pPr>
        <w:spacing w:after="0" w:line="204"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If one or more of our pipelines or other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In addition, our supply and logistics operations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from a week or less for minor incidents to six months or more for major interruptions. Any such event that interrupts the revenues generated by our operations, or which causes us to make significant expenditures not covered by insurance, could reduce our profitability, cash flows and cash available for paying distributions to our partners and, accordingly, adversely affect our financial condition and the market price of our securities.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w:t>
      </w: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and operations, and expose us to liability, which would cause our business and reputation to suffer.</w:t>
      </w:r>
    </w:p>
    <w:p>
      <w:pPr>
        <w:spacing w:after="0" w:line="19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are reliant on the continuous and uninterrupted operation of our information technology systems. User access of our sites and information technology systems are critical elements to our operations, as is cloud security and protection against cyber security incidents. In the ordinary course of our business, we collect and store sensitive data in our data centers and on our networks, including intellectual property, proprietary business information, critical operating information and data, information regarding our customers, suppliers, royalty owners and business partners, and personally identifiable information of our employees.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services, which could adversely affect our business.</w:t>
      </w:r>
    </w:p>
    <w:p>
      <w:pPr>
        <w:spacing w:after="0" w:line="195" w:lineRule="exact"/>
        <w:rPr>
          <w:sz w:val="20"/>
          <w:szCs w:val="20"/>
          <w:color w:val="auto"/>
        </w:rPr>
      </w:pPr>
    </w:p>
    <w:p>
      <w:pPr>
        <w:jc w:val="both"/>
        <w:ind w:right="280" w:firstLine="648"/>
        <w:spacing w:after="0" w:line="287" w:lineRule="auto"/>
        <w:rPr>
          <w:sz w:val="20"/>
          <w:szCs w:val="20"/>
          <w:color w:val="auto"/>
        </w:rPr>
      </w:pPr>
      <w:r>
        <w:rPr>
          <w:rFonts w:ascii="Arial" w:cs="Arial" w:eastAsia="Arial" w:hAnsi="Arial"/>
          <w:sz w:val="16"/>
          <w:szCs w:val="16"/>
          <w:color w:val="auto"/>
        </w:rPr>
        <w:t>Our information technology infrastructure is critical to the efficient operation of our business and essential to our ability to perform day-to-day operations. Potential risks to our IT systems include unauthorized attempts to extract business sensitive, confidential or personal information, denial of access extortion, corruption of information or disruption of business processes, or by inadvertent or intentional actions by our employees or vendors.</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Breaches in our information technology infrastructure or physical facilities, or other disruptions, could result in damage to our assets, safety incidents, damage to the environment, remediation costs, potential liability, regulatory enforcement, violation of privacy or securities laws and regulations or the loss of contracts, any of which could have a material adverse effect on our operations, financial position and results of operations.</w:t>
      </w:r>
    </w:p>
    <w:p>
      <w:pPr>
        <w:spacing w:after="0" w:line="20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self-insure and thus do not carry insurance specifically for cybersecurity events; however, certain of our insurance policies may allow for coverage of associated damages resulting from such events. If we were to incur a significant liability for which we were not fully insured, or if we incurred costs in excess of reserves established for uninsured or self-insured risks, it could have a material adverse effect on our financial position, results of operations and cash flows.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face opposition to the development or operation of our pipelines and facilities from various groups and our business may be subject to societal and political pressures.</w:t>
      </w:r>
    </w:p>
    <w:p>
      <w:pPr>
        <w:spacing w:after="0" w:line="19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may face opposition to the development or operation of our pipelines and facilities from environmental groups, landowners, tribal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business plans are based upon the assumption that societal sentiment will continue to enable, and existing regulations will stay intact for, the future development, transportation and use of hydrocarbon-based fuels. Policy decisions relating to the production, refining, transportation and marketing of hydrocarbon-based fuels are subject to political pressures, the negative portrayal of the industry in which we operate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our business.</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Recently, 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our services and directly affect our ability to fund construction or other capital projects, as well as properly run our ongoing operations.</w:t>
      </w:r>
    </w:p>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results of our Supply and Logistics segment are influenced by the overall forward market for crude oil and NGL, and certain market structures, the absence of pricing volatility and other market factors may adversely impact our results.</w:t>
      </w:r>
    </w:p>
    <w:p>
      <w:pPr>
        <w:spacing w:after="0" w:line="19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Results from our Supply and Logistics segment are dependent on a variety of factors affecting the markets for crude oil and NGL, including regional and international supply and demand imbalances, takeaway availability and constraints, transportation costs and the overall forward market for crude oil. Periods when differentials are wide or when there is volatility in the forward market structure are generally more favorable for our Supply and Logistics segment. During periods where the infrastructure is over-built and/or there is a lack of volatility in the pricing structure our results may be negatively impacted. Depending on the overall duration of these transition periods, how we have allocated our assets to particular strategies and the time length of our crude oil purchase and sale contracts and storage agreements, these periods may have either an adverse or beneficial effect on our aggregate segment results. In the past, the results from our Supply and Logistics segment have varied significantly based on market conditions and this segment may continue to experience highly variable results as a result of future changes to the markets for crude oil and NGL.</w:t>
      </w:r>
    </w:p>
    <w:p>
      <w:pPr>
        <w:spacing w:after="0" w:line="1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not be able to fully implement or realize expected returns or other anticipated benefits associated with joint venture and joint ownership arrangements, divestitures, acquisitions and other projects.</w:t>
      </w:r>
    </w:p>
    <w:p>
      <w:pPr>
        <w:spacing w:after="0" w:line="197"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We are undertaking, or are participating with various counterparties in, a number of projects that involve the construction of new midstream energy infrastructure assets or the expansion, modification, divestiture or combination of existing assets. Many of these projects involve numerous regulatory, environmental, commercial, economic, weather-related, political and legal uncertainties that are beyond our control, including the following:</w:t>
      </w:r>
    </w:p>
    <w:p>
      <w:pPr>
        <w:spacing w:after="0" w:line="176" w:lineRule="exact"/>
        <w:rPr>
          <w:sz w:val="20"/>
          <w:szCs w:val="20"/>
          <w:color w:val="auto"/>
        </w:rPr>
      </w:pPr>
    </w:p>
    <w:p>
      <w:pPr>
        <w:ind w:left="980" w:right="92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construct pipelines, facilities or other assets in anticipation of market demand that dissipates or market growth that never materializes;</w:t>
      </w:r>
    </w:p>
    <w:p>
      <w:pPr>
        <w:spacing w:after="0" w:line="62" w:lineRule="exact"/>
        <w:rPr>
          <w:rFonts w:ascii="Arial" w:cs="Arial" w:eastAsia="Arial" w:hAnsi="Arial"/>
          <w:sz w:val="18"/>
          <w:szCs w:val="18"/>
          <w:color w:val="auto"/>
        </w:rPr>
      </w:pPr>
    </w:p>
    <w:p>
      <w:pPr>
        <w:ind w:left="980" w:right="80" w:hanging="324"/>
        <w:spacing w:after="0" w:line="311"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Despite the fact that we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40" w:lineRule="exact"/>
        <w:rPr>
          <w:rFonts w:ascii="Arial" w:cs="Arial" w:eastAsia="Arial" w:hAnsi="Arial"/>
          <w:sz w:val="16"/>
          <w:szCs w:val="16"/>
          <w:color w:val="auto"/>
        </w:rPr>
      </w:pPr>
    </w:p>
    <w:p>
      <w:pPr>
        <w:ind w:left="980" w:right="56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75"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face opposition to our planned projects from environmental groups, landowners, local groups and other advocates, including lawsuits or other actions designed to disrupt or delay our planned projects;</w:t>
      </w:r>
    </w:p>
    <w:p>
      <w:pPr>
        <w:spacing w:after="0" w:line="62" w:lineRule="exact"/>
        <w:rPr>
          <w:rFonts w:ascii="Arial" w:cs="Arial" w:eastAsia="Arial" w:hAnsi="Arial"/>
          <w:sz w:val="18"/>
          <w:szCs w:val="18"/>
          <w:color w:val="auto"/>
        </w:rPr>
      </w:pPr>
    </w:p>
    <w:p>
      <w:pPr>
        <w:ind w:left="980" w:right="40" w:hanging="324"/>
        <w:spacing w:after="0" w:line="342"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15" w:lineRule="exact"/>
        <w:rPr>
          <w:rFonts w:ascii="Arial" w:cs="Arial" w:eastAsia="Arial" w:hAnsi="Arial"/>
          <w:sz w:val="16"/>
          <w:szCs w:val="16"/>
          <w:color w:val="auto"/>
        </w:rPr>
      </w:pPr>
    </w:p>
    <w:p>
      <w:pPr>
        <w:ind w:left="980" w:hanging="324"/>
        <w:spacing w:after="0" w:line="259"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completion or success of our projects may depend on the completion or success of third-party facilities over which we have no control.</w:t>
      </w:r>
    </w:p>
    <w:p>
      <w:pPr>
        <w:spacing w:after="0" w:line="27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our planned projects may not be achieved or could be delayed. In turn, this could negatively impact our cash flow and our ability to make or increase cash distributions to our partners.</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Loss of our investment grade credit rating or the ability to receive open credit could negatively affect our borrowing costs, ability to purchase crude oil, NGL and natural gas supplies or to capitalize on market opportunities.</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business is dependent on our ability to maintain an attractive credit rating and continue to receive open credit from our suppliers and trade counterparties. Our senior unsecured debt is currently rated as “investment grade” by Standard &amp; Poor’s and Fitch Ratings Inc. In August 2017, Moody’s Investors Service downgraded its rating of our senior unsecured debt to a level below investment grade. A further downgrade by any of such agencies to a level below our current ratings levels assigned by such rating agencies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Loss of our remaining investment grade credit ratings could also adversely impact our cash flows, our ability to make distributions at our current levels and the value of our outstanding equity and debt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credit risk of our customers and other counterparties we transact with in the ordinary course of our business activities.</w:t>
      </w:r>
    </w:p>
    <w:p>
      <w:pPr>
        <w:spacing w:after="0" w:line="27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Risks of nonpayment and nonperformance by customers or other counterparties are a significant consideration in our business, and the economic fallout of the COVID-19 pandemic has had an adverse impact on the creditworthiness of many companies in the energy sector.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pacing w:after="0" w:line="21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have a number of minimum volume commitment contracts that support pipelines in our Transportation segment.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our profitability and earnings.</w:t>
      </w:r>
    </w:p>
    <w:p>
      <w:pPr>
        <w:spacing w:after="0" w:line="21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spacing w:after="0" w:line="21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231F20"/>
        </w:rPr>
        <w:t>We have also undertaken numerous projects that require cooperation with and performance by joint venture co-owners. In addition, in connection with various acquisition, divestiture, joint venture and other transactions, we often receive indemnifications from various parties for certain risks or liabilities. Nonperformance by any of these parties could result in increased costs or other adverse consequences that could decrease our earnings and returns.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231F20"/>
        </w:rPr>
        <w:t>We also rely to a significant degree on the banks that lend to us under our revolving credit facility for financial liquidity, and any failure of those banks to perform on their obligations to us could significantly impair our liquidity. Furthermore, nonpayment by the counterparties to our interest rate, commodity and/or foreign currency derivatives could expose us to additional interest rate, commodity price and/or foreign currency risk.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 joint ventures, joint ownership arrangements and acquisitions involve risks that may adversely affect our business.</w:t>
      </w:r>
    </w:p>
    <w:p>
      <w:pPr>
        <w:spacing w:after="0" w:line="252"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Our ability to execute our financial strategy is in part dependent on our ability to complete strategic divestitures or sales of interests to strategic partners. If we are unable to successfully complete planned divestitures (due to reduced investment in the energy sector, governmental action, litigation, counterparty non-performance or other factors), it may be more difficult for us to achieve our desired leverage levels, increase returns to equity holders or otherwise accomplish our financial goals. In addition, in connection with our divestitures, we may agree to retain responsibility for certain liabilities that relate to our period of ownership, which could adversely impact our future financial performance.</w:t>
      </w:r>
    </w:p>
    <w:p>
      <w:pPr>
        <w:spacing w:after="0" w:line="20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also involved in many strategic joint ventures and other joint ownership arrangements. We may not always be in complete alignment with our joint venture or joint owner counterparties; we may have differing strategic or commercial objectives and may be outvoted by our joint venture partners or we may disagree on governance matters with respect to the joint venture entity or the jointly owned assets. When we enter into joint ventures or joint ownership arrangements we may be subject to the risk that our counterparties do not fund their obligations. In some joint ventures and joint ownership arrangements we may not be responsible for construction or operation of such projects and will rely on our joint venture or joint owner counterparties for such services. Joint ventures and joint ownership arrangements may also require us to expend additional internal resources that could otherwise be directed to other projects. If we are unable to successfully execute and manage our existing and proposed joint venture and joint owner projects, it could adversely impact our financial and operating results.</w:t>
      </w:r>
    </w:p>
    <w:p>
      <w:pPr>
        <w:spacing w:after="0" w:line="20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Although our near-term strategy does not include a focus on acquisitions, we have completed a number of acquisitions in the past and may pursue future acquisitions on a selective basis. Any acquisition involves potential risks, including:</w:t>
      </w:r>
    </w:p>
    <w:p>
      <w:pPr>
        <w:spacing w:after="0" w:line="197"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we used in evaluating the acquisition;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117" w:lineRule="exact"/>
        <w:rPr>
          <w:rFonts w:ascii="Arial" w:cs="Arial" w:eastAsia="Arial" w:hAnsi="Arial"/>
          <w:sz w:val="18"/>
          <w:szCs w:val="18"/>
          <w:color w:val="auto"/>
        </w:rPr>
      </w:pPr>
    </w:p>
    <w:p>
      <w:pPr>
        <w:ind w:left="980" w:right="20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we are either not fully insured or indemnified, including liabilities arising from the operation of the acquired businesses or assets prior to our acquisition;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our historical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from our acquisitions, realize other anticipated benefits and our ability to pay distributions to our partners or meet our debt service requirements.</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Tightened capital markets or other factors that increase our cost of capital or otherwise limit our access to capital could impair our ability to achieve our strategic objectives.</w:t>
      </w:r>
    </w:p>
    <w:p>
      <w:pPr>
        <w:spacing w:after="0" w:line="19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Any limitations on our access to capital or increase in the cost of that capital could significantly impair the implementation of our strategy. Our ability to maintain our targeted credit profile, including maintaining our credit ratings, could affect our cost of capital as well as our ability to execute our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strategic projects and transactions, take advantage of business opportunities or respond to competitive pressures, any of which could have a material adverse effect on our revenues and results of operations.</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risk policies cannot eliminate all risks. In addition, the insufficiency of, or non-compliance with our risk policies could result in significant financial losses.</w:t>
      </w:r>
    </w:p>
    <w:p>
      <w:pPr>
        <w:spacing w:after="0" w:line="19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Generally, it is our policy to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and sold against a different index. We may also face disruptions to futures markets for crude oil, NGL and other petroleum products, which may impair our ability to execute our commercial or hedging strategies related to the COVID-19 pandemic, future pandemics, epidemics, other public health emergencies or other factors. Margin requirements due to spikes or crashes in commodity prices may require us to exit hedge strategies at inopportune times. Moreover, we are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refined products and NGL, up to predefined limits and authorizations. Although this activity is monitored independently by our risk management function, it exposes us to commodity price risks within these limits.</w:t>
      </w:r>
    </w:p>
    <w:p>
      <w:pPr>
        <w:spacing w:after="0" w:line="213"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In addition, our operations involve the risk of non-compliance with our risk policies. We have taken steps within our organization to implement processes and procedures designed to detect unauthorized trading; however, we can provide no assurance that these steps will detect and prevent all violations of our risk policies and procedures, particularly if deception, collusion or other intentional misconduct is involved.</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insurance coverage may not fully cover our losses and we may in the future encounter increased costs related to, and lack of availability of, insurance.</w:t>
      </w:r>
    </w:p>
    <w:p>
      <w:pPr>
        <w:spacing w:after="0" w:line="197" w:lineRule="exact"/>
        <w:rPr>
          <w:sz w:val="20"/>
          <w:szCs w:val="20"/>
          <w:color w:val="auto"/>
        </w:rPr>
      </w:pPr>
    </w:p>
    <w:p>
      <w:pPr>
        <w:ind w:right="20" w:firstLine="648"/>
        <w:spacing w:after="0" w:line="308" w:lineRule="auto"/>
        <w:rPr>
          <w:sz w:val="20"/>
          <w:szCs w:val="20"/>
          <w:color w:val="auto"/>
        </w:rPr>
      </w:pPr>
      <w:r>
        <w:rPr>
          <w:rFonts w:ascii="Arial" w:cs="Arial" w:eastAsia="Arial" w:hAnsi="Arial"/>
          <w:sz w:val="16"/>
          <w:szCs w:val="16"/>
          <w:color w:val="auto"/>
        </w:rPr>
        <w:t>While we maintain insurance coverage at levels that we believe to be reasonable and prudent, we can provide no assurance that our current levels of insurance will be sufficient to cover any losses that we have incurred or may incur in the future, whether due to deductibles, coverage challenges or other</w:t>
      </w:r>
    </w:p>
    <w:p>
      <w:pPr>
        <w:spacing w:after="0" w:line="253" w:lineRule="auto"/>
        <w:rPr>
          <w:sz w:val="20"/>
          <w:szCs w:val="20"/>
          <w:color w:val="auto"/>
        </w:rPr>
      </w:pPr>
      <w:r>
        <w:rPr>
          <w:rFonts w:ascii="Arial" w:cs="Arial" w:eastAsia="Arial" w:hAnsi="Arial"/>
          <w:sz w:val="18"/>
          <w:szCs w:val="18"/>
          <w:color w:val="auto"/>
        </w:rPr>
        <w:t>limitations. In addition, over the last several years, as the scale and scope of our business activities has expanded, the breadth and depth of available insurance markets has contracted. As a result of these factors and other market conditions, as well as the fact that we have experienced several incidents over the last several years,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our financial position, results of operations and cash flows.</w:t>
      </w:r>
    </w:p>
    <w:p>
      <w:pPr>
        <w:spacing w:after="0" w:line="223"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The terms of our indebtedness may limit our ability to borrow additional funds or capitalize on business opportunities. In addition, our current or future debt levels, or inability to borrow additional funds or capitalize on business opportunities may limit our future financial and operating flexibility.</w:t>
      </w:r>
    </w:p>
    <w:p>
      <w:pPr>
        <w:spacing w:after="0" w:line="127" w:lineRule="exact"/>
        <w:rPr>
          <w:sz w:val="20"/>
          <w:szCs w:val="20"/>
          <w:color w:val="auto"/>
        </w:rPr>
      </w:pPr>
    </w:p>
    <w:p>
      <w:pPr>
        <w:ind w:right="340" w:firstLine="648"/>
        <w:spacing w:after="0" w:line="296" w:lineRule="auto"/>
        <w:rPr>
          <w:sz w:val="20"/>
          <w:szCs w:val="20"/>
          <w:color w:val="auto"/>
        </w:rPr>
      </w:pPr>
      <w:r>
        <w:rPr>
          <w:rFonts w:ascii="Arial" w:cs="Arial" w:eastAsia="Arial" w:hAnsi="Arial"/>
          <w:sz w:val="16"/>
          <w:szCs w:val="16"/>
          <w:color w:val="auto"/>
        </w:rPr>
        <w:t>As of December 31, 2020, the face value of our consolidated debt outstanding was approximately $10.3 billion, consisting of approximately $9.5 billion face value of long-term debt (including senior notes, term loan borrowings and finance lease obligations) and approximately $0.8 billion of short-term borrowings. As of December 31, 2020, we had approximately $2.2 billion of liquidity available, including cash and cash equivalents and available borrowing capacity under our senior unsecured revolving credit facility and our senior secured hedged inventory facility, subject to continued covenant compliance. Lower Adjusted EBITDA could increase our leverage ratios and effectively reduce our ability to incur additional indebtedness.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our current or future indebtedness could have significant effects on our operations, including, among other things:</w:t>
      </w:r>
    </w:p>
    <w:p>
      <w:pPr>
        <w:spacing w:after="0" w:line="252" w:lineRule="exact"/>
        <w:rPr>
          <w:sz w:val="20"/>
          <w:szCs w:val="20"/>
          <w:color w:val="auto"/>
        </w:rPr>
      </w:pPr>
    </w:p>
    <w:p>
      <w:pPr>
        <w:ind w:left="980" w:right="10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credit rating agencies may view our debt level negatively;</w:t>
      </w:r>
    </w:p>
    <w:p>
      <w:pPr>
        <w:spacing w:after="0" w:line="117" w:lineRule="exact"/>
        <w:rPr>
          <w:rFonts w:ascii="Arial" w:cs="Arial" w:eastAsia="Arial" w:hAnsi="Arial"/>
          <w:sz w:val="18"/>
          <w:szCs w:val="18"/>
          <w:color w:val="auto"/>
        </w:rPr>
      </w:pPr>
    </w:p>
    <w:p>
      <w:pPr>
        <w:ind w:left="980" w:right="64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covenants contained in our existing debt arrangements will require us to continue to meet financial tests that may adversely affect our flexibility in planning for and reacting to changes in our business;</w:t>
      </w:r>
    </w:p>
    <w:p>
      <w:pPr>
        <w:spacing w:after="0" w:line="62"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additional financing for working capital, capital expenditures, acquisitions and general partnership purposes may be limited;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facilities treat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Moreover,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bank credit, as opposed to long-term public debt securities or equity securities, or sell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our business and the trading price of our units.</w:t>
      </w:r>
    </w:p>
    <w:p>
      <w:pPr>
        <w:spacing w:after="0" w:line="25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As of December 31, 2020, the face value of our consolidated debt was approximately $10.3 billion, of which approximately $9.4 billion was at fixed interest rates and approximately $0.9 billion was at variable interest rates. We are exposed to market risk due to the short-term nature of our commercial paper borrowings and the floating interest rates on our credit facilities. Our results of operations, cash flows and financial position could be adversely affected by significant increases in interest rates above current levels. Additionally, increases in interest rates could adversely affect our Supply and Logistics segment results by increasing interest costs associated with the storage of hedged crude oil and NGL inventory. Further, the trading price of our common units may be sensitive to changes in interest rates and any rise in interest rates could adversely impact such trading price.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as the U.S. dollar appreciates against the Canadian dollar, the U.S. dollar value of our Canadian dollar denominated earnings is reduced for U.S. reporting purposes.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business requires the retention and recruitment of a skilled workforce, and difficulties recruiting and retaining our workforce could result in a failure to implement our business plans.</w:t>
      </w:r>
    </w:p>
    <w:p>
      <w:pPr>
        <w:spacing w:after="0" w:line="19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Our operations and management require the retention and recruitment of a skilled workforce, including engineers, technical personnel and other professionals. We and our affiliates compete with other companies in the energy industry for this skilled workforce. The COVID-19 pandemic and associated restrictions may also place additional demands on our employees, which may in turn make it more challenging to retain or recruit talented labor. If we are unable to (i) retain current employees; and/or (ii) recruit new employees of comparable knowledge and experience, our business could be negatively impacted. In addition, we could experience increased costs to retain and recruit these professionals.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long-term assets could reduce our earnings.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At December 31, 2020, we had approximately $14.6 billion of net property and equipment, $982 million of linefill and base gas, $3.8 billion of investments accounted for under the equity method of accounting and $805 million of net intangible assets capitalized on our balance sheet. GAAP requires an assessment for impairment in certain circumstances, including when there is an indication that the carrying value of property and equipment may not be recoverable. If we were to determine that any of our property and equipment, linefill and base gas,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 During the year ended December 31, 2020, we recognized goodwill impairment losses of $2.5 billion and non-cash impairment charges of approximately $914 million related to the write-down of certain pipeline and other long-lived assets, certain of our investments in unconsolidated entities, and assets upon classification as held for sale. See Note 6, Note 7, Note 8 and Note 9 to our Consolidated Financial Statements for additional information regarding these impairments.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use or availability of third-party assets for certain of our operations.</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Certain of our business activities require the use or availability of third-party assets over which we may have little or no control. If at any time the availability of these assets is limited or denied, and if access to alternative assets cannot be arranged, it could have an adverse effect on our business, results of operations and cash flow.</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Significant under-utilization of certain assets could significantly reduce our profitability due to fixed costs incurred to obtain the right to use such assets.</w:t>
      </w:r>
    </w:p>
    <w:p>
      <w:pPr>
        <w:spacing w:after="0" w:line="197"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From time to time in connection with our business, we may lease or otherwise secure the right to use certain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assets. Significant under-utilization of assets we lease or otherwise secure the right to use in connection with our business could have a significant negative impact on our profitability and cash flows.</w:t>
      </w:r>
    </w:p>
    <w:p>
      <w:pPr>
        <w:spacing w:after="0" w:line="2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pipelines, terminals, storage and processing and fractionation assets are generally long-lived assets, and many of them have been in service for many years. The age and condition of our assets could result in increased maintenance or repair expenditures in the future. Any significant increase in these expenditures could adversely affect our results of operations, financial position or cash flows, as well as our ability to make cash distributions to our unitholders.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own all of the land on which our pipelines and facilities are located, which could result in disruptions to our operations.</w:t>
      </w:r>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do not own all of the land on which our pipelines and facilities have been constructed, and therefore are potentially subject to more onerous terms and/or increased costs to retain necessary land use if we do not have valid rights-of-way or if such rights-of-way lapse or terminate. In some instances, we obtain the rights to construct and operate our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In September 2018, the Fourth Circuit Court of Appeals reversed a decision of the United States Forest Service (“USFS”) issuing a permit for the construction of a pipeline and granting a right of way across the Appalachian Trail, ruling that the USFS lacked statutory authority. This decision may make it more difficult to obtain permits and rights of way on certain federal lands and may be used as precedent to challenge existing and future permits and rights of way. Additionally, parts of our operations cross land that has historically been apportioned to various Native American/First Nations tribes, who may exercise significant jurisdiction and sovereignty over their lands. For more information, see our regulatory disclosure entitled “Indigenous Protections.” We cannot guarantee that we will always be able to renew existing rights-of-way or obtain new rights-of-way on favorable terms or without experiencing significant delays and costs. Any loss of rights with respect to real property, through our inability to renew right-of-way contracts or otherwise, could have a material adverse effect on our business, results of operations, and financial position.</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we may not be able to perform all of our obligations under our contracts, which could lead to increased costs and negatively impact our financial results.</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our part to satisfy our contractual commitments and obligations. For example, in connection with our provision of firm storage services and hub services to our natural gas storage customers, we enter into contracts that obligate us to honor our customers’ requests to inject gas into our storage facilities, withdraw gas from our facilities and wheel gas through our facilities, in each case subject to volume, timing and other limitations set forth in such contracts. The following factors could adversely impact our ability to perform our obligations under these contracts:</w:t>
      </w:r>
    </w:p>
    <w:p>
      <w:pPr>
        <w:spacing w:after="0" w:line="215" w:lineRule="exact"/>
        <w:rPr>
          <w:sz w:val="20"/>
          <w:szCs w:val="20"/>
          <w:color w:val="auto"/>
        </w:rPr>
      </w:pPr>
    </w:p>
    <w:p>
      <w:pPr>
        <w:ind w:left="980" w:right="66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failure on the part of our storage facilities to perform as we expect them to, whether due to malfunction of equipment or facilities or realization of other operational risks;</w:t>
      </w:r>
    </w:p>
    <w:p>
      <w:pPr>
        <w:spacing w:after="0" w:line="62" w:lineRule="exact"/>
        <w:rPr>
          <w:rFonts w:ascii="Arial" w:cs="Arial" w:eastAsia="Arial" w:hAnsi="Arial"/>
          <w:sz w:val="18"/>
          <w:szCs w:val="18"/>
          <w:color w:val="auto"/>
        </w:rPr>
      </w:pPr>
    </w:p>
    <w:p>
      <w:pPr>
        <w:ind w:left="980" w:right="60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operating pressure of our storage facilities (affected in varying degree, depending on the type of storage cavern, by total volume of working and base gas, and temperature);</w:t>
      </w:r>
    </w:p>
    <w:p>
      <w:pPr>
        <w:spacing w:after="0" w:line="62" w:lineRule="exact"/>
        <w:rPr>
          <w:rFonts w:ascii="Arial" w:cs="Arial" w:eastAsia="Arial" w:hAnsi="Arial"/>
          <w:sz w:val="18"/>
          <w:szCs w:val="18"/>
          <w:color w:val="auto"/>
        </w:rPr>
      </w:pPr>
    </w:p>
    <w:p>
      <w:pPr>
        <w:ind w:left="980" w:hanging="324"/>
        <w:spacing w:after="0" w:line="270" w:lineRule="auto"/>
        <w:tabs>
          <w:tab w:leader="none" w:pos="97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variety of commercial decisions we make from time to time in connection with the management and operation of our storage facilities. Examples include, without limitation, decisions with respect to matters such as (i) the aggregate amount of commitments we are willing to make with respect to wheeling, injection, and withdrawal services, which could exceed our capabilities at any given time for various reasons, (ii) the timing of scheduled and unplanned maintenance or repairs, which can impact equipment availability and capacity, (iii) the schedule for and rate at which we conduct opportunistic leaching activities at our facilities in connection with the expansion of existing salt caverns, which can impact the amount of storage capacity we have available to satisfy our customers’ requests, (iv) the timing and aggregate volume of any base gas park and/or loan transactions we consummate, which can directly affect the operating pressure of our storage facilities and (v) the amount of compression capacity and other gas handling equipment that we install at our facilities to support gas wheeling, injection and withdrawal activities; and</w:t>
      </w:r>
    </w:p>
    <w:p>
      <w:pPr>
        <w:spacing w:after="0" w:line="72" w:lineRule="exact"/>
        <w:rPr>
          <w:rFonts w:ascii="Arial" w:cs="Arial" w:eastAsia="Arial" w:hAnsi="Arial"/>
          <w:sz w:val="17"/>
          <w:szCs w:val="17"/>
          <w:color w:val="auto"/>
        </w:rPr>
      </w:pPr>
    </w:p>
    <w:p>
      <w:pPr>
        <w:ind w:left="980" w:right="36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9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Although we manage and monitor all of these various factors in connection with the ongoing operation of our natural gas storage facilities with the goal of performing all of our contractual commitments and obligations and optimizing our revenue, one or more of the above factors may adversely impact our ability to satisfy our injection, withdrawal or wheeling obligations under our storage contracts. In such event, we may be liable to our customers for losses or damages they suffer and/or we may need to incur costs or expenses in order to permit us to satisfy our obligations.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If we fail to obtain materials or commodities in the quantity and the quality we need, and at commercially acceptable prices, whether due to supply disruptions, tariffs, quotas or other factors, our results of operations, financial condition and cash flows could be materially and adversely affected.</w:t>
      </w:r>
    </w:p>
    <w:p>
      <w:pPr>
        <w:spacing w:after="0" w:line="12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Our business requires access to steel and other materials to construct and maintain new and existing pipelines and facilities. If we experience a shortage in the supply of these materials or are unable to source sufficient quantities of high quality materials at acceptable prices and in a timely manner, it could materially and adversely affect our ability to construct new infrastructure and maintain our existing assets.</w:t>
      </w:r>
    </w:p>
    <w:p>
      <w:pPr>
        <w:spacing w:after="0" w:line="192"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Our business also depends on having access to significant amounts of electricity and other commodities. If we are unable to obtain commodities sufficient to operate and maintain our assets, it could materially and adversely affect our business.</w:t>
      </w:r>
    </w:p>
    <w:p>
      <w:pPr>
        <w:spacing w:after="0" w:line="19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COVID-19 pandemic has caused widespread supply chain disruptions, which may make it more challenging to obtain sufficient quantities of high quality materials at acceptable prices and in a timely manner. If we are unable to source such materials, it could materially and adversely affect our ability to construct new infrastructure and maintain our existing assets.</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some of the materials used in our business are imported. Existing and future import duties and quotas could materially increase our costs of procuring imported or domestic steel and/or create shortages or difficulties in procuring sufficient quantities of steel meeting our required technical specifications. A material increase in our costs of construction and maintenance or any significant delays in our ability to complete our infrastructure projects could have a material adverse effect on our financial position,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56"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Our operations are subject to laws and regulations relating to protection of the environment and wildlife,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w:t>
      </w:r>
    </w:p>
    <w:p>
      <w:pPr>
        <w:spacing w:after="0" w:line="176"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NGL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and wildlife, operational safety, climate change and related matters. Compliance with all of these laws and regulations increases our overall cost of doing business, including our capital costs to construct, maintain and upgrade equipment and facilities. Also, new or additional regulations, new interpretations of existing requirements or changes in our operations could trigger new permitting requirements applicable to our operations, which could result in increased costs or delays of, or denial of rights to conduct, our development programs. The failure to comply with any such laws and regulations could result in the assessment of administrative, civil, and criminal penalties, the imposition of investigatory and remedial liabilities, the issuance of injunctions that may subject us to additional operational requirements and constraints, or claims of damages to property or persons resulting from our operations. In addition, criminal violations of certain environmental laws, or in some cases even the allegation of criminal violations, may result in the temporary suspension or outright debarment from participating in government contracts.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Our business and operations may also become subject to additional laws or regulations. For example, President Biden campaigned on several initiatives to address environmental concerns. Following the election of President Biden and a Democratic majority in both houses of Congress, it is possible that our operations, and those of our customers, may be subject to greater environmental regulations, particularly with regard to hydraulic fracturing, permitting, and GHG emissions. Any new laws, executive orders or regulations, or changes to or interpretations of existing laws or regulations, adverse to us could have a material adverse effect on our operations, revenues, expenses and profitability.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have a history of incremental additions to the miles of pipelines we own, both through acquisitions and investment capital projects. We have also increased our terminal and storage capacity and operate several facilities on or near navigable waters and domestic water supplies. Although we have implemented programs intended to maintain the integrity of our assets (discussed below), as we acquire additional assets we are at risk for an increase in the number of releases of liquid hydrocarbons into the environment. These releases expose us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spacing w:after="0" w:line="19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We currently devote substantial resources to comply with DOT-mandated pipeline integrity rules. The DOT regulations include requirements for the establishment of pipeline integrity management programs and for protection of “high consequence areas” where a pipeline leak or rupture could produce significant adverse consequences. Pipeline safety regulations are revised frequently. For example, Congress, through the 2021 Fiscal Year Omnibus Appropriations Bill, directed PHMSA to move forward with several regulatory actions. For more information, please see our regulatory disclosure entitled “Pipeline Safety/Integrity Management.” The adoption of new regulations requiring more comprehensive or stringent safety standards could require us to install new or modified safety controls, pursue new capital projects, or conduct maintenance programs on an accelerated basis, all of which could require us to incur increased operational costs that could be significant.</w:t>
      </w:r>
    </w:p>
    <w:p>
      <w:pPr>
        <w:spacing w:after="0" w:line="20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Although we continue to focus on pipeline and facility integrity management as a primary operational emphasis, doing so requires substantial time and resources and cannot eliminate all risk of releases. We have an internal review process pursuant to which we examine various aspects of our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19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spacing w:after="0" w:line="21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97"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Our U.S. interstate common carrier liquids pipelines are subject to regulation by the FERC under the ICA. The ICA requires that tariff rates and terms and conditions of service for liquids pipelines be just and reasonable and non-discriminatory. We are also subject to the Pipeline Safety Regulations of the DOT. Our intrastate pipeline transportation activities are subject to various state laws and regulations as well as orders of regulatory bodies.</w:t>
      </w:r>
    </w:p>
    <w:p>
      <w:pPr>
        <w:spacing w:after="0" w:line="17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For our U.S. interstate common carrier liquids pipelines subject to FERC regulation under the ICA and our interstate natural gas storage facilities subject to FERC regulation under the NGA, shippers may protest our pipeline tariff filings or file complaints against our existing rates or complaints alleging that we are engaging in discriminating behavior. The FERC can also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the DOT, and certain state agencies. Under certain circumstances, the FERC could limit our ability to set our natural gas storage rates at market-based rates and could order us to reduce our rates for natural gas storage service or require the payment of refunds to our storage customers.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we routinely monitor the public filings and proceedings of other parties with the FERC and other regulatory agencies in an effort to identify issues that could potentially impact our business. Under certain circumstances we may choose to intervene in such third-party proceedings in order to express our support for, or our opposition to, various issues raised by the parties to such proceedings. For example, if we believe that a petition filed with, or order issued by, the FERC is improper, overbroad other otherwise flawed, we may attempt to intervene in such proceedings for the purpose of protesting such petition or order and requesting appropriate action such as a clarification, rehearing or other remedy. Despite such efforts, we can provide no assurance that the FERC and other agencies that regulate our business will not issue future orders or declarations that increase our costs or otherwise adversely affect our operations.</w:t>
      </w:r>
    </w:p>
    <w:p>
      <w:pPr>
        <w:spacing w:after="0" w:line="22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operations cross the U.S./Canada border and are subject to cross-border regulation.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cross border activities subject us to regulatory matters, including import and export licenses, tariffs, Canadian and U.S. customs and tax issues and toxic substance certifications. Such regulations include the Short Supply Controls of the EAA, the NAFTA and the TSCA. Violations of these licensing, tariff and tax reporting requirements could result in the imposition of significant administrative, civil and criminal penalties. Furthermore, Presidential Permits that allow cross-border movements of crude oil may be revoked or terminated at any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purchases and sales of crude oil, natural gas and NGL, and hedging activities, expose us to potential regulatory risks.</w:t>
      </w:r>
    </w:p>
    <w:p>
      <w:pPr>
        <w:spacing w:after="0" w:line="252"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purchases and sales of crude oil, natural gas or NGL and any related hedging activities that we undertake, we are required to observe the market-related regulations enforced by these agencies, which hold substantial enforcement authority. Our purchases and sales may also be subject to certain reporting and other requirements. Additionally, to the extent that we enter into transportation contracts with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19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our ability to use derivative instruments to reduce the effect of commodity price, interest rate and other risks associated with our business and increase the working capital requirement to conduct these hedging activities.</w:t>
      </w:r>
    </w:p>
    <w:p>
      <w:pPr>
        <w:spacing w:after="0" w:line="211"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Dodd-Frank Wall Street Reform and Consumer Protection Act (the “Dodd-Frank Act”), enacted on July 21, 2010, established federal oversight and regulation of derivative markets and entities, such as us,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January 2020,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us is uncertain at this time.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22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or if we are otherwise required to post additional cash margin or collateral it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spacing w:after="0" w:line="21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Dodd-Frank Act and related rules. The costs of such compliance may be passed on to customers such as ourselves, thus decreasing the benefits to us of hedging transactions or reducing our profitability. In addition, implementation of the Dodd-Frank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20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Finally, the Dodd-Frank Act was intended, in part, to reduce the volatility of oil and gas prices, which some legislators attributed to speculative trading in derivatives and commodity instruments related to oil and gas. Our financial results could be adversely affected if a consequence of the Dodd-Frank Act and implementing regulations is lower commodity prices.</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full impact of the Dodd-Frank Act and related regulatory requirements upon our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we encounter, reduce our ability to monetize or restructure our existing derivative contracts. If we reduce our use of derivatives as a result of the Dodd-Frank Act and regulations implementing the Dodd-Frank Act, our results of operations may become more volatile and our cash flows may be less predictable. Any of these consequences could have a material adverse effect on us, our financial condition and our results of operations.</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We do not perform hydraulic fracturing, but many of the producers using our pipelines do. Hydraulic fracturing has been subject to increased scrutiny and there have been a variety of legislative and regulatory proposals to prohibit, restrict, or more closely regulate various forms of hydraulic fracturing; for example, the Governor of California signed an executive order in which he announced plans to ask the state legislature to promulgate legislation banning the issuance of new hydraulic fracturing permits by 2024. In January 2021, President Biden signed an executive order directing the Secretary of the Interior to pause new oil and gas leases on public lands and in offshore waters of the United States.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reduce demand for our transportation, terminalling and storage services as well as our supply and logistics services.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Climate change laws and regulations restricting emissions of greenhouse gases could result in increased operating costs and reduced demand for crude oil and natural gas, while potential physical effects of climate change could disrupt crude oil production and cause us to incur significant costs in preparing for or responding to those effects.</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response to findings that emissions of GHGs present an endangerment to public health and the environment, the EPA has adopted regulations under existing provisions of the federal Clean Air Act to reduce GHG emissions. For example, in June 2016, the EPA finalized new regulations, known as Subpart OOOOa, that set emissions standards for methane and volatile organic compounds from new and modified oil and natural gas production and natural gas processing and transmission facilities. However, there have been attempts to modify these regulations, and litigation concerning the regulations is ongoing.</w:t>
      </w:r>
    </w:p>
    <w:p>
      <w:pPr>
        <w:spacing w:after="0" w:line="21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While Congress has from time to time considered legislation to reduce emissions of GHGs, no significant legislation to reduce GHG emissions has been adopted at the federal level. However, President Biden has previously stated that one of his administration’s climate change goals is to achieve a 100% clean energy economy and net-zero emissions by 2050 at the national level; however, we cannot predict the degree to which this plan may be successfully implemented, what initiatives may be promulgated to facilitate it, or the degree to which it may impact our operations. In the absence of federal climate legislation, a number of state and regional GHG restrictions have emerged. Analogous regulations are or may be implemented in Canada. Any future laws and regulations that limit emissions of GHGs could adversely affect supply of or demand for oil and natural gas that operators, some of whom are our customers, produce and could thereby reduce demand for our midstream services. For more information, see our regulatory disclosure entitled “Climate Change Initiatives.”</w:t>
      </w:r>
    </w:p>
    <w:p>
      <w:pPr>
        <w:spacing w:after="0" w:line="21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Moreover, activists concerned about the potential effects of climate change have directed their attention at sources of funding for hydrocarbon energy companies, which has resulted in certain sources of capital restricting or eliminating their investment in oil and natural gas activities. Additionally, activist shareholders have introduced proposals that may seek to force companies to adopt aggressive emission reduction targets or restrict more hydrocarbon-intensive activities. Separately, activists may also pursue other means of curtailing oil and gas operations, such as through litigation; several suits have been filed in recent years claiming that oil and gas companies are responsible for climate harm due to their production and/or marketing of hydrocarbons or that oil and gas companies have known about the adverse effects of climate change but failed to adequately disclose those impacts to their investors or consumers. While we cannot predict the outcomes of such activities, they could make it more difficult for operators to engage in exploration and production activities, ultimately reducing demand for our services. Finally, many scientists have concluded that increasing concentrations of GHGs in the Earth’s atmosphere may produce significant physical effects, such as increased frequency and severity of storms, droughts, floods and other climatic events; if any such effects were to occur, they have the potential to cause physical damage to our assets and thus could have an adverse effect on our financial condition and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reimbursements due to our general partner may be substantial and will reduce our cash available for distribution to unitholders.</w:t>
      </w:r>
    </w:p>
    <w:p>
      <w:pPr>
        <w:spacing w:after="0" w:line="26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with services for which we will be charged reasonable fees as determined by the general partner.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and the establishment of financial reserves.</w:t>
      </w:r>
    </w:p>
    <w:p>
      <w:pPr>
        <w:spacing w:after="0" w:line="25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levels of financial reserves and working capital borrowings, and not solely on profitability, which is affected by non-cash items.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Therefore, cash distributions might be made during periods when we record losses and might not be made during periods when we record profits.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preferred units have rights, preferences and privileges that are not held by, and are preferential to the rights of, holders of our common units.</w:t>
      </w:r>
    </w:p>
    <w:p>
      <w:pPr>
        <w:spacing w:after="0" w:line="2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Series A preferred units and Series B preferred units (together, our “preferred units”)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spacing w:after="0" w:line="2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distributions on the preferred units accrue and are cumulative, at the rate of 8% per annum with respect to our Series A preferred units and 6.125% with respect to our Series B preferred units on the original issue price. Our Series A preferred units are convertible into common units by the holders of such units or by us in certain circumstances. Our Series B preferred units are not convertible into common units, but are redeemable by us in certain circumstances. Our obligation to pay distributions on our preferred units, or on the common units issued following the conversion of our Series A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not be able to remove our general partner even if they wish to do so.</w:t>
      </w:r>
    </w:p>
    <w:p>
      <w:pPr>
        <w:spacing w:after="0" w:line="25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20"/>
          <w:szCs w:val="20"/>
          <w:color w:val="auto"/>
          <w:vertAlign w:val="subscript"/>
        </w:rPr>
        <w:t>3</w:t>
      </w:r>
      <w:r>
        <w:rPr>
          <w:rFonts w:ascii="Arial" w:cs="Arial" w:eastAsia="Arial" w:hAnsi="Arial"/>
          <w:sz w:val="16"/>
          <w:szCs w:val="16"/>
          <w:color w:val="auto"/>
        </w:rPr>
        <w:t>% of our outstanding units (including units held by our general partner or its affiliates). Because AAP owns approximately 34% of our outstanding common units and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20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197" w:lineRule="exact"/>
        <w:rPr>
          <w:sz w:val="20"/>
          <w:szCs w:val="20"/>
          <w:color w:val="auto"/>
        </w:rPr>
      </w:pPr>
    </w:p>
    <w:p>
      <w:pPr>
        <w:ind w:left="980" w:right="20" w:hanging="324"/>
        <w:spacing w:after="0" w:line="263"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w:t>
      </w:r>
    </w:p>
    <w:p>
      <w:pPr>
        <w:spacing w:after="0" w:line="21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PAGP GP Board is composed of three classes of directors, which limits our unitholders’ ability to make significant changes to the board in any given year; and</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9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a result of these provisions, the price at which our common units will trade may be lower because of the absence or reduction of a takeover premium in the trading price.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additional common units without unitholder approval, which would dilute a unitholder’s existing ownership interests.</w:t>
      </w:r>
    </w:p>
    <w:p>
      <w:pPr>
        <w:spacing w:after="0" w:line="26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Our general partner may cause us to issue an unlimited number of common units without unitholder approval (subject to applicable Nasdaq rules). We may also issue at any time an unlimited number of equity securities ranking junior or senior to the common units without unitholder approval (subject to applicable Nasdaq rules). The issuance of additional common units or other equity securities of equal or senior rank may have the following effects:</w:t>
      </w:r>
    </w:p>
    <w:p>
      <w:pPr>
        <w:spacing w:after="0" w:line="176"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existing unitholder’s proportionate ownership interest in the Partnership will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In addition, our Series A preferred units are convertible into common units at any time by the holders of such units, or under certain circumstances, at our option.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unitholders to sell their units at an undesirable time or price.</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9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21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214"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conflicts may include the following:</w:t>
      </w:r>
    </w:p>
    <w:p>
      <w:pPr>
        <w:spacing w:after="0" w:line="252"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our partnership agreement, we reimburse the general partner for the costs of managing and for operating the partnership;</w:t>
      </w:r>
    </w:p>
    <w:p>
      <w:pPr>
        <w:spacing w:after="0" w:line="117" w:lineRule="exact"/>
        <w:rPr>
          <w:rFonts w:ascii="Arial" w:cs="Arial" w:eastAsia="Arial" w:hAnsi="Arial"/>
          <w:sz w:val="18"/>
          <w:szCs w:val="18"/>
          <w:color w:val="auto"/>
        </w:rPr>
      </w:pPr>
    </w:p>
    <w:p>
      <w:pPr>
        <w:ind w:left="980" w:right="86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cash expenditures, borrowings and reserves in any quarter may affect available cash to pay quarterly distributions to unitholders;</w:t>
      </w:r>
    </w:p>
    <w:p>
      <w:pPr>
        <w:spacing w:after="0" w:line="62" w:lineRule="exact"/>
        <w:rPr>
          <w:rFonts w:ascii="Arial" w:cs="Arial" w:eastAsia="Arial" w:hAnsi="Arial"/>
          <w:sz w:val="18"/>
          <w:szCs w:val="18"/>
          <w:color w:val="auto"/>
        </w:rPr>
      </w:pPr>
    </w:p>
    <w:p>
      <w:pPr>
        <w:ind w:left="980" w:hanging="324"/>
        <w:spacing w:after="0" w:line="273" w:lineRule="auto"/>
        <w:tabs>
          <w:tab w:leader="none" w:pos="9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69" w:lineRule="exact"/>
        <w:rPr>
          <w:rFonts w:ascii="Arial" w:cs="Arial" w:eastAsia="Arial" w:hAnsi="Arial"/>
          <w:sz w:val="17"/>
          <w:szCs w:val="17"/>
          <w:color w:val="auto"/>
        </w:rPr>
      </w:pPr>
    </w:p>
    <w:p>
      <w:pPr>
        <w:ind w:left="980" w:right="36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ultimate owners of our general partner to directly or indirectly transfer their ownership interest in our general partner to a third party. Any new owner of our general partner would, subject to obtaining any approvals or consents required under the applicable governing documents for the PAGP entities, be able to replace the board of directors and officers with its own choices and to control their decisions and actions.</w:t>
      </w:r>
    </w:p>
    <w:p>
      <w:pPr>
        <w:spacing w:after="0" w:line="21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Debt Securities</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75"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Our leverage is significant in relation to our partners’ capital. At December 31, 2020, the face value of our total outstanding long-term debt was approximately $9.5 billion, and the face value of our total outstanding short-term debt was approximately $0.8 billion.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20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9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transfer our debt securities may be limited by the absence of an organized trading market.</w:t>
      </w:r>
    </w:p>
    <w:p>
      <w:pPr>
        <w:spacing w:after="0" w:line="252"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 which may restrict our ability to receive funds from such subsidiaries and make payments on our debt securities.</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9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88" w:lineRule="exact"/>
        <w:rPr>
          <w:sz w:val="20"/>
          <w:szCs w:val="20"/>
          <w:color w:val="auto"/>
        </w:rPr>
      </w:pPr>
    </w:p>
    <w:p>
      <w:pPr>
        <w:ind w:left="980" w:right="580" w:hanging="324"/>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comply with applicable law or any loan agreement, security agreement, mortgage, debt instrument or other agreement or obligation;</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provide funds to make payments on the preferred units;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provide funds for distributions to our common unitholders for any one or more of the next four calendar quarters.</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may decrease in direct correlation with decreases in the amount we distribute per unit. Accordingly, if we experience a liquidity problem in the future, we may not be able to issue equity to recapitalize.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Unitholders</w:t>
      </w:r>
    </w:p>
    <w:p>
      <w:pPr>
        <w:spacing w:after="0" w:line="256"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U.S. federal income tax purposes and not being subject to a material amount of entity-level taxation. If the IRS were to treat us as a corporation for federal income tax purposes, or we become subject to entity-level taxation for state or foreign tax purposes, our cash available for distributions to our unitholders would be substantially reduced.</w:t>
      </w:r>
    </w:p>
    <w:p>
      <w:pPr>
        <w:spacing w:after="0" w:line="176"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anticipated after-tax economic benefit of an investment in our units depends largely on our being treated as a partnership for federal income tax purposes. A publicly traded partnership such as us may be treated as a corporation for federal income tax purposes unless it satisfies a “qualifying income” requirement, as defined in Section 7704 of the Internal Revenue Code of 1986, as amended. Based upon our current operations and current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39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we were treated as a corporation for federal income tax purposes, we would pay federal income tax on our taxable income at the corporate tax rate,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to our unitholders would be substantially reduced. Therefore, treatment of us as a corporation would result in a material reduction in cash flow and after-tax return to our unitholders, likely causing a substantial reduction in the value of our units.</w:t>
      </w:r>
    </w:p>
    <w:p>
      <w:pPr>
        <w:spacing w:after="0" w:line="20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addition, several states have been evaluating ways to subject partnerships to entity-level taxation through the imposition of state income, franchise and other forms of taxation. For example, we are subject to entity-level tax on the portion of our income apportioned to Texas. Imposition of any similar taxes or additional federal or foreign taxes on us will reduce the cash available for distribution to our unitholders.</w:t>
      </w:r>
    </w:p>
    <w:p>
      <w:pPr>
        <w:spacing w:after="0" w:line="1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9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present U.S. federal income tax treatment of publicly traded partnerships, including us, or an investment in our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our ability to qualify for partnership tax treatment.</w:t>
      </w:r>
    </w:p>
    <w:p>
      <w:pPr>
        <w:spacing w:after="0" w:line="21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211" w:lineRule="exact"/>
        <w:rPr>
          <w:sz w:val="20"/>
          <w:szCs w:val="20"/>
          <w:color w:val="auto"/>
        </w:rPr>
      </w:pPr>
    </w:p>
    <w:p>
      <w:pPr>
        <w:ind w:right="40" w:firstLine="729"/>
        <w:spacing w:after="0" w:line="257" w:lineRule="auto"/>
        <w:rPr>
          <w:sz w:val="20"/>
          <w:szCs w:val="20"/>
          <w:color w:val="auto"/>
        </w:rPr>
      </w:pPr>
      <w:r>
        <w:rPr>
          <w:rFonts w:ascii="Arial" w:cs="Arial" w:eastAsia="Arial" w:hAnsi="Arial"/>
          <w:sz w:val="18"/>
          <w:szCs w:val="18"/>
          <w:color w:val="auto"/>
        </w:rPr>
        <w:t>Any modification to the U.S. federal income tax laws and interpretations thereof may or may not be retroactively applied and could make it more difficult or impossible for us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an investment in our units. You are urged to consult with your own tax advisor with respect to the status of regulatory or administrative developments and proposals and their potential effect on your investment in our units.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unitholders will be subject to U.S. taxes and withholding with respect to their income and gain from owning our units.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 to the extent the gain is effectively connected with a U.S. trade or business of the Non-U.S. unitholder.</w:t>
      </w:r>
    </w:p>
    <w:p>
      <w:pPr>
        <w:spacing w:after="0" w:line="21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recently issued Treasury regulations provide that the “amount realized” on a transfer of an interest in a publicly traded partnership will generally be the amount of gross proceeds paid to the broker effecting the applicable transfer on behalf of the transferor, and thus will be determined without regard to any decrease in that partner’s share of a publicly traded partnership’s liabilities. The Treasury regulations further provide that withholding on a transfer of an interest in a publicly traded partnership will not be imposed on a transfer that occurs prior to January 1, 2022, and after that date, if effected through a broker, the obligation to withhold is imposed on the transferor’s broker. Prospective foreign unitholders should consult their tax advisors regarding the impact of these rules on an investment in our units.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25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w:t>
      </w:r>
    </w:p>
    <w:p>
      <w:pPr>
        <w:spacing w:after="0" w:line="19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These rules are not applicable for tax years beginning on or prior to December 31, 2017.</w:t>
      </w:r>
    </w:p>
    <w:p>
      <w:pPr>
        <w:spacing w:after="0" w:line="19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If the IRS or Canada Revenue Agency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21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IRS has made no determination as to our status as a partnership for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 See Note 15 for additional information regarding CRA challenge of intercompany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unitholders may be required to pay taxes on their share of our income even if they do not receive any cash distributions from us.</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disposition of our common units could be more or less than expected.</w:t>
      </w:r>
    </w:p>
    <w:p>
      <w:pPr>
        <w:spacing w:after="0" w:line="25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If a unitholder sells common units, the unitholder will recognize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subject to limitation on their ability to deduct interest expense incurred by us.</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general, we are entitled to a deduction for interest paid or accrued on indebtedness properly allocable to our trade or business during our taxable year. However, subject to the exceptions in the CARES Act, under the Tax Cuts and Jobs Act, for taxable years beginning after December 31, 2017,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and in the case of taxable years beginning before January 1, 2022, any deduction allowable for depreciation, amortization, or depletion to the extent such depreciation, amortization, or depletion is not capitalized into cost of goods sold with respect to inventory.</w:t>
      </w:r>
    </w:p>
    <w:p>
      <w:pPr>
        <w:spacing w:after="0" w:line="205"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For our 2020 taxable year, the CARES Act increases the 30% adjusted taxable income limitation to 50%, unless we elect not to apply such increase. For purposes of determining our 50% adjusted taxable income limitation, we may elect to substitute our 2020 adjusted taxable income with our 2019 adjusted taxable income, which may result in a greater business interest expense deduction. In addition, unitholders may treat 50% of any excess business interest allocated to them in 2019 as deductible in the 2020 taxable year without regard to the 2020 business interest expense limitations. The remaining 50% of such unitholder’s excess business interest is carried forward and subject to the same limitations as other taxable years.</w:t>
      </w:r>
    </w:p>
    <w:p>
      <w:pPr>
        <w:spacing w:after="0" w:line="18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entities face unique tax issues from owning our common units that may result in adverse tax consequences to them.</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Tax-exempt entities should consult a tax advisor before investing in our common units.</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19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addition to U.S. federal income taxes, our unitholders will likely be subject to other taxes, including foreign,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multiple states that currently impose a personal income tax on individuals and an income tax on corporations and other entities. It is our unitholders’ responsibility to file all U.S. federal, state, local and non-U.S. tax returns, as applicable. Unitholders should consult with their own tax advisors regarding the filing of such tax returns, the payment of such taxes, and the deductibility of any taxes paid.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151" w:lineRule="exact"/>
        <w:rPr>
          <w:sz w:val="20"/>
          <w:szCs w:val="20"/>
          <w:color w:val="auto"/>
        </w:rPr>
      </w:pPr>
    </w:p>
    <w:p>
      <w:pPr>
        <w:ind w:right="140" w:firstLine="729"/>
        <w:spacing w:after="0" w:line="279" w:lineRule="auto"/>
        <w:rPr>
          <w:sz w:val="20"/>
          <w:szCs w:val="20"/>
          <w:color w:val="auto"/>
        </w:rPr>
      </w:pPr>
      <w:r>
        <w:rPr>
          <w:rFonts w:ascii="Arial" w:cs="Arial" w:eastAsia="Arial" w:hAnsi="Arial"/>
          <w:sz w:val="17"/>
          <w:szCs w:val="17"/>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9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A unitholder whose common units are the subject of a securities loan (e.g., a loan to a “short seller” to cover a short sale of common units) may be considered to have disposed of those common units. If so, such unitholder would no longer be treated for tax purposes as a partner with respect to those common units during the period of the loan and may recognize gain or loss from the disposition.</w:t>
      </w:r>
    </w:p>
    <w:p>
      <w:pPr>
        <w:spacing w:after="0" w:line="192"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Because there are no specific rules governing the federal income tax consequences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to the short seller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common units.</w:t>
      </w:r>
    </w:p>
    <w:p>
      <w:pPr>
        <w:spacing w:after="0" w:line="193"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7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(i) depreciation and amortization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Taxable income from our non-U.S. businesses is not eligible for the 20% deduction for qualified publicly traded partnership income.</w:t>
      </w:r>
    </w:p>
    <w:p>
      <w:pPr>
        <w:spacing w:after="0" w:line="26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For taxable years beginning after December 31, 2017 and ending on or before December 31, 2025, an individual unitholder is generally allowed a deduction equal to 20% of our “qualified publicly traded partnership income” that is allocated to such unitholder. For purposes of the deduction, the term qualified publicly traded partnership income includes the net amount of such unitholder’s allocable share of our income that is effectively connected to our U.S. trade or business activities. Because our non-U.S. business operations earn income that is not effectively connected with a U.S. trade or business, unitholders may not apply the 20% deduction for qualified publicly traded partnership income to that portion of our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Series B Preferred Unitholders</w:t>
      </w:r>
    </w:p>
    <w:p>
      <w:pPr>
        <w:spacing w:after="0" w:line="25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 holder of our Series B Preferred Units could recognize taxable income from the accrual of such income even in the absence of a contemporaneous cash distribution. We anticipate accruing and making the guaranteed payment distributions semi-annually on May 15th and November 15th through November 15th, 2022, commencing November 15, 2017, and after November 15, 2022 quarterly on February 15th, May 15th, August 15th and November 15th.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The Partnership will not allocate any share of our nonrecourse liabilities to the holders of Series B Preferred Units. If the Series B Preferred Units were treated as indebtedness for tax purposes, rather than as guaranteed payments for the use of capital, distributions likely would be treated as payments of interest by us to the holders of Series B Preferred Units.</w:t>
      </w:r>
    </w:p>
    <w:p>
      <w:pPr>
        <w:spacing w:after="0" w:line="19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Although we expect that a substantial portion of the income we earn will be eligible for the 20% deduction for qualified publicly traded partnership income, Treasury Regulations provide that income attributable to a guaranteed payment for the use of capital is not eligible for the 20% deduction for qualified business income. As a result, income attributable to a guaranteed payment for use of capital recognized by holders of our Series B Preferred Units is not eligible for the 20% deduction for qualified business income.</w:t>
      </w:r>
    </w:p>
    <w:p>
      <w:pPr>
        <w:spacing w:after="0" w:line="21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holder of Series B Preferred Units will be required to recognize gain or loss on a sale of Series B Units equal to the difference between the amount realized by such holder and such holder’s tax basis in the Series B Preferred Units.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generally not be allocated a share of our items of depreciation, depletion or amortization, it is not anticipated that such holders would be required to recharacterize any portion of their gain as ordinary income as a result of the recapture rules.</w:t>
      </w:r>
    </w:p>
    <w:p>
      <w:pPr>
        <w:spacing w:after="0" w:line="20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Investment in the Series B Preferred Units by tax-exempt investors, such as employee benefit plans and individual retirement accounts, and non-U.S. persons raises issues unique to them. The treatment of guaranteed payments for the use of capital to tax-exempt investors is not certain and such payments may be treated as unrelated business taxable income for U.S. federal income tax purposes. Although the issue is not free from doubt, we will treat a substantial portion of our distributions to non-U.S. holders of the Series B Preferred Units as “effectively connected income” (which will subject holders to U.S. net income taxation and possibly the branch profits tax) that is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holders of our Series B Preferred Units are urged to consult a tax advisor with respect to the consequences of owning our Series B Preferred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included in Note 19 to our Consolidated Financial Statements, and is incorporated herein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34" w:lineRule="exact"/>
        <w:rPr>
          <w:sz w:val="20"/>
          <w:szCs w:val="20"/>
          <w:color w:val="auto"/>
        </w:rPr>
      </w:pPr>
    </w:p>
    <w:p>
      <w:pPr>
        <w:jc w:val="center"/>
        <w:ind w:right="852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30" w:right="65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Units, Related Unitholder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Distributions</w:t>
      </w:r>
    </w:p>
    <w:p>
      <w:pPr>
        <w:spacing w:after="0" w:line="256"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Our common units are listed and traded on The Nasdaq Global Select Market under the symbol “PAA.” As of February 11, 2021, there were 722,052,254 common units outstanding and approximately 99,000 record holders and beneficial owners (held in street name).</w:t>
      </w:r>
    </w:p>
    <w:p>
      <w:pPr>
        <w:spacing w:after="0" w:line="17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 presents cash distributions per common unit pertaining to the quarter presented, which were declared and paid in the following calendar quarter (see the “Cash Distribution Policy” section below for a discussion of our policy regarding distribution payments):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First Quarter</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16"/>
                <w:szCs w:val="16"/>
                <w:color w:val="auto"/>
              </w:rPr>
            </w:pPr>
          </w:p>
        </w:tc>
        <w:tc>
          <w:tcPr>
            <w:tcW w:w="1440" w:type="dxa"/>
            <w:vAlign w:val="bottom"/>
          </w:tcPr>
          <w:p>
            <w:pPr>
              <w:jc w:val="right"/>
              <w:ind w:right="256"/>
              <w:spacing w:after="0"/>
              <w:rPr>
                <w:sz w:val="20"/>
                <w:szCs w:val="20"/>
                <w:color w:val="auto"/>
              </w:rPr>
            </w:pPr>
            <w:r>
              <w:rPr>
                <w:rFonts w:ascii="Arial" w:cs="Arial" w:eastAsia="Arial" w:hAnsi="Arial"/>
                <w:sz w:val="14"/>
                <w:szCs w:val="14"/>
                <w:b w:val="1"/>
                <w:bCs w:val="1"/>
                <w:color w:val="auto"/>
              </w:rPr>
              <w:t>Fourth Quarter</w:t>
            </w:r>
          </w:p>
        </w:tc>
      </w:tr>
      <w:tr>
        <w:trPr>
          <w:trHeight w:val="229"/>
        </w:trPr>
        <w:tc>
          <w:tcPr>
            <w:tcW w:w="4280" w:type="dxa"/>
            <w:vAlign w:val="bottom"/>
            <w:tcBorders>
              <w:top w:val="single" w:sz="8" w:color="CCEEFF"/>
            </w:tcBorders>
            <w:shd w:val="clear" w:color="auto" w:fill="CCEEFF"/>
          </w:tcPr>
          <w:p>
            <w:pPr>
              <w:jc w:val="right"/>
              <w:ind w:right="3810"/>
              <w:spacing w:after="0"/>
              <w:rPr>
                <w:sz w:val="20"/>
                <w:szCs w:val="20"/>
                <w:color w:val="auto"/>
              </w:rPr>
            </w:pPr>
            <w:r>
              <w:rPr>
                <w:rFonts w:ascii="Arial" w:cs="Arial" w:eastAsia="Arial" w:hAnsi="Arial"/>
                <w:sz w:val="18"/>
                <w:szCs w:val="18"/>
                <w:b w:val="1"/>
                <w:bCs w:val="1"/>
                <w:color w:val="auto"/>
                <w:w w:val="89"/>
              </w:rPr>
              <w:t>2020</w:t>
            </w:r>
          </w:p>
        </w:tc>
        <w:tc>
          <w:tcPr>
            <w:tcW w:w="1240" w:type="dxa"/>
            <w:vAlign w:val="bottom"/>
            <w:tcBorders>
              <w:top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4"/>
        </w:trPr>
        <w:tc>
          <w:tcPr>
            <w:tcW w:w="4280" w:type="dxa"/>
            <w:vAlign w:val="bottom"/>
          </w:tcPr>
          <w:p>
            <w:pPr>
              <w:jc w:val="right"/>
              <w:ind w:right="3810"/>
              <w:spacing w:after="0"/>
              <w:rPr>
                <w:sz w:val="20"/>
                <w:szCs w:val="20"/>
                <w:color w:val="auto"/>
              </w:rPr>
            </w:pPr>
            <w:r>
              <w:rPr>
                <w:rFonts w:ascii="Arial" w:cs="Arial" w:eastAsia="Arial" w:hAnsi="Arial"/>
                <w:sz w:val="18"/>
                <w:szCs w:val="18"/>
                <w:b w:val="1"/>
                <w:bCs w:val="1"/>
                <w:color w:val="auto"/>
                <w:w w:val="89"/>
              </w:rPr>
              <w:t>2019</w:t>
            </w:r>
          </w:p>
        </w:tc>
        <w:tc>
          <w:tcPr>
            <w:tcW w:w="1240" w:type="dxa"/>
            <w:vAlign w:val="bottom"/>
          </w:tcPr>
          <w:p>
            <w:pPr>
              <w:jc w:val="right"/>
              <w:ind w:right="105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0.36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0.36</w:t>
            </w:r>
          </w:p>
        </w:tc>
      </w:tr>
    </w:tbl>
    <w:p>
      <w:pPr>
        <w:spacing w:after="0" w:line="332"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Our common units are also used as a form of compensation to our employees and PAGP GP directors. See Note 18 to our Consolidated Financial Statements for additional information regarding our equity-indexed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following graph compares the total unitholder return performance of our common units with the performance of: (i) the Standard &amp; Poor’s 500 Stock Index (“S&amp;P 500”) and (ii) the Alerian MLP Index. The Alerian MLP Index is a composite of the most prominent energy master limited partnerships that provides investors with a comprehensive benchmark for this asset class. The graph assumes that $100 was invested in our common units and each comparison index beginning on December 31, 2015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134620</wp:posOffset>
            </wp:positionV>
            <wp:extent cx="5846445" cy="29146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64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12/31/2020</w:t>
            </w: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S&amp;P 500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130.42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203.04</w:t>
            </w: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Alerian MLP Index</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equity repurchase activity during the fourth quarter of 2020:</w:t>
      </w:r>
    </w:p>
    <w:p>
      <w:pPr>
        <w:sectPr>
          <w:pgSz w:w="11900" w:h="16838" w:orient="portrait"/>
          <w:cols w:equalWidth="0" w:num="1">
            <w:col w:w="11240"/>
          </w:cols>
          <w:pgMar w:left="320" w:top="130" w:right="339" w:bottom="1440" w:gutter="0" w:footer="0" w:header="0"/>
        </w:sectPr>
      </w:pPr>
    </w:p>
    <w:p>
      <w:pPr>
        <w:spacing w:after="0" w:line="267" w:lineRule="exact"/>
        <w:rPr>
          <w:sz w:val="20"/>
          <w:szCs w:val="20"/>
          <w:color w:val="auto"/>
        </w:rPr>
      </w:pPr>
    </w:p>
    <w:tbl>
      <w:tblPr>
        <w:tblLayout w:type="fixed"/>
        <w:tblInd w:w="4260" w:type="dxa"/>
        <w:tblCellMar>
          <w:top w:w="0" w:type="dxa"/>
          <w:left w:w="0" w:type="dxa"/>
          <w:bottom w:w="0" w:type="dxa"/>
          <w:right w:w="0" w:type="dxa"/>
        </w:tblCellMar>
      </w:tblPr>
      <w:tr>
        <w:trPr>
          <w:trHeight w:val="161"/>
        </w:trPr>
        <w:tc>
          <w:tcPr>
            <w:tcW w:w="12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4"/>
              </w:rPr>
              <w:t>Total Number of</w:t>
            </w:r>
          </w:p>
        </w:tc>
        <w:tc>
          <w:tcPr>
            <w:tcW w:w="1580" w:type="dxa"/>
            <w:vAlign w:val="bottom"/>
          </w:tcPr>
          <w:p>
            <w:pPr>
              <w:spacing w:after="0"/>
              <w:rPr>
                <w:sz w:val="14"/>
                <w:szCs w:val="14"/>
                <w:color w:val="auto"/>
              </w:rPr>
            </w:pPr>
          </w:p>
        </w:tc>
        <w:tc>
          <w:tcPr>
            <w:tcW w:w="1940" w:type="dxa"/>
            <w:vAlign w:val="bottom"/>
          </w:tcPr>
          <w:p>
            <w:pPr>
              <w:jc w:val="center"/>
              <w:ind w:left="54"/>
              <w:spacing w:after="0"/>
              <w:rPr>
                <w:sz w:val="20"/>
                <w:szCs w:val="20"/>
                <w:color w:val="auto"/>
              </w:rPr>
            </w:pPr>
            <w:r>
              <w:rPr>
                <w:rFonts w:ascii="Arial" w:cs="Arial" w:eastAsia="Arial" w:hAnsi="Arial"/>
                <w:sz w:val="14"/>
                <w:szCs w:val="14"/>
                <w:b w:val="1"/>
                <w:bCs w:val="1"/>
                <w:color w:val="auto"/>
                <w:w w:val="94"/>
              </w:rPr>
              <w:t>Total Number of Common</w:t>
            </w:r>
          </w:p>
        </w:tc>
        <w:tc>
          <w:tcPr>
            <w:tcW w:w="0" w:type="dxa"/>
            <w:vAlign w:val="bottom"/>
          </w:tcPr>
          <w:p>
            <w:pPr>
              <w:spacing w:after="0"/>
              <w:rPr>
                <w:sz w:val="1"/>
                <w:szCs w:val="1"/>
                <w:color w:val="auto"/>
              </w:rPr>
            </w:pPr>
          </w:p>
        </w:tc>
      </w:tr>
      <w:tr>
        <w:trPr>
          <w:trHeight w:val="81"/>
        </w:trPr>
        <w:tc>
          <w:tcPr>
            <w:tcW w:w="122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1940" w:type="dxa"/>
            <w:vAlign w:val="bottom"/>
            <w:vMerge w:val="restart"/>
          </w:tcPr>
          <w:p>
            <w:pPr>
              <w:jc w:val="center"/>
              <w:ind w:left="54"/>
              <w:spacing w:after="0" w:line="135" w:lineRule="exact"/>
              <w:rPr>
                <w:sz w:val="20"/>
                <w:szCs w:val="20"/>
                <w:color w:val="auto"/>
              </w:rPr>
            </w:pPr>
            <w:r>
              <w:rPr>
                <w:rFonts w:ascii="Arial" w:cs="Arial" w:eastAsia="Arial" w:hAnsi="Arial"/>
                <w:sz w:val="14"/>
                <w:szCs w:val="14"/>
                <w:b w:val="1"/>
                <w:bCs w:val="1"/>
                <w:color w:val="auto"/>
                <w:w w:val="90"/>
              </w:rPr>
              <w:t>Units Purchased as Part of</w:t>
            </w:r>
          </w:p>
        </w:tc>
        <w:tc>
          <w:tcPr>
            <w:tcW w:w="0" w:type="dxa"/>
            <w:vAlign w:val="bottom"/>
          </w:tcPr>
          <w:p>
            <w:pPr>
              <w:spacing w:after="0"/>
              <w:rPr>
                <w:sz w:val="1"/>
                <w:szCs w:val="1"/>
                <w:color w:val="auto"/>
              </w:rPr>
            </w:pPr>
          </w:p>
        </w:tc>
      </w:tr>
      <w:tr>
        <w:trPr>
          <w:trHeight w:val="54"/>
        </w:trPr>
        <w:tc>
          <w:tcPr>
            <w:tcW w:w="12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4"/>
              </w:rPr>
              <w:t>Common Units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Average Price Paid</w:t>
            </w:r>
          </w:p>
        </w:tc>
        <w:tc>
          <w:tcPr>
            <w:tcW w:w="1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940" w:type="dxa"/>
            <w:vAlign w:val="bottom"/>
          </w:tcPr>
          <w:p>
            <w:pPr>
              <w:jc w:val="center"/>
              <w:ind w:left="54"/>
              <w:spacing w:after="0" w:line="135" w:lineRule="exact"/>
              <w:rPr>
                <w:sz w:val="20"/>
                <w:szCs w:val="20"/>
                <w:color w:val="auto"/>
              </w:rPr>
            </w:pPr>
            <w:r>
              <w:rPr>
                <w:rFonts w:ascii="Arial" w:cs="Arial" w:eastAsia="Arial" w:hAnsi="Arial"/>
                <w:sz w:val="14"/>
                <w:szCs w:val="14"/>
                <w:b w:val="1"/>
                <w:bCs w:val="1"/>
                <w:color w:val="auto"/>
                <w:w w:val="92"/>
              </w:rPr>
              <w:t>Publicly Announced Program</w:t>
            </w:r>
          </w:p>
        </w:tc>
        <w:tc>
          <w:tcPr>
            <w:tcW w:w="0" w:type="dxa"/>
            <w:vAlign w:val="bottom"/>
          </w:tcPr>
          <w:p>
            <w:pPr>
              <w:spacing w:after="0"/>
              <w:rPr>
                <w:sz w:val="1"/>
                <w:szCs w:val="1"/>
                <w:color w:val="auto"/>
              </w:rPr>
            </w:pPr>
          </w:p>
        </w:tc>
      </w:tr>
      <w:tr>
        <w:trPr>
          <w:trHeight w:val="135"/>
        </w:trPr>
        <w:tc>
          <w:tcPr>
            <w:tcW w:w="122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w w:val="89"/>
              </w:rPr>
              <w:t>Purchased</w:t>
            </w:r>
          </w:p>
        </w:tc>
        <w:tc>
          <w:tcPr>
            <w:tcW w:w="1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per Common Unit </w:t>
            </w:r>
            <w:r>
              <w:rPr>
                <w:rFonts w:ascii="Arial" w:cs="Arial" w:eastAsia="Arial" w:hAnsi="Arial"/>
                <w:sz w:val="15"/>
                <w:szCs w:val="15"/>
                <w:b w:val="1"/>
                <w:bCs w:val="1"/>
                <w:color w:val="auto"/>
                <w:vertAlign w:val="superscript"/>
              </w:rPr>
              <w:t>(1)</w:t>
            </w:r>
          </w:p>
        </w:tc>
        <w:tc>
          <w:tcPr>
            <w:tcW w:w="1940" w:type="dxa"/>
            <w:vAlign w:val="bottom"/>
          </w:tcPr>
          <w:p>
            <w:pPr>
              <w:jc w:val="center"/>
              <w:ind w:left="54"/>
              <w:spacing w:after="0"/>
              <w:rPr>
                <w:sz w:val="20"/>
                <w:szCs w:val="20"/>
                <w:color w:val="auto"/>
              </w:rPr>
            </w:pPr>
            <w:r>
              <w:rPr>
                <w:rFonts w:ascii="Arial" w:cs="Arial" w:eastAsia="Arial" w:hAnsi="Arial"/>
                <w:sz w:val="9"/>
                <w:szCs w:val="9"/>
                <w:b w:val="1"/>
                <w:bCs w:val="1"/>
                <w:color w:val="auto"/>
                <w:w w:val="90"/>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40"/>
        <w:spacing w:after="0" w:line="255" w:lineRule="auto"/>
        <w:rPr>
          <w:sz w:val="20"/>
          <w:szCs w:val="20"/>
          <w:color w:val="auto"/>
        </w:rPr>
      </w:pPr>
      <w:r>
        <w:rPr>
          <w:rFonts w:ascii="Arial" w:cs="Arial" w:eastAsia="Arial" w:hAnsi="Arial"/>
          <w:sz w:val="12"/>
          <w:szCs w:val="12"/>
          <w:b w:val="1"/>
          <w:bCs w:val="1"/>
          <w:color w:val="auto"/>
        </w:rPr>
        <w:t xml:space="preserve">Approximate Dollar Value of Common Units that may yet be purchased under the Program </w:t>
      </w:r>
      <w:r>
        <w:rPr>
          <w:rFonts w:ascii="Arial" w:cs="Arial" w:eastAsia="Arial" w:hAnsi="Arial"/>
          <w:sz w:val="15"/>
          <w:szCs w:val="15"/>
          <w:color w:val="auto"/>
          <w:vertAlign w:val="superscript"/>
        </w:rPr>
        <w:t>(</w:t>
      </w:r>
      <w:r>
        <w:rPr>
          <w:rFonts w:ascii="Arial" w:cs="Arial" w:eastAsia="Arial" w:hAnsi="Arial"/>
          <w:sz w:val="15"/>
          <w:szCs w:val="15"/>
          <w:b w:val="1"/>
          <w:bCs w:val="1"/>
          <w:color w:val="auto"/>
          <w:vertAlign w:val="superscript"/>
        </w:rPr>
        <w:t>2)</w:t>
      </w:r>
    </w:p>
    <w:p>
      <w:pPr>
        <w:spacing w:after="0" w:line="1" w:lineRule="exact"/>
        <w:rPr>
          <w:sz w:val="20"/>
          <w:szCs w:val="20"/>
          <w:color w:val="auto"/>
        </w:rPr>
      </w:pPr>
    </w:p>
    <w:p>
      <w:pPr>
        <w:sectPr>
          <w:pgSz w:w="11900" w:h="16838" w:orient="portrait"/>
          <w:cols w:equalWidth="0" w:num="2">
            <w:col w:w="9000" w:space="200"/>
            <w:col w:w="204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 2020 - November 30,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3,132,806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3,132,806</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476,266,424</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December 1, 2020 - December 31,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3,089,942</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3,089,942</w:t>
            </w:r>
          </w:p>
        </w:tc>
        <w:tc>
          <w:tcPr>
            <w:tcW w:w="10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449,708,839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4599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Average price paid per common unit includes costs associated with the repurchases.</w:t>
      </w:r>
    </w:p>
    <w:p>
      <w:pPr>
        <w:spacing w:after="0" w:line="117" w:lineRule="exact"/>
        <w:rPr>
          <w:sz w:val="20"/>
          <w:szCs w:val="20"/>
          <w:color w:val="auto"/>
        </w:rPr>
      </w:pPr>
    </w:p>
    <w:p>
      <w:pPr>
        <w:ind w:left="20" w:right="100" w:hanging="11"/>
        <w:spacing w:after="0" w:line="272" w:lineRule="auto"/>
        <w:rPr>
          <w:sz w:val="20"/>
          <w:szCs w:val="20"/>
          <w:color w:val="auto"/>
        </w:rPr>
      </w:pPr>
      <w:r>
        <w:rPr>
          <w:rFonts w:ascii="Arial" w:cs="Arial" w:eastAsia="Arial" w:hAnsi="Arial"/>
          <w:sz w:val="17"/>
          <w:szCs w:val="17"/>
          <w:color w:val="auto"/>
        </w:rPr>
        <w:t>On November 2, 2020, we announced that the board of directors of PAA GP Holdings LLC (“PAGP GP”) approved a $500 million common equity repurchase program (the “Program”), which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Class A shares that are repurchased will be canceled. No PAGP Class A shares were repurchased during the periods presented. The common units repurchased under the Program during the periods presented were cancelled immediately upon acquisition.</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for any quarter ending prior to liquidation, all of our cash and cash equivalents on hand at the end of each quarter less reserves established in the reasonable discretion of our general partner for future requirements to:</w:t>
      </w:r>
    </w:p>
    <w:p>
      <w:pPr>
        <w:spacing w:after="0" w:line="214" w:lineRule="exact"/>
        <w:rPr>
          <w:sz w:val="20"/>
          <w:szCs w:val="20"/>
          <w:color w:val="auto"/>
        </w:rPr>
      </w:pPr>
    </w:p>
    <w:p>
      <w:pPr>
        <w:ind w:left="980" w:right="90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the proper conduct of our business and the business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comply with applicable law or any loan agreement, security agreement, mortgage, debt instrument or other agreement or obligation; or</w:t>
      </w:r>
    </w:p>
    <w:p>
      <w:pPr>
        <w:spacing w:after="0" w:line="128" w:lineRule="exact"/>
        <w:rPr>
          <w:rFonts w:ascii="Arial" w:cs="Arial" w:eastAsia="Arial" w:hAnsi="Arial"/>
          <w:sz w:val="17"/>
          <w:szCs w:val="17"/>
          <w:color w:val="auto"/>
        </w:rPr>
      </w:pPr>
    </w:p>
    <w:p>
      <w:pPr>
        <w:ind w:left="980" w:right="24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funds for distributions to our Series A and Series B preferred unitholders or distributions to our common unitholders for any one or more of the next four calendar quarters.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52" w:lineRule="exact"/>
        <w:rPr>
          <w:sz w:val="20"/>
          <w:szCs w:val="20"/>
          <w:color w:val="auto"/>
        </w:rPr>
      </w:pPr>
    </w:p>
    <w:p>
      <w:pPr>
        <w:jc w:val="both"/>
        <w:ind w:right="260" w:firstLine="648"/>
        <w:spacing w:after="0" w:line="311" w:lineRule="auto"/>
        <w:rPr>
          <w:sz w:val="20"/>
          <w:szCs w:val="20"/>
          <w:color w:val="auto"/>
        </w:rPr>
      </w:pPr>
      <w:r>
        <w:rPr>
          <w:rFonts w:ascii="Arial" w:cs="Arial" w:eastAsia="Arial" w:hAnsi="Arial"/>
          <w:sz w:val="16"/>
          <w:szCs w:val="16"/>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Under the terms of our partnership agreement, our Series A preferred units and our Series B preferred units rank senior to all classes or series of equity securities in us with respect to distribution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historical financial information below was derived from our audited Consolidated Financial Statements as of December 31, 2020, 2019, 2018, 2017 and 2016 and for the years then ended. The selected financial data should be read in conjunction with Item 7. “Management’s Discussion and Analysis of Financial Condition and Results of Operations,” and the Consolidated Financial Statements, including the notes thereto, in Item 8. “Financial Statements and Supplementary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472"/>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r>
      <w:tr>
        <w:trPr>
          <w:trHeight w:val="218"/>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6"/>
          </w:tcPr>
          <w:p>
            <w:pPr>
              <w:jc w:val="center"/>
              <w:ind w:left="472"/>
              <w:spacing w:after="0"/>
              <w:rPr>
                <w:sz w:val="20"/>
                <w:szCs w:val="20"/>
                <w:color w:val="auto"/>
              </w:rPr>
            </w:pPr>
            <w:r>
              <w:rPr>
                <w:rFonts w:ascii="Arial" w:cs="Arial" w:eastAsia="Arial" w:hAnsi="Arial"/>
                <w:sz w:val="14"/>
                <w:szCs w:val="14"/>
                <w:b w:val="1"/>
                <w:bCs w:val="1"/>
                <w:color w:val="auto"/>
                <w:w w:val="93"/>
              </w:rPr>
              <w:t>(in millions, except per unit data)</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23,290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33,669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34,055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26,223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20,182</w:t>
            </w:r>
          </w:p>
        </w:tc>
      </w:tr>
      <w:tr>
        <w:trPr>
          <w:trHeight w:val="230"/>
        </w:trPr>
        <w:tc>
          <w:tcPr>
            <w:tcW w:w="4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income/(loss)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29"/>
        </w:trPr>
        <w:tc>
          <w:tcPr>
            <w:tcW w:w="4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Net income/(loss)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29"/>
        </w:trPr>
        <w:tc>
          <w:tcPr>
            <w:tcW w:w="4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income/(loss) attributable to PAA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unit data: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Basic net income/(loss) per common unit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30"/>
        </w:trPr>
        <w:tc>
          <w:tcPr>
            <w:tcW w:w="4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Diluted net income/(loss) per common unit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29"/>
        </w:trPr>
        <w:tc>
          <w:tcPr>
            <w:tcW w:w="4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Declared distributions per common unit </w:t>
            </w:r>
            <w:r>
              <w:rPr>
                <w:rFonts w:ascii="Arial" w:cs="Arial" w:eastAsia="Arial" w:hAnsi="Arial"/>
                <w:sz w:val="23"/>
                <w:szCs w:val="23"/>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0"/>
        </w:trPr>
        <w:tc>
          <w:tcPr>
            <w:tcW w:w="4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Balance sheet data (at end of period):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3"/>
                <w:szCs w:val="23"/>
                <w:color w:val="auto"/>
                <w:vertAlign w:val="superscript"/>
              </w:rPr>
              <w:t>(1) (3)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13,872</w:t>
            </w:r>
          </w:p>
        </w:tc>
      </w:tr>
      <w:tr>
        <w:trPr>
          <w:trHeight w:val="230"/>
        </w:trPr>
        <w:tc>
          <w:tcPr>
            <w:tcW w:w="4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3"/>
                <w:szCs w:val="23"/>
                <w:color w:val="auto"/>
                <w:vertAlign w:val="superscript"/>
              </w:rPr>
              <w:t>(1) (4)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28,677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25,351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24,210</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w:t>
            </w:r>
          </w:p>
        </w:tc>
      </w:tr>
      <w:tr>
        <w:trPr>
          <w:trHeight w:val="230"/>
        </w:trPr>
        <w:tc>
          <w:tcPr>
            <w:tcW w:w="4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operating lease liabilities </w:t>
            </w:r>
            <w:r>
              <w:rPr>
                <w:rFonts w:ascii="Arial" w:cs="Arial" w:eastAsia="Arial" w:hAnsi="Arial"/>
                <w:sz w:val="23"/>
                <w:szCs w:val="23"/>
                <w:color w:val="auto"/>
                <w:vertAlign w:val="superscript"/>
              </w:rPr>
              <w:t>(4)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Partners’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13,195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10,958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8,816</w:t>
            </w:r>
          </w:p>
        </w:tc>
      </w:tr>
      <w:tr>
        <w:trPr>
          <w:trHeight w:val="270"/>
        </w:trPr>
        <w:tc>
          <w:tcPr>
            <w:tcW w:w="4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Other data: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by/(used in) financing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capital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capital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1"/>
        </w:trPr>
        <w:tc>
          <w:tcPr>
            <w:tcW w:w="478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b w:val="1"/>
                <w:bCs w:val="1"/>
                <w:color w:val="auto"/>
              </w:rPr>
              <w:t xml:space="preserve">Volumes </w:t>
            </w:r>
            <w:r>
              <w:rPr>
                <w:rFonts w:ascii="Arial" w:cs="Arial" w:eastAsia="Arial" w:hAnsi="Arial"/>
                <w:sz w:val="23"/>
                <w:szCs w:val="23"/>
                <w:b w:val="1"/>
                <w:bCs w:val="1"/>
                <w:color w:val="auto"/>
                <w:vertAlign w:val="superscript"/>
              </w:rPr>
              <w:t>(5) (6)</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40"/>
              <w:spacing w:after="0" w:line="176" w:lineRule="exact"/>
              <w:rPr>
                <w:sz w:val="20"/>
                <w:szCs w:val="20"/>
                <w:color w:val="auto"/>
              </w:rPr>
            </w:pPr>
            <w:r>
              <w:rPr>
                <w:rFonts w:ascii="Arial" w:cs="Arial" w:eastAsia="Arial" w:hAnsi="Arial"/>
                <w:sz w:val="18"/>
                <w:szCs w:val="18"/>
                <w:color w:val="auto"/>
                <w:w w:val="93"/>
              </w:rPr>
              <w:t>Transportation segment (average daily volumes in thousands of</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0"/>
              <w:spacing w:after="0"/>
              <w:rPr>
                <w:sz w:val="20"/>
                <w:szCs w:val="20"/>
                <w:color w:val="auto"/>
              </w:rPr>
            </w:pPr>
            <w:r>
              <w:rPr>
                <w:rFonts w:ascii="Arial" w:cs="Arial" w:eastAsia="Arial" w:hAnsi="Arial"/>
                <w:sz w:val="18"/>
                <w:szCs w:val="18"/>
                <w:color w:val="auto"/>
              </w:rPr>
              <w:t>barrels per day):</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Tariff activities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Trucking</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Transportation segment total volumes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segment:</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140"/>
              <w:spacing w:after="0" w:line="176" w:lineRule="exact"/>
              <w:rPr>
                <w:sz w:val="20"/>
                <w:szCs w:val="20"/>
                <w:color w:val="auto"/>
              </w:rPr>
            </w:pPr>
            <w:r>
              <w:rPr>
                <w:rFonts w:ascii="Arial" w:cs="Arial" w:eastAsia="Arial" w:hAnsi="Arial"/>
                <w:sz w:val="18"/>
                <w:szCs w:val="18"/>
                <w:color w:val="auto"/>
              </w:rPr>
              <w:t>Liquids storage (average monthly capacity in millions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4780" w:type="dxa"/>
            <w:vAlign w:val="bottom"/>
          </w:tcPr>
          <w:p>
            <w:pPr>
              <w:ind w:left="300"/>
              <w:spacing w:after="0" w:line="202"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(7)</w:t>
            </w: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8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color w:val="auto"/>
              </w:rPr>
              <w:t>Natural gas storage (average monthly working capacity in</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billions of cubic feet)</w:t>
            </w: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Arial" w:cs="Arial" w:eastAsia="Arial" w:hAnsi="Arial"/>
                <w:sz w:val="18"/>
                <w:szCs w:val="18"/>
                <w:color w:val="auto"/>
                <w:w w:val="91"/>
              </w:rPr>
              <w:t>NGL fractionation (average volumes in thousands of barrels per</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80" w:type="dxa"/>
            <w:vAlign w:val="bottom"/>
            <w:vMerge w:val="continue"/>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4780" w:type="dxa"/>
            <w:vAlign w:val="bottom"/>
          </w:tcPr>
          <w:p>
            <w:pPr>
              <w:ind w:left="300"/>
              <w:spacing w:after="0" w:line="202" w:lineRule="exact"/>
              <w:rPr>
                <w:sz w:val="20"/>
                <w:szCs w:val="20"/>
                <w:color w:val="auto"/>
              </w:rPr>
            </w:pPr>
            <w:r>
              <w:rPr>
                <w:rFonts w:ascii="Arial" w:cs="Arial" w:eastAsia="Arial" w:hAnsi="Arial"/>
                <w:sz w:val="18"/>
                <w:szCs w:val="18"/>
                <w:color w:val="auto"/>
              </w:rPr>
              <w:t>day)</w:t>
            </w: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80" w:type="dxa"/>
            <w:vAlign w:val="bottom"/>
            <w:shd w:val="clear" w:color="auto" w:fill="CCEEFF"/>
          </w:tcPr>
          <w:p>
            <w:pPr>
              <w:ind w:left="220"/>
              <w:spacing w:after="0" w:line="142" w:lineRule="exact"/>
              <w:rPr>
                <w:sz w:val="20"/>
                <w:szCs w:val="20"/>
                <w:color w:val="auto"/>
              </w:rPr>
            </w:pPr>
            <w:r>
              <w:rPr>
                <w:rFonts w:ascii="Arial" w:cs="Arial" w:eastAsia="Arial" w:hAnsi="Arial"/>
                <w:sz w:val="16"/>
                <w:szCs w:val="16"/>
                <w:color w:val="auto"/>
              </w:rPr>
              <w:t>Facilities segment total volumes (average monthly volumes in</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millions of barrels)</w:t>
            </w: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Supply and Logistics segment (average daily volumes in</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thousands of barrels per 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Crude oil lease gathering purchases</w:t>
            </w:r>
          </w:p>
        </w:tc>
        <w:tc>
          <w:tcPr>
            <w:tcW w:w="118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4780" w:type="dxa"/>
            <w:vAlign w:val="bottom"/>
          </w:tcPr>
          <w:p>
            <w:pPr>
              <w:ind w:left="220"/>
              <w:spacing w:after="0"/>
              <w:rPr>
                <w:sz w:val="20"/>
                <w:szCs w:val="20"/>
                <w:color w:val="auto"/>
              </w:rPr>
            </w:pPr>
            <w:r>
              <w:rPr>
                <w:rFonts w:ascii="Arial" w:cs="Arial" w:eastAsia="Arial" w:hAnsi="Arial"/>
                <w:sz w:val="18"/>
                <w:szCs w:val="18"/>
                <w:color w:val="auto"/>
              </w:rPr>
              <w:t>Supply and Logistics segment total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500" w:hanging="11"/>
        <w:spacing w:after="0" w:line="277" w:lineRule="auto"/>
        <w:rPr>
          <w:sz w:val="20"/>
          <w:szCs w:val="20"/>
          <w:color w:val="auto"/>
        </w:rPr>
      </w:pPr>
      <w:r>
        <w:rPr>
          <w:rFonts w:ascii="Arial" w:cs="Arial" w:eastAsia="Arial" w:hAnsi="Arial"/>
          <w:sz w:val="18"/>
          <w:szCs w:val="18"/>
          <w:color w:val="auto"/>
        </w:rPr>
        <w:t>During the year ended December 31, 2020, we recognized impairments of approximately $3.4 billion. See Note 6, Note 7 and Note 8 to our Consolidated Financial Statements for additional information.</w:t>
      </w:r>
    </w:p>
    <w:p>
      <w:pPr>
        <w:spacing w:after="0" w:line="62" w:lineRule="exact"/>
        <w:rPr>
          <w:sz w:val="20"/>
          <w:szCs w:val="20"/>
          <w:color w:val="auto"/>
        </w:rPr>
      </w:pPr>
    </w:p>
    <w:p>
      <w:pPr>
        <w:ind w:left="20" w:right="440" w:hanging="11"/>
        <w:spacing w:after="0" w:line="277" w:lineRule="auto"/>
        <w:rPr>
          <w:sz w:val="20"/>
          <w:szCs w:val="20"/>
          <w:color w:val="auto"/>
        </w:rPr>
      </w:pPr>
      <w:r>
        <w:rPr>
          <w:rFonts w:ascii="Arial" w:cs="Arial" w:eastAsia="Arial" w:hAnsi="Arial"/>
          <w:sz w:val="18"/>
          <w:szCs w:val="18"/>
          <w:color w:val="auto"/>
        </w:rPr>
        <w:t>Represents cash distributions declared and paid per unit during the year presented. See Note 12 to our Consolidated Financial Statements for further discussion regarding our distributions.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discussion of our acquisitions and dispositions completed during the three years ended December 31, 2020.</w:t>
      </w:r>
    </w:p>
    <w:p>
      <w:pPr>
        <w:spacing w:after="0" w:line="117" w:lineRule="exact"/>
        <w:rPr>
          <w:sz w:val="20"/>
          <w:szCs w:val="20"/>
          <w:color w:val="auto"/>
        </w:rPr>
      </w:pPr>
    </w:p>
    <w:p>
      <w:pPr>
        <w:ind w:left="20" w:right="80" w:hanging="11"/>
        <w:spacing w:after="0" w:line="263" w:lineRule="auto"/>
        <w:rPr>
          <w:sz w:val="20"/>
          <w:szCs w:val="20"/>
          <w:color w:val="auto"/>
        </w:rPr>
      </w:pPr>
      <w:r>
        <w:rPr>
          <w:rFonts w:ascii="Arial" w:cs="Arial" w:eastAsia="Arial" w:hAnsi="Arial"/>
          <w:sz w:val="18"/>
          <w:szCs w:val="18"/>
          <w:color w:val="auto"/>
        </w:rPr>
        <w:t xml:space="preserve">On January 1, 2019, we adopted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using the optional transitional method. Prior period amounts have not been adjusted and continue to be reported in accordance with our historic accounting under Accounting Standards Codification Topic 840.</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Average volumes are calculated as the total volumes (attributable to our interest) for the year divided by the number of days or months in the year.</w:t>
      </w:r>
    </w:p>
    <w:p>
      <w:pPr>
        <w:spacing w:after="0" w:line="140" w:lineRule="exact"/>
        <w:rPr>
          <w:sz w:val="20"/>
          <w:szCs w:val="20"/>
          <w:color w:val="auto"/>
        </w:rPr>
      </w:pPr>
    </w:p>
    <w:p>
      <w:pPr>
        <w:ind w:left="20" w:hanging="11"/>
        <w:spacing w:after="0" w:line="259" w:lineRule="auto"/>
        <w:rPr>
          <w:sz w:val="20"/>
          <w:szCs w:val="20"/>
          <w:color w:val="auto"/>
        </w:rPr>
      </w:pPr>
      <w:r>
        <w:rPr>
          <w:rFonts w:ascii="Arial" w:cs="Arial" w:eastAsia="Arial" w:hAnsi="Arial"/>
          <w:sz w:val="18"/>
          <w:szCs w:val="18"/>
          <w:color w:val="auto"/>
        </w:rPr>
        <w:t>Facilities segment total volumes are calculated as the sum of: (i) liquids storage capacity; (ii) natural gas storage working capacity divided by 6 to account for the 6:1 thousand cubic feet (“mcf”) of natural gas to crude British thermal unit (“Btu”) equivalent ratio and further divided by 1,000 to convert to monthly volumes in millions; and (iii) NGL fractionation volumes multiplied by the number of days in the year and divided by the number of months in the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200" w:lineRule="exact"/>
        <w:rPr>
          <w:sz w:val="20"/>
          <w:szCs w:val="20"/>
          <w:color w:val="auto"/>
        </w:rPr>
      </w:pPr>
    </w:p>
    <w:p>
      <w:pPr>
        <w:sectPr>
          <w:pgSz w:w="11900" w:h="16838" w:orient="portrait"/>
          <w:cols w:equalWidth="0" w:num="2">
            <w:col w:w="140" w:space="500"/>
            <w:col w:w="10560"/>
          </w:cols>
          <w:pgMar w:left="320" w:top="13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52"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36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 comparative discussion of our 2019 to 2018 operating results and performance measures can be found in Item 7. “Management’s Discussion and Analysis of Financial Condition and Results of Operations—Results of Operations” included in our Annual Report on Form 10-K for the year ended December 31, 2019 filed with the SEC on February 27,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52"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NGL and natural gas. Our business activities are conducted through three operating segments: Transportation, Facilities and Supply and Logistics. See “—Results of Operations—Analysis of Operating Segments”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and Outlook</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first quarter of 2020, COVID-19 escalated into a global pandemic, which led to widespread shelter-in-place or similar requirements throughout North America and across the world, resulting in significantly reduced energy demand. As a result, North American producers responded aggressively by shutting in significant levels of production early in the second quarter, which mitigated the pace of crude oil inventory builds and the risk of testing storage maximums. Subsequently, United States refinery utilization increased, the previously steep contango market structure tempered, and crude oil prices improved to more constructive levels. Over the course of the second half of the year, the more constructive price environment allowed oil and gas producers to return to production wells that were previously shut-in, resume completion activities and begin to increase drilling activities during the third quarter at a level that is lower than pre-pandemic, but likely at a level that is sufficient to offset natural declines.</w:t>
      </w:r>
    </w:p>
    <w:p>
      <w:pPr>
        <w:spacing w:after="0" w:line="19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While prices have rebounded to levels that are near pre-pandemic levels, drilling activity is at a fraction of pre-pandemic levels as evidenced by the Lower 48 rig count, which is approximately 40% of peak levels reached in 2020 pre-COVID-19. Many oil and gas producers in the United States have publicly stated their intention to reduce capital investment in oil and gas drilling activities in 2021 as they strive to improve their financial metrics and increase returns to shareholders. Accordingly, we expect oil and gas drilling activities to continue to be lower than pre-pandemic levels which in turn will slow the growth in oil production, relative to pre-pandemic expectations of production growth. We expect that the combination of a muted growth in production, with excess pipeline capacity in most of our operating areas will have a negative impact on our business relative to pre-pandemic levels, with the impacts in 2021 being more pronounced than in 2020.</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Similar to the actions taken by oil and gas producers, we have implemented a number of initiatives, as described below, to ensure that we are positioned to manage through the current challenging market environment. Longer term, we expect global demand for hydrocarbons will recover, which should drive higher production levels in key onshore shale basins, which should support growing demand for our assets. Also see Items 1. and 2. “Business and Properties—Global Petroleum Market Overview and Fundamental Themes” for additional information.</w:t>
      </w:r>
    </w:p>
    <w:p>
      <w:pPr>
        <w:spacing w:after="0" w:line="19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response to the challenging near-term market conditions has been to focus on measures to strengthen our balance sheet, liquidity and long-term financial flexibility. These actions include significantly reducing our capital program, reducing the amount of our common equity distributions, progressing asset sales, and reducing costs, while remaining focused on operating safely and responsibly.</w:t>
      </w:r>
    </w:p>
    <w:p>
      <w:pPr>
        <w:spacing w:after="0" w:line="21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Specifically, since April, we have reduced our 2020/2021 capital program by $950 million, or 41%, and have decreased our common unit distributions and PAGP’s Class A share distributions by 50% versus the distributions paid in February 2020, which reflects a reduction of $525 million on an annualized basis. We have also completed approximately $450 million of asset sales. While each of these actions should contribute to a stronger balance sheet and enhanced liquidity and long-term financial flexibility, we can provide no assurance that we will be able to effect certain future actions (such as additional capital reductions, asset sales and expense reductions) and additional actions may be necessary to achieve our balance sheet, liquidity and financial security objectives. See “Risk Factors—Risks Related to Our Business” in Item 1A.</w:t>
      </w:r>
    </w:p>
    <w:p>
      <w:pPr>
        <w:spacing w:after="0" w:line="20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While some modifications in our operations have been necessary to deal with risks associated with the COVID-19 pandemic, we have not experienced any material constraints in our ability to continue our essential business functions and have not incurred any significant additional operating costs as a result of the pandemic. We remain focused on the health and safety of our workforce, and have modified our operations in ways that we believe are prudent and appropriate in order to protect our employees while continuing to operate our assets in an effective, safe and responsible manner.</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many governments have enacted or are contemplating measures to provide aid and economic stimulus in response to the COVID-19 pandemic. These measures include actions by both the United States federal government and the government of Canada. There has been no material direct impact to our financial position, results of operations or cash flows resulting from these measures. However, our Canadian subsidiary participated in a wage subsidy program during the second, third and fourth quarters of 2020 for subsidies totaling approximately $23 million. The impact of such subsidies is included in the line items “Field operating costs” and “Segment general and administrative expenses” of the applicable segments. See “—Results of Operations—Analysis of Operating Segments” for further discussion.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5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macroeconomic and industry specific challenges discussed above have resulted in a number of impairment charges recognized during 2020 as discussed further below. See “—Liquidity and Capital Resources” for additional discussion of the expected and potential impact of COVID-19 and related market conditions on our business.</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recognized a net loss of $2.580 billion for the year ended December 31, 2020 compared to net income of $2.180 billion recognized for the year ended December 31, 2019. The net loss for the period was driven by goodwill impairment losses of $2.515 billion and was also impacted by non-cash impairment charges of approximately $914 million related to the write-down of certain pipeline and other long-lived assets, certain of our investments in unconsolidated entities, and assets upon classification as held for sale. In addition, we recognized approximately $233 million of inventory valuation adjustments due to declines in commodity prices primarily during the first quarter of 2020.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for the comparative period were also impacted by:</w:t>
      </w:r>
    </w:p>
    <w:p>
      <w:pPr>
        <w:spacing w:after="0" w:line="252" w:lineRule="exact"/>
        <w:rPr>
          <w:sz w:val="20"/>
          <w:szCs w:val="20"/>
          <w:color w:val="auto"/>
        </w:rPr>
      </w:pPr>
    </w:p>
    <w:p>
      <w:pPr>
        <w:ind w:left="980" w:right="160" w:hanging="324"/>
        <w:spacing w:after="0" w:line="263"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Less favorable results from our Supply and Logistics segment due to less favorable crude oil differentials, lower NGL margins and the unfavorable impact of the mark-to-market of certain derivative instruments, resulting in higher losses recognized in 2020 compared to 2019, partially offset by the favorable impact of contango market conditions during 2020;</w:t>
      </w:r>
    </w:p>
    <w:p>
      <w:pPr>
        <w:spacing w:after="0" w:line="210" w:lineRule="exact"/>
        <w:rPr>
          <w:rFonts w:ascii="Arial" w:cs="Arial" w:eastAsia="Arial" w:hAnsi="Arial"/>
          <w:sz w:val="18"/>
          <w:szCs w:val="18"/>
          <w:color w:val="auto"/>
        </w:rPr>
      </w:pPr>
    </w:p>
    <w:p>
      <w:pPr>
        <w:ind w:left="980" w:right="140" w:hanging="324"/>
        <w:spacing w:after="0" w:line="259"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Less favorable results from our Transportation segment driven by lower volumes from shut-ins of crude oil production, reduced drilling and completion activity and compressed regional basis differentials, a portion of which are covered by minimum volume commitments that will be made up or paid for in future periods, and lower pipeline loss allowance revenue in 2020 due to lower prices and volumes, partially offset by lower field operating costs;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980" w:right="200" w:hanging="324"/>
        <w:spacing w:after="0" w:line="308" w:lineRule="auto"/>
        <w:tabs>
          <w:tab w:leader="none" w:pos="9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Higher depreciation and amortization expense in the 2020 period primarily due to additional depreciation expense associated with acquired assets, the completion of various investment capital projects and a reduction in the useful lives of certain assets;</w:t>
      </w:r>
    </w:p>
    <w:p>
      <w:pPr>
        <w:spacing w:after="0" w:line="173" w:lineRule="exact"/>
        <w:rPr>
          <w:rFonts w:ascii="Arial" w:cs="Arial" w:eastAsia="Arial" w:hAnsi="Arial"/>
          <w:sz w:val="17"/>
          <w:szCs w:val="17"/>
          <w:color w:val="auto"/>
        </w:rPr>
      </w:pPr>
    </w:p>
    <w:p>
      <w:pPr>
        <w:ind w:left="980" w:right="40" w:hanging="324"/>
        <w:spacing w:after="0" w:line="259"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gain of $21 million recognized in the current period related to the sale of a portion of our interest in Saddlehorn Pipeline Company, LLC in February 2020, compared to a non-cash gain of $269 million recognized in the 2019 period related to a fair value adjustment resulting from the accounting for the contribution of our undivided joint interest in the Capline pipeline system for an equity interest in Capline Pipeline Company LLC; partially offset by</w:t>
      </w:r>
    </w:p>
    <w:p>
      <w:pPr>
        <w:spacing w:after="0" w:line="213"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Favorable results from our Facilities segment primarily due to lower field operating costs; and</w:t>
      </w:r>
    </w:p>
    <w:p>
      <w:pPr>
        <w:spacing w:after="0" w:line="252"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favorable impact on income tax expense of lower taxable earnings and lower year-over-year income as impacted by fluctuations in the derivative mark-to-market valuations in our Canadian operations.</w:t>
      </w:r>
    </w:p>
    <w:p>
      <w:pPr>
        <w:spacing w:after="0" w:line="19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9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We invested $921 million in midstream infrastructure projects during 2020, which primarily related to projects under development in the Permian Basin. See “—Liquidity and Capital Resources—Investing Activities—Investment Capital Projects” for additional information. Additionally, during the first quarter of 2020, we acquired $310 million of assets, which primarily included a crude oil gathering system located in the Delaware Basin.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paid approximately $853 million of cash distributions to our common unitholders and our Series A and B preferred unitholders during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2020, we completed the issuance of $750 million, 3.80% senior notes due September 2030. We used the net proceeds from this offering of $742 million, after deducting the underwriting discount and offering expenses, to repay the principal amounts of our 5.00% senior notes due February 2021 in November 2020. See “—Liquidity and Capital Resources—Financing Activities—Senior Notes” for additional information.</w:t>
      </w:r>
    </w:p>
    <w:p>
      <w:pPr>
        <w:spacing w:after="0" w:line="192"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During the fourth quarter of 2020, we repurchased 6.6 million common units for $53 million, which includes repurchases of 350,000 common units for $3 million that did not settle until January 2021. See “—Liquidity and Capital Resources—Financing Activities—Common Equity Repurchase Program”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believe that the assumptions, judgments and estimates involved in the accounting for our (i) estimated fair value of assets and liabilities acquired and identification of associated goodwill and intangible assets, (ii) impairment assessments of goodwill and intangible assets, (iii) fair value of derivatives, (iv) accruals and contingent liabilities, (v) property and equipment, depreciation and amortization expense and asset retirement obligations, (vi) impairment assessments of property and equipment and investments in unconsolidated entities and (vii)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further as follows. For further information on all of our significant accounting policies, see Note 2 to our Consolidated Financial Statements.</w:t>
      </w:r>
    </w:p>
    <w:p>
      <w:pPr>
        <w:spacing w:after="0" w:line="193"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i w:val="1"/>
          <w:iCs w:val="1"/>
          <w:color w:val="auto"/>
        </w:rPr>
        <w:t xml:space="preserve">Fair Value of Assets and Liabilities Acquired and Identification of Associated Goodwill and Intangible Assets. </w:t>
      </w:r>
      <w:r>
        <w:rPr>
          <w:rFonts w:ascii="Arial" w:cs="Arial" w:eastAsia="Arial" w:hAnsi="Arial"/>
          <w:sz w:val="16"/>
          <w:szCs w:val="16"/>
          <w:color w:val="auto"/>
        </w:rPr>
        <w:t>In accordance with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Board (“FASB”) guidance 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pacing w:after="0" w:line="21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i w:val="1"/>
          <w:iCs w:val="1"/>
          <w:color w:val="auto"/>
        </w:rPr>
        <w:t xml:space="preserve">Impairment Assessments of Goodwill and Intangible Assets. </w:t>
      </w:r>
      <w:r>
        <w:rPr>
          <w:rFonts w:ascii="Arial" w:cs="Arial" w:eastAsia="Arial" w:hAnsi="Arial"/>
          <w:sz w:val="17"/>
          <w:szCs w:val="17"/>
          <w:color w:val="auto"/>
        </w:rPr>
        <w:t>Goodwill and intangible assets with indefinite lives are not amortized but are instead</w:t>
      </w:r>
      <w:r>
        <w:rPr>
          <w:rFonts w:ascii="Arial" w:cs="Arial" w:eastAsia="Arial" w:hAnsi="Arial"/>
          <w:sz w:val="17"/>
          <w:szCs w:val="17"/>
          <w:i w:val="1"/>
          <w:iCs w:val="1"/>
          <w:color w:val="auto"/>
        </w:rPr>
        <w:t xml:space="preserve"> </w:t>
      </w:r>
      <w:r>
        <w:rPr>
          <w:rFonts w:ascii="Arial" w:cs="Arial" w:eastAsia="Arial" w:hAnsi="Arial"/>
          <w:sz w:val="17"/>
          <w:szCs w:val="17"/>
          <w:color w:val="auto"/>
        </w:rPr>
        <w:t>periodically assessed for impairment. Intangible assets with finite lives are amortized over their estimated useful life as determined by management. See Note 8 and Note 10 to our Consolidated Financial Statements for further discussion of goodwill and intangible assets.</w:t>
      </w:r>
    </w:p>
    <w:p>
      <w:pPr>
        <w:spacing w:after="0" w:line="19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Impairment testing entails estimating future net cash flows relating to the business, based on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191"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The fair value of a derivative at a particular period end does not reflect the end results of a particular transaction,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will most likely not reflect the gain or loss at the conclusion of a transaction. We reflect estimates for these items based on our internal records and information from third parties. We have commodity derivatives, interest rate derivatives and foreign currency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20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also have embedded derivatives that are recorded at fair value on our Consolidated Balance Sheets. These embedded derivatives are valued using models that contain inputs, some of which involve management judgment.</w:t>
      </w:r>
    </w:p>
    <w:p>
      <w:pPr>
        <w:spacing w:after="0" w:line="19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214"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for, among other things, environmental remediation, potential legal claims or</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w:t>
      </w:r>
    </w:p>
    <w:p>
      <w:pPr>
        <w:spacing w:after="0" w:line="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$19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i w:val="1"/>
          <w:iCs w:val="1"/>
          <w:color w:val="auto"/>
        </w:rPr>
        <w:t xml:space="preserve">Property and Equipment, Depreciation and Amortization Expense and Asset Retirement Obligations. </w:t>
      </w:r>
      <w:r>
        <w:rPr>
          <w:rFonts w:ascii="Arial" w:cs="Arial" w:eastAsia="Arial" w:hAnsi="Arial"/>
          <w:sz w:val="16"/>
          <w:szCs w:val="16"/>
          <w:color w:val="auto"/>
        </w:rPr>
        <w:t>We compute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the straight-line method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9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21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i w:val="1"/>
          <w:iCs w:val="1"/>
          <w:color w:val="auto"/>
        </w:rPr>
        <w:t xml:space="preserve">Impairment Assessments of Property and Equipment and Investments in Unconsolidated Entities. </w:t>
      </w:r>
      <w:r>
        <w:rPr>
          <w:rFonts w:ascii="Arial" w:cs="Arial" w:eastAsia="Arial" w:hAnsi="Arial"/>
          <w:sz w:val="16"/>
          <w:szCs w:val="16"/>
          <w:color w:val="auto"/>
        </w:rPr>
        <w:t>We periodically evaluate property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57"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19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205"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 decline in value of the investment;</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decline in value is other than temporary;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fair value of the investment.</w:t>
      </w:r>
    </w:p>
    <w:p>
      <w:pPr>
        <w:spacing w:after="0" w:line="360"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A change in our outlook or use could result in impairments that may be material to our results of operations or financial condition. See “— Executive Summary— Recent Events and Outlook” and Note 6 and Note 9 to our Consolidated Financial Statements for additional information.</w:t>
      </w:r>
    </w:p>
    <w:p>
      <w:pPr>
        <w:spacing w:after="0" w:line="15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i w:val="1"/>
          <w:iCs w:val="1"/>
          <w:color w:val="auto"/>
        </w:rPr>
        <w:t xml:space="preserve">Inventory Valuations. </w:t>
      </w:r>
      <w:r>
        <w:rPr>
          <w:rFonts w:ascii="Arial" w:cs="Arial" w:eastAsia="Arial" w:hAnsi="Arial"/>
          <w:sz w:val="17"/>
          <w:szCs w:val="17"/>
          <w:color w:val="auto"/>
        </w:rPr>
        <w:t>Inventory, including long-term inventory, primarily consists of crude oil and NGL and is valued at the lower of cost or net</w:t>
      </w:r>
      <w:r>
        <w:rPr>
          <w:rFonts w:ascii="Arial" w:cs="Arial" w:eastAsia="Arial" w:hAnsi="Arial"/>
          <w:sz w:val="17"/>
          <w:szCs w:val="17"/>
          <w:i w:val="1"/>
          <w:iCs w:val="1"/>
          <w:color w:val="auto"/>
        </w:rPr>
        <w:t xml:space="preserve"> </w:t>
      </w:r>
      <w:r>
        <w:rPr>
          <w:rFonts w:ascii="Arial" w:cs="Arial" w:eastAsia="Arial" w:hAnsi="Arial"/>
          <w:sz w:val="17"/>
          <w:szCs w:val="17"/>
          <w:color w:val="auto"/>
        </w:rPr>
        <w:t>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2020, 2019 and 2018, we recorded charges of $233 million, $11 million and $8 million, respectively, related to the valuation adjustment of our crude oil inventory due to declines in prices. See Note 5 to our Consolidated Financial Statements for further discussion regarding inventory.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1380" w:type="dxa"/>
            <w:vAlign w:val="bottom"/>
            <w:gridSpan w:val="3"/>
          </w:tcPr>
          <w:p>
            <w:pPr>
              <w:ind w:left="7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6"/>
                <w:szCs w:val="16"/>
                <w:color w:val="auto"/>
              </w:rPr>
            </w:pPr>
          </w:p>
        </w:tc>
      </w:tr>
      <w:tr>
        <w:trPr>
          <w:trHeight w:val="187"/>
        </w:trPr>
        <w:tc>
          <w:tcPr>
            <w:tcW w:w="59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24"/>
        </w:trPr>
        <w:tc>
          <w:tcPr>
            <w:tcW w:w="59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of unconsolidated entities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Selected items impacting comparability - Segment Adjusted EBITDA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that variance as a percentage is not meaningful.</w:t>
      </w:r>
    </w:p>
    <w:p>
      <w:pPr>
        <w:spacing w:after="0" w:line="117" w:lineRule="exact"/>
        <w:rPr>
          <w:sz w:val="20"/>
          <w:szCs w:val="20"/>
          <w:color w:val="auto"/>
        </w:rPr>
      </w:pPr>
    </w:p>
    <w:p>
      <w:pPr>
        <w:ind w:left="660" w:right="180" w:hanging="652"/>
        <w:spacing w:after="0" w:line="238" w:lineRule="auto"/>
        <w:tabs>
          <w:tab w:leader="none" w:pos="648"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21 to our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21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Income/(Loss), and Free Cash Flow and Free Cash Flow After Distributions are reconciled to Net Cash Provided by Operating Activities, the most directly comparable measures as reported in accordance with GAAP, and should be viewed in addition to, and not in lieu of, our Consolidated Financial Statements and accompanying notes. See “—Liquidity and Capital Resources—Liquidity Measures” for additional information regarding Free Cash Flow and Free Cash Flow After Distributions.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w:t>
      </w:r>
    </w:p>
    <w:p>
      <w:pPr>
        <w:spacing w:after="0" w:line="4" w:lineRule="exact"/>
        <w:rPr>
          <w:sz w:val="20"/>
          <w:szCs w:val="20"/>
          <w:color w:val="auto"/>
        </w:rPr>
      </w:pPr>
    </w:p>
    <w:p>
      <w:pPr>
        <w:ind w:right="320" w:firstLine="8"/>
        <w:spacing w:after="0" w:line="281" w:lineRule="auto"/>
        <w:tabs>
          <w:tab w:leader="none" w:pos="265" w:val="left"/>
        </w:tabs>
        <w:numPr>
          <w:ilvl w:val="0"/>
          <w:numId w:val="48"/>
        </w:numPr>
        <w:rPr>
          <w:rFonts w:ascii="Arial" w:cs="Arial" w:eastAsia="Arial" w:hAnsi="Arial"/>
          <w:sz w:val="16"/>
          <w:szCs w:val="16"/>
          <w:color w:val="auto"/>
        </w:rPr>
      </w:pPr>
      <w:r>
        <w:rPr>
          <w:rFonts w:ascii="Arial" w:cs="Arial" w:eastAsia="Arial" w:hAnsi="Arial"/>
          <w:sz w:val="16"/>
          <w:szCs w:val="16"/>
          <w:color w:val="auto"/>
        </w:rPr>
        <w:t>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w:t>
      </w:r>
    </w:p>
    <w:p>
      <w:pPr>
        <w:spacing w:after="0" w:line="1" w:lineRule="exact"/>
        <w:rPr>
          <w:rFonts w:ascii="Arial" w:cs="Arial" w:eastAsia="Arial" w:hAnsi="Arial"/>
          <w:sz w:val="16"/>
          <w:szCs w:val="16"/>
          <w:color w:val="auto"/>
        </w:rPr>
      </w:pPr>
    </w:p>
    <w:p>
      <w:pPr>
        <w:ind w:right="200" w:firstLine="8"/>
        <w:spacing w:after="0" w:line="290" w:lineRule="auto"/>
        <w:tabs>
          <w:tab w:leader="none" w:pos="2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performance measures Adjusted EBITDA and Implied DCF from Net Income/(Loss)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Variance</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Income tax expense/(benefit)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(Gains)/losses on asset sales and asset impairments,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(Gain on)/impairment of investments in unconsolidated entities,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5980" w:type="dxa"/>
            <w:vAlign w:val="bottom"/>
          </w:tcPr>
          <w:p>
            <w:pPr>
              <w:ind w:left="240"/>
              <w:spacing w:after="0"/>
              <w:rPr>
                <w:sz w:val="20"/>
                <w:szCs w:val="20"/>
                <w:color w:val="auto"/>
              </w:rPr>
            </w:pPr>
            <w:r>
              <w:rPr>
                <w:rFonts w:ascii="Arial" w:cs="Arial" w:eastAsia="Arial" w:hAnsi="Arial"/>
                <w:sz w:val="18"/>
                <w:szCs w:val="18"/>
                <w:color w:val="auto"/>
              </w:rPr>
              <w:t>Selected Items Impacting Comparability: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w w:val="95"/>
              </w:rPr>
              <w:t xml:space="preserve">Losses from derivative activities net of inventory valuation adjustments </w:t>
            </w:r>
            <w:r>
              <w:rPr>
                <w:rFonts w:ascii="Arial" w:cs="Arial" w:eastAsia="Arial" w:hAnsi="Arial"/>
                <w:sz w:val="23"/>
                <w:szCs w:val="23"/>
                <w:color w:val="auto"/>
                <w:w w:val="95"/>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Pr>
          <w:p>
            <w:pPr>
              <w:ind w:left="260"/>
              <w:spacing w:after="0"/>
              <w:rPr>
                <w:sz w:val="20"/>
                <w:szCs w:val="20"/>
                <w:color w:val="auto"/>
              </w:rPr>
            </w:pPr>
            <w:r>
              <w:rPr>
                <w:rFonts w:ascii="Arial" w:cs="Arial" w:eastAsia="Arial" w:hAnsi="Arial"/>
                <w:sz w:val="18"/>
                <w:szCs w:val="18"/>
                <w:color w:val="auto"/>
              </w:rPr>
              <w:t>Selected Items Impacting Comparability - Segment Adjusted EBITDA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Net gain on early repayment of senior notes </w:t>
            </w:r>
            <w:r>
              <w:rPr>
                <w:rFonts w:ascii="Arial" w:cs="Arial" w:eastAsia="Arial" w:hAnsi="Arial"/>
                <w:sz w:val="23"/>
                <w:szCs w:val="23"/>
                <w:color w:val="auto"/>
                <w:vertAlign w:val="superscript"/>
              </w:rPr>
              <w:t>(9)</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40"/>
              <w:spacing w:after="0" w:line="223"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(10)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40"/>
              <w:spacing w:after="0" w:line="243"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(11)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(407)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Distributions from unconsolidated entities in excess of/(less than) adjusted</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00"/>
              <w:spacing w:after="0" w:line="230" w:lineRule="exact"/>
              <w:rPr>
                <w:sz w:val="20"/>
                <w:szCs w:val="20"/>
                <w:color w:val="auto"/>
              </w:rPr>
            </w:pPr>
            <w:r>
              <w:rPr>
                <w:rFonts w:ascii="Arial" w:cs="Arial" w:eastAsia="Arial" w:hAnsi="Arial"/>
                <w:sz w:val="18"/>
                <w:szCs w:val="18"/>
                <w:color w:val="auto"/>
              </w:rPr>
              <w:t xml:space="preserve">equity earnings </w:t>
            </w:r>
            <w:r>
              <w:rPr>
                <w:rFonts w:ascii="Arial" w:cs="Arial" w:eastAsia="Arial" w:hAnsi="Arial"/>
                <w:sz w:val="23"/>
                <w:szCs w:val="23"/>
                <w:color w:val="auto"/>
                <w:vertAlign w:val="superscript"/>
              </w:rPr>
              <w:t>(13)</w:t>
            </w: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(14)</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Preferred unit cash distributions </w:t>
            </w:r>
            <w:r>
              <w:rPr>
                <w:rFonts w:ascii="Arial" w:cs="Arial" w:eastAsia="Arial" w:hAnsi="Arial"/>
                <w:sz w:val="23"/>
                <w:szCs w:val="23"/>
                <w:color w:val="auto"/>
                <w:vertAlign w:val="superscript"/>
              </w:rPr>
              <w:t>(15)</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40"/>
              <w:spacing w:after="0" w:line="243"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(14)</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Implied DCF Excess </w:t>
            </w:r>
            <w:r>
              <w:rPr>
                <w:rFonts w:ascii="Arial" w:cs="Arial" w:eastAsia="Arial" w:hAnsi="Arial"/>
                <w:sz w:val="23"/>
                <w:szCs w:val="23"/>
                <w:color w:val="auto"/>
                <w:vertAlign w:val="superscript"/>
              </w:rPr>
              <w:t>(16)</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that variance as a percentage is not meaningful.</w:t>
      </w:r>
    </w:p>
    <w:p>
      <w:pPr>
        <w:spacing w:after="0" w:line="117" w:lineRule="exact"/>
        <w:rPr>
          <w:sz w:val="20"/>
          <w:szCs w:val="20"/>
          <w:color w:val="auto"/>
        </w:rPr>
      </w:pPr>
    </w:p>
    <w:p>
      <w:pPr>
        <w:ind w:left="660" w:right="400" w:hanging="652"/>
        <w:spacing w:after="0" w:line="234" w:lineRule="auto"/>
        <w:tabs>
          <w:tab w:leader="none" w:pos="648"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such unconsolidated entities when reviewing Adjusted EBITDA, similar to our consolidated assets.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Index to Financial Statements</w:t>
        </w:r>
      </w:hyperlink>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hanging="11"/>
        <w:spacing w:after="0" w:line="271" w:lineRule="auto"/>
        <w:rPr>
          <w:sz w:val="20"/>
          <w:szCs w:val="20"/>
          <w:color w:val="auto"/>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13 to our Consolidated Financial Statements for a comprehensive discussion regarding our derivatives and risk management activities.</w:t>
      </w:r>
    </w:p>
    <w:p>
      <w:pPr>
        <w:spacing w:after="0" w:line="70" w:lineRule="exact"/>
        <w:rPr>
          <w:sz w:val="20"/>
          <w:szCs w:val="20"/>
          <w:color w:val="auto"/>
        </w:rPr>
      </w:pPr>
    </w:p>
    <w:p>
      <w:pPr>
        <w:ind w:right="40" w:hanging="11"/>
        <w:spacing w:after="0" w:line="273" w:lineRule="auto"/>
        <w:rPr>
          <w:sz w:val="20"/>
          <w:szCs w:val="20"/>
          <w:color w:val="auto"/>
        </w:rPr>
      </w:pPr>
      <w:r>
        <w:rPr>
          <w:rFonts w:ascii="Arial" w:cs="Arial" w:eastAsia="Arial" w:hAnsi="Arial"/>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for additional inventory disclosures.</w:t>
      </w:r>
    </w:p>
    <w:p>
      <w:pPr>
        <w:spacing w:after="0" w:line="70" w:lineRule="exact"/>
        <w:rPr>
          <w:sz w:val="20"/>
          <w:szCs w:val="20"/>
          <w:color w:val="auto"/>
        </w:rPr>
      </w:pPr>
    </w:p>
    <w:p>
      <w:pPr>
        <w:ind w:right="2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right="140" w:hanging="11"/>
        <w:spacing w:after="0" w:line="272" w:lineRule="auto"/>
        <w:rPr>
          <w:sz w:val="20"/>
          <w:szCs w:val="20"/>
          <w:color w:val="auto"/>
        </w:rPr>
      </w:pPr>
      <w:r>
        <w:rPr>
          <w:rFonts w:ascii="Arial" w:cs="Arial" w:eastAsia="Arial" w:hAnsi="Arial"/>
          <w:sz w:val="17"/>
          <w:szCs w:val="17"/>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18 to our Consolidated Financial Statements for a discussion regarding our equity-indexed compensation plans.</w:t>
      </w:r>
    </w:p>
    <w:p>
      <w:pPr>
        <w:spacing w:after="0" w:line="69" w:lineRule="exact"/>
        <w:rPr>
          <w:sz w:val="20"/>
          <w:szCs w:val="20"/>
          <w:color w:val="auto"/>
        </w:rPr>
      </w:pPr>
    </w:p>
    <w:p>
      <w:pPr>
        <w:ind w:right="80" w:hanging="11"/>
        <w:spacing w:after="0" w:line="257" w:lineRule="auto"/>
        <w:rPr>
          <w:sz w:val="20"/>
          <w:szCs w:val="20"/>
          <w:color w:val="auto"/>
        </w:rPr>
      </w:pPr>
      <w:r>
        <w:rPr>
          <w:rFonts w:ascii="Arial" w:cs="Arial" w:eastAsia="Arial" w:hAnsi="Arial"/>
          <w:sz w:val="18"/>
          <w:szCs w:val="18"/>
          <w:color w:val="auto"/>
        </w:rPr>
        <w:t>During the periods presented, there were fluctuations in the value of the Canadian dollar (“CAD”) to the U.S. dollar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 See Note 13 to our Consolidated Financial Statements for discussion regarding our currency exchange rate risk hedging activities.</w:t>
      </w:r>
    </w:p>
    <w:p>
      <w:pPr>
        <w:spacing w:after="0" w:line="80" w:lineRule="exact"/>
        <w:rPr>
          <w:sz w:val="20"/>
          <w:szCs w:val="20"/>
          <w:color w:val="auto"/>
        </w:rPr>
      </w:pPr>
    </w:p>
    <w:p>
      <w:pPr>
        <w:ind w:right="100" w:hanging="11"/>
        <w:spacing w:after="0" w:line="342" w:lineRule="auto"/>
        <w:rPr>
          <w:sz w:val="20"/>
          <w:szCs w:val="20"/>
          <w:color w:val="auto"/>
        </w:rPr>
      </w:pPr>
      <w:r>
        <w:rPr>
          <w:rFonts w:ascii="Arial" w:cs="Arial" w:eastAsia="Arial" w:hAnsi="Arial"/>
          <w:sz w:val="16"/>
          <w:szCs w:val="16"/>
          <w:color w:val="auto"/>
        </w:rPr>
        <w:t>Includes costs recognized during the period related to the Line 901 incident that occurred in May 2015, net of amounts we believe are probable of recovery from insurance. See Note 19 to our Consolidated Financial Statements for additional information regarding the Line 901 incident.</w:t>
      </w:r>
    </w:p>
    <w:p>
      <w:pPr>
        <w:spacing w:after="0" w:line="16" w:lineRule="exact"/>
        <w:rPr>
          <w:sz w:val="20"/>
          <w:szCs w:val="20"/>
          <w:color w:val="auto"/>
        </w:rPr>
      </w:pPr>
    </w:p>
    <w:p>
      <w:pPr>
        <w:ind w:right="160" w:hanging="11"/>
        <w:spacing w:after="0" w:line="277" w:lineRule="auto"/>
        <w:rPr>
          <w:sz w:val="20"/>
          <w:szCs w:val="20"/>
          <w:color w:val="auto"/>
        </w:rPr>
      </w:pPr>
      <w:r>
        <w:rPr>
          <w:rFonts w:ascii="Arial" w:cs="Arial" w:eastAsia="Arial" w:hAnsi="Arial"/>
          <w:sz w:val="18"/>
          <w:szCs w:val="18"/>
          <w:color w:val="auto"/>
        </w:rPr>
        <w:t>Includes acquisition-related expenses associated with the acquisition of Felix Midstream LLC (“Felix Midstream”) in February 2020. See Note 7 to our Consolidated Financial Statements for additional information.</w:t>
      </w:r>
    </w:p>
    <w:p>
      <w:pPr>
        <w:spacing w:after="0" w:line="62" w:lineRule="exact"/>
        <w:rPr>
          <w:sz w:val="20"/>
          <w:szCs w:val="20"/>
          <w:color w:val="auto"/>
        </w:rPr>
      </w:pPr>
    </w:p>
    <w:p>
      <w:pPr>
        <w:ind w:right="860" w:hanging="11"/>
        <w:spacing w:after="0" w:line="277" w:lineRule="auto"/>
        <w:rPr>
          <w:sz w:val="20"/>
          <w:szCs w:val="20"/>
          <w:color w:val="auto"/>
        </w:rPr>
      </w:pPr>
      <w:r>
        <w:rPr>
          <w:rFonts w:ascii="Arial" w:cs="Arial" w:eastAsia="Arial" w:hAnsi="Arial"/>
          <w:sz w:val="18"/>
          <w:szCs w:val="18"/>
          <w:color w:val="auto"/>
        </w:rPr>
        <w:t>Includes net gains recognized in connection with the repurchase of our outstanding senior notes on the open market. See Note 11 to our Consolidated Financial Statements for additional information.</w:t>
      </w:r>
    </w:p>
    <w:p>
      <w:pPr>
        <w:spacing w:after="0" w:line="62" w:lineRule="exact"/>
        <w:rPr>
          <w:sz w:val="20"/>
          <w:szCs w:val="20"/>
          <w:color w:val="auto"/>
        </w:rPr>
      </w:pPr>
    </w:p>
    <w:p>
      <w:pPr>
        <w:ind w:right="60" w:hanging="7"/>
        <w:spacing w:after="0" w:line="277" w:lineRule="auto"/>
        <w:rPr>
          <w:sz w:val="20"/>
          <w:szCs w:val="20"/>
          <w:color w:val="auto"/>
        </w:rPr>
      </w:pPr>
      <w:r>
        <w:rPr>
          <w:rFonts w:ascii="Arial" w:cs="Arial" w:eastAsia="Arial" w:hAnsi="Arial"/>
          <w:sz w:val="18"/>
          <w:szCs w:val="18"/>
          <w:color w:val="auto"/>
        </w:rPr>
        <w:t>Other income/(expense), net per our Consolidated Statements of Operations, adjusted for selected items impacting comparability (“Adjusted other income/(expense), net”) is included in Adjusted EBITDA and excluded from Segment Adjusted EBITDA.</w:t>
      </w:r>
    </w:p>
    <w:p>
      <w:pPr>
        <w:spacing w:after="0" w:line="200" w:lineRule="exact"/>
        <w:rPr>
          <w:sz w:val="20"/>
          <w:szCs w:val="20"/>
          <w:color w:val="auto"/>
        </w:rPr>
      </w:pPr>
    </w:p>
    <w:p>
      <w:pPr>
        <w:sectPr>
          <w:pgSz w:w="11900" w:h="16838" w:orient="portrait"/>
          <w:cols w:equalWidth="0" w:num="2">
            <w:col w:w="200" w:space="460"/>
            <w:col w:w="10580"/>
          </w:cols>
          <w:pgMar w:left="320" w:top="130" w:right="339" w:bottom="1440" w:gutter="0" w:footer="0" w:header="0"/>
          <w:type w:val="continuous"/>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5" w:name="page86"/>
    <w:bookmarkEnd w:id="8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63"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3" w:lineRule="exact"/>
        <w:rPr>
          <w:rFonts w:ascii="Arial" w:cs="Arial" w:eastAsia="Arial" w:hAnsi="Arial"/>
          <w:sz w:val="22"/>
          <w:szCs w:val="22"/>
          <w:color w:val="auto"/>
          <w:vertAlign w:val="superscript"/>
        </w:rPr>
      </w:pPr>
    </w:p>
    <w:p>
      <w:pPr>
        <w:ind w:left="660" w:right="340" w:hanging="652"/>
        <w:spacing w:after="0" w:line="227" w:lineRule="auto"/>
        <w:tabs>
          <w:tab w:leader="none" w:pos="652"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94" w:lineRule="exact"/>
        <w:rPr>
          <w:rFonts w:ascii="Arial" w:cs="Arial" w:eastAsia="Arial" w:hAnsi="Arial"/>
          <w:sz w:val="23"/>
          <w:szCs w:val="23"/>
          <w:color w:val="auto"/>
          <w:vertAlign w:val="superscript"/>
        </w:rPr>
      </w:pPr>
    </w:p>
    <w:p>
      <w:pPr>
        <w:ind w:left="660" w:right="960" w:hanging="652"/>
        <w:spacing w:after="0" w:line="267" w:lineRule="auto"/>
        <w:tabs>
          <w:tab w:leader="none" w:pos="652" w:val="left"/>
        </w:tabs>
        <w:numPr>
          <w:ilvl w:val="0"/>
          <w:numId w:val="52"/>
        </w:numPr>
        <w:rPr>
          <w:rFonts w:ascii="Arial" w:cs="Arial" w:eastAsia="Arial" w:hAnsi="Arial"/>
          <w:sz w:val="21"/>
          <w:szCs w:val="21"/>
          <w:color w:val="auto"/>
          <w:vertAlign w:val="superscript"/>
        </w:rPr>
      </w:pPr>
      <w:r>
        <w:rPr>
          <w:rFonts w:ascii="Arial" w:cs="Arial" w:eastAsia="Arial" w:hAnsi="Arial"/>
          <w:sz w:val="16"/>
          <w:szCs w:val="16"/>
          <w:color w:val="auto"/>
        </w:rPr>
        <w:t>Comprised of cash distributions received from unconsolidated entities less equity earnings in unconsolidated entities (adjusted for our proportionate share of depreciation and amortization and selected items impacting comparability of unconsolidated entities).</w:t>
      </w:r>
    </w:p>
    <w:p>
      <w:pPr>
        <w:spacing w:after="0" w:line="32" w:lineRule="exact"/>
        <w:rPr>
          <w:rFonts w:ascii="Arial" w:cs="Arial" w:eastAsia="Arial" w:hAnsi="Arial"/>
          <w:sz w:val="21"/>
          <w:szCs w:val="21"/>
          <w:color w:val="auto"/>
          <w:vertAlign w:val="superscript"/>
        </w:rPr>
      </w:pPr>
    </w:p>
    <w:p>
      <w:pPr>
        <w:ind w:left="640" w:hanging="632"/>
        <w:spacing w:after="0"/>
        <w:tabs>
          <w:tab w:leader="none" w:pos="640"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93" w:lineRule="exact"/>
        <w:rPr>
          <w:rFonts w:ascii="Arial" w:cs="Arial" w:eastAsia="Arial" w:hAnsi="Arial"/>
          <w:sz w:val="23"/>
          <w:szCs w:val="23"/>
          <w:color w:val="auto"/>
          <w:vertAlign w:val="superscript"/>
        </w:rPr>
      </w:pPr>
    </w:p>
    <w:p>
      <w:pPr>
        <w:ind w:left="660" w:right="640" w:hanging="652"/>
        <w:spacing w:after="0" w:line="227" w:lineRule="auto"/>
        <w:tabs>
          <w:tab w:leader="none" w:pos="652"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period presented. See Note 12 to our Consolidated Financial Statements for additional information regarding our preferred units.</w:t>
      </w:r>
    </w:p>
    <w:p>
      <w:pPr>
        <w:spacing w:after="0" w:line="59"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Excess DCF is retained to establish reserves for future distributions, capital expenditures and other partnership purposes.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52"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21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21 to our Consolidated Financial Statements for a reconciliation of Segment Adjusted EBITDA to Net income/(loss) attributable to PAA.</w:t>
      </w:r>
    </w:p>
    <w:p>
      <w:pPr>
        <w:spacing w:after="0" w:line="20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5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80" w:type="dxa"/>
            <w:vAlign w:val="bottom"/>
          </w:tcPr>
          <w:p>
            <w:pPr>
              <w:spacing w:after="0"/>
              <w:rPr>
                <w:sz w:val="17"/>
                <w:szCs w:val="17"/>
                <w:color w:val="auto"/>
              </w:rPr>
            </w:pPr>
          </w:p>
        </w:tc>
        <w:tc>
          <w:tcPr>
            <w:tcW w:w="242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7"/>
                <w:szCs w:val="17"/>
                <w:color w:val="auto"/>
              </w:rPr>
            </w:pPr>
          </w:p>
        </w:tc>
        <w:tc>
          <w:tcPr>
            <w:tcW w:w="1500" w:type="dxa"/>
            <w:vAlign w:val="bottom"/>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7"/>
                <w:szCs w:val="17"/>
                <w:color w:val="auto"/>
              </w:rPr>
            </w:pPr>
          </w:p>
        </w:tc>
      </w:tr>
      <w:tr>
        <w:trPr>
          <w:trHeight w:val="195"/>
        </w:trPr>
        <w:tc>
          <w:tcPr>
            <w:tcW w:w="5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24"/>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5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5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5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 of unconsolidated entities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Losses from derivative activities, net of inventory valuation adjustments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Deficiencies under minimum volume commitments,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Line 901 incident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Significant acquisition-related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43"/>
        </w:trPr>
        <w:tc>
          <w:tcPr>
            <w:tcW w:w="59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3 %</w:t>
            </w:r>
          </w:p>
        </w:tc>
      </w:tr>
      <w:tr>
        <w:trPr>
          <w:trHeight w:val="582"/>
        </w:trPr>
        <w:tc>
          <w:tcPr>
            <w:tcW w:w="59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280" w:type="dxa"/>
            <w:vAlign w:val="bottom"/>
          </w:tcPr>
          <w:p>
            <w:pPr>
              <w:spacing w:after="0"/>
              <w:rPr>
                <w:sz w:val="24"/>
                <w:szCs w:val="24"/>
                <w:color w:val="auto"/>
              </w:rPr>
            </w:pPr>
          </w:p>
        </w:tc>
        <w:tc>
          <w:tcPr>
            <w:tcW w:w="242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24"/>
                <w:szCs w:val="24"/>
                <w:color w:val="auto"/>
              </w:rPr>
            </w:pPr>
          </w:p>
        </w:tc>
        <w:tc>
          <w:tcPr>
            <w:tcW w:w="1500" w:type="dxa"/>
            <w:vAlign w:val="bottom"/>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24"/>
                <w:szCs w:val="24"/>
                <w:color w:val="auto"/>
              </w:rPr>
            </w:pPr>
          </w:p>
        </w:tc>
      </w:tr>
      <w:tr>
        <w:trPr>
          <w:trHeight w:val="202"/>
        </w:trPr>
        <w:tc>
          <w:tcPr>
            <w:tcW w:w="5940" w:type="dxa"/>
            <w:vAlign w:val="bottom"/>
            <w:gridSpan w:val="2"/>
          </w:tcPr>
          <w:p>
            <w:pPr>
              <w:ind w:left="20"/>
              <w:spacing w:after="0" w:line="20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8"/>
                <w:szCs w:val="18"/>
                <w:b w:val="1"/>
                <w:bCs w:val="1"/>
                <w:color w:val="auto"/>
                <w:vertAlign w:val="superscript"/>
              </w:rPr>
              <w:t>(4)</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Volumes</w:t>
            </w:r>
          </w:p>
        </w:tc>
        <w:tc>
          <w:tcPr>
            <w:tcW w:w="88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23"/>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Crude oil pipelines (by region):</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94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94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94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94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Crude oil pipelines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NGL pipelines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Tariff activities total volumes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Trucking volumes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Transportation segment total volumes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ectPr>
          <w:pgSz w:w="11900" w:h="16838" w:orient="portrait"/>
          <w:cols w:equalWidth="0" w:num="1">
            <w:col w:w="11240"/>
          </w:cols>
          <w:pgMar w:left="320" w:top="130"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ind w:left="660" w:right="480" w:hanging="652"/>
        <w:spacing w:after="0" w:line="227" w:lineRule="auto"/>
        <w:tabs>
          <w:tab w:leader="none" w:pos="648"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21 to our Consolidated Financial Statements for additional discussion of such adjustments.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7" w:name="page88"/>
    <w:bookmarkEnd w:id="8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Index to Financial Statements</w:t>
        </w:r>
      </w:hyperlink>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year divided by the number of days in the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pacing w:after="0" w:line="219"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Favorable/(Unfavorable) Variance</w:t>
      </w:r>
    </w:p>
    <w:p>
      <w:pPr>
        <w:jc w:val="center"/>
        <w:ind w:left="4640"/>
        <w:spacing w:after="0"/>
        <w:rPr>
          <w:sz w:val="20"/>
          <w:szCs w:val="20"/>
          <w:color w:val="auto"/>
        </w:rPr>
      </w:pPr>
      <w:r>
        <w:rPr>
          <w:rFonts w:ascii="Arial" w:cs="Arial" w:eastAsia="Arial" w:hAnsi="Arial"/>
          <w:sz w:val="14"/>
          <w:szCs w:val="14"/>
          <w:b w:val="1"/>
          <w:bCs w:val="1"/>
          <w:color w:val="auto"/>
        </w:rPr>
        <w:t>2020-2019</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141"/>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rPr>
              <w:t>Purchases and Related</w:t>
            </w: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Equity Earnings</w:t>
            </w:r>
          </w:p>
        </w:tc>
        <w:tc>
          <w:tcPr>
            <w:tcW w:w="0" w:type="dxa"/>
            <w:vAlign w:val="bottom"/>
          </w:tcPr>
          <w:p>
            <w:pPr>
              <w:spacing w:after="0"/>
              <w:rPr>
                <w:sz w:val="1"/>
                <w:szCs w:val="1"/>
                <w:color w:val="auto"/>
              </w:rPr>
            </w:pPr>
          </w:p>
        </w:tc>
      </w:tr>
      <w:tr>
        <w:trPr>
          <w:trHeight w:val="188"/>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560"/>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Crude oil pipelines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Permian Basin region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South Texas / Eagle Ford region</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Central region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Rocky Mountain region</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Canada region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7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regions, NGL pipelines, trucking and pipeline loss</w:t>
            </w:r>
          </w:p>
        </w:tc>
        <w:tc>
          <w:tcPr>
            <w:tcW w:w="3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ind w:left="13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allowance revenue</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Total variance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980" w:right="60" w:hanging="324"/>
        <w:spacing w:after="0" w:line="273" w:lineRule="auto"/>
        <w:tabs>
          <w:tab w:leader="none" w:pos="975"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COVID-19 Impact. </w:t>
      </w:r>
      <w:r>
        <w:rPr>
          <w:rFonts w:ascii="Arial" w:cs="Arial" w:eastAsia="Arial" w:hAnsi="Arial"/>
          <w:sz w:val="17"/>
          <w:szCs w:val="17"/>
          <w:color w:val="auto"/>
        </w:rPr>
        <w:t>The destruction of demand for refined products, and therefore crude oil, caused by COVID-19 created a supply and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imbalance in the crude oil markets for a portion of 2020 in all of our operating regions. This imbalance pushed crude oil prices to historically low levels, including negative values for at least one day in April 2020. In turn, these factors caused U.S. and Canadian producers to respond by quickly curtailing their crude oil production as well as their drilling and completion activities. These actions led to a decline of onshore, lower 48 U.S. oil production by approximately 1.4 million barrels of crude oil per day between February and May of 2020, according to the information provided by the EIA, and adversely impacted transportation volumes on our pipelines.</w:t>
      </w:r>
    </w:p>
    <w:p>
      <w:pPr>
        <w:spacing w:after="0" w:line="204" w:lineRule="exact"/>
        <w:rPr>
          <w:rFonts w:ascii="Arial" w:cs="Arial" w:eastAsia="Arial" w:hAnsi="Arial"/>
          <w:sz w:val="17"/>
          <w:szCs w:val="17"/>
          <w:color w:val="auto"/>
        </w:rPr>
      </w:pPr>
    </w:p>
    <w:p>
      <w:pPr>
        <w:ind w:left="980" w:hanging="324"/>
        <w:spacing w:after="0" w:line="270" w:lineRule="auto"/>
        <w:tabs>
          <w:tab w:leader="none" w:pos="975" w:val="left"/>
        </w:tabs>
        <w:numPr>
          <w:ilvl w:val="0"/>
          <w:numId w:val="5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Permian Basin region. </w:t>
      </w:r>
      <w:r>
        <w:rPr>
          <w:rFonts w:ascii="Arial" w:cs="Arial" w:eastAsia="Arial" w:hAnsi="Arial"/>
          <w:sz w:val="17"/>
          <w:szCs w:val="17"/>
          <w:color w:val="auto"/>
        </w:rPr>
        <w:t>Revenues, net of purchases and related costs, (“net revenues”) decreased by $121 million for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2020 compared to the year ended December 31, 2019. This decrease was primarily due to lower long-haul pipeline movements to Cushing, Oklahoma and Corpus Christi, Texas due to compressed regional basis differentials, as well as lower volumes on our intra-basin pipelines that feed our long-haul pipelines, partially offset by increased volumes on our gathering pipelines, almost half of which was attributable to the Felix Midstream system we acquired in February 2020. Some shippers on the long-haul pipelines to Cushing and Corpus Christi have under-delivered relative to their minimum volume commitments; however, the earnings related to these volume shortfalls will not be recognized until future periods when either the shortfall is made up or when the shipper’s make-up rights expire or it is determined that their ability to utilize the make-up right is remote. Such deficiencies are reflected as an “Adjustment” in the table above as discussed further below under “—</w:t>
      </w:r>
      <w:r>
        <w:rPr>
          <w:rFonts w:ascii="Arial" w:cs="Arial" w:eastAsia="Arial" w:hAnsi="Arial"/>
          <w:sz w:val="17"/>
          <w:szCs w:val="17"/>
          <w:i w:val="1"/>
          <w:iCs w:val="1"/>
          <w:color w:val="auto"/>
        </w:rPr>
        <w:t>Adjustments: Deficiencies under minimum volume commitments, net.</w:t>
      </w:r>
      <w:r>
        <w:rPr>
          <w:rFonts w:ascii="Arial" w:cs="Arial" w:eastAsia="Arial" w:hAnsi="Arial"/>
          <w:sz w:val="17"/>
          <w:szCs w:val="17"/>
          <w:color w:val="auto"/>
        </w:rPr>
        <w:t>”</w:t>
      </w:r>
    </w:p>
    <w:p>
      <w:pPr>
        <w:spacing w:after="0" w:line="207" w:lineRule="exact"/>
        <w:rPr>
          <w:rFonts w:ascii="Arial" w:cs="Arial" w:eastAsia="Arial" w:hAnsi="Arial"/>
          <w:sz w:val="17"/>
          <w:szCs w:val="17"/>
          <w:i w:val="1"/>
          <w:iCs w:val="1"/>
          <w:color w:val="auto"/>
        </w:rPr>
      </w:pPr>
    </w:p>
    <w:p>
      <w:pPr>
        <w:ind w:left="980" w:right="140"/>
        <w:spacing w:after="0" w:line="263" w:lineRule="auto"/>
        <w:rPr>
          <w:rFonts w:ascii="Arial" w:cs="Arial" w:eastAsia="Arial" w:hAnsi="Arial"/>
          <w:sz w:val="17"/>
          <w:szCs w:val="17"/>
          <w:i w:val="1"/>
          <w:iCs w:val="1"/>
          <w:color w:val="auto"/>
        </w:rPr>
      </w:pPr>
      <w:r>
        <w:rPr>
          <w:rFonts w:ascii="Arial" w:cs="Arial" w:eastAsia="Arial" w:hAnsi="Arial"/>
          <w:sz w:val="18"/>
          <w:szCs w:val="18"/>
          <w:color w:val="auto"/>
        </w:rPr>
        <w:t>The increase in equity earnings over the comparative period was primarily from our 65% interest in the Cactus II pipeline, which was placed in service in August 2019, partially offset by lower equity earnings from our 20% interest in the BridgeTex pipeline primarily due to lower volumes.</w:t>
      </w:r>
    </w:p>
    <w:p>
      <w:pPr>
        <w:spacing w:after="0" w:line="210" w:lineRule="exact"/>
        <w:rPr>
          <w:rFonts w:ascii="Arial" w:cs="Arial" w:eastAsia="Arial" w:hAnsi="Arial"/>
          <w:sz w:val="17"/>
          <w:szCs w:val="17"/>
          <w:i w:val="1"/>
          <w:iCs w:val="1"/>
          <w:color w:val="auto"/>
        </w:rPr>
      </w:pPr>
    </w:p>
    <w:p>
      <w:pPr>
        <w:ind w:left="980" w:right="140" w:hanging="324"/>
        <w:spacing w:after="0" w:line="277" w:lineRule="auto"/>
        <w:tabs>
          <w:tab w:leader="none" w:pos="975"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The decrease in revenues for the year ended December 31, 2020 compared to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was due to lower volumes, primarily related to lower production.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8" w:name="page89"/>
    <w:bookmarkEnd w:id="8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980" w:right="40"/>
        <w:spacing w:after="0" w:line="255" w:lineRule="auto"/>
        <w:rPr>
          <w:sz w:val="20"/>
          <w:szCs w:val="20"/>
          <w:color w:val="auto"/>
        </w:rPr>
      </w:pPr>
      <w:r>
        <w:rPr>
          <w:rFonts w:ascii="Arial" w:cs="Arial" w:eastAsia="Arial" w:hAnsi="Arial"/>
          <w:sz w:val="18"/>
          <w:szCs w:val="18"/>
          <w:color w:val="auto"/>
        </w:rPr>
        <w:t>Equity earnings from our 50% interest in the Eagle Ford pipeline decreased for the year ended December 31, 2020 compared to the year ended December 31, 2019 due to a combination of lower joint tariff volumes from the Permian Basin via our Cactus I pipeline, and to a lesser extent, lower regional receipts. Similar to some shippers in the Permian Basin region, certain shippers on the Eagle Ford pipeline have under-delivered relative to their minimum volume commitments and the earnings related to these volume shortfalls will not be recognized until future periods. Such deficiencies are reflected as an “Adjustment” in the table above as discussed further below under “—</w:t>
      </w:r>
      <w:r>
        <w:rPr>
          <w:rFonts w:ascii="Arial" w:cs="Arial" w:eastAsia="Arial" w:hAnsi="Arial"/>
          <w:sz w:val="18"/>
          <w:szCs w:val="18"/>
          <w:i w:val="1"/>
          <w:iCs w:val="1"/>
          <w:color w:val="auto"/>
        </w:rPr>
        <w:t>Adjustments:</w:t>
      </w:r>
      <w:r>
        <w:rPr>
          <w:rFonts w:ascii="Arial" w:cs="Arial" w:eastAsia="Arial" w:hAnsi="Arial"/>
          <w:sz w:val="18"/>
          <w:szCs w:val="18"/>
          <w:color w:val="auto"/>
        </w:rPr>
        <w:t xml:space="preserve"> </w:t>
      </w:r>
      <w:r>
        <w:rPr>
          <w:rFonts w:ascii="Arial" w:cs="Arial" w:eastAsia="Arial" w:hAnsi="Arial"/>
          <w:sz w:val="18"/>
          <w:szCs w:val="18"/>
          <w:i w:val="1"/>
          <w:iCs w:val="1"/>
          <w:color w:val="auto"/>
        </w:rPr>
        <w:t>Deficiencies under minimum volume commitments, net.</w:t>
      </w:r>
      <w:r>
        <w:rPr>
          <w:rFonts w:ascii="Arial" w:cs="Arial" w:eastAsia="Arial" w:hAnsi="Arial"/>
          <w:sz w:val="18"/>
          <w:szCs w:val="18"/>
          <w:color w:val="auto"/>
        </w:rPr>
        <w:t>”</w:t>
      </w:r>
    </w:p>
    <w:p>
      <w:pPr>
        <w:spacing w:after="0" w:line="219" w:lineRule="exact"/>
        <w:rPr>
          <w:sz w:val="20"/>
          <w:szCs w:val="20"/>
          <w:color w:val="auto"/>
        </w:rPr>
      </w:pPr>
    </w:p>
    <w:p>
      <w:pPr>
        <w:ind w:left="980" w:right="180" w:hanging="324"/>
        <w:spacing w:after="0" w:line="263" w:lineRule="auto"/>
        <w:tabs>
          <w:tab w:leader="none" w:pos="975"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net revenues for the year ended December 31, 2020 compared to the year ended December 31,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decrease in crude oil production in the region. This is also a region with a meaningful amount of excess pipeline capacity, which exacerbates the impact to our assets in this region.</w:t>
      </w:r>
    </w:p>
    <w:p>
      <w:pPr>
        <w:spacing w:after="0" w:line="210" w:lineRule="exact"/>
        <w:rPr>
          <w:rFonts w:ascii="Arial" w:cs="Arial" w:eastAsia="Arial" w:hAnsi="Arial"/>
          <w:sz w:val="18"/>
          <w:szCs w:val="18"/>
          <w:i w:val="1"/>
          <w:iCs w:val="1"/>
          <w:color w:val="auto"/>
        </w:rPr>
      </w:pPr>
    </w:p>
    <w:p>
      <w:pPr>
        <w:ind w:left="980" w:right="16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The decrease in equity earnings for the year ended December 31, 2020 compared to the year ended December 31, 2019 was primarily due to the impact of refinery downtime on certain of the demand pull pipelines out of Cushing, Oklahoma, in which we own a 50% interest.</w:t>
      </w:r>
    </w:p>
    <w:p>
      <w:pPr>
        <w:spacing w:after="0" w:line="150" w:lineRule="exact"/>
        <w:rPr>
          <w:rFonts w:ascii="Arial" w:cs="Arial" w:eastAsia="Arial" w:hAnsi="Arial"/>
          <w:sz w:val="18"/>
          <w:szCs w:val="18"/>
          <w:i w:val="1"/>
          <w:iCs w:val="1"/>
          <w:color w:val="auto"/>
        </w:rPr>
      </w:pPr>
    </w:p>
    <w:p>
      <w:pPr>
        <w:ind w:left="980" w:right="300" w:hanging="324"/>
        <w:spacing w:after="0" w:line="286" w:lineRule="auto"/>
        <w:tabs>
          <w:tab w:leader="none" w:pos="975"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Rocky Mountain region. </w:t>
      </w:r>
      <w:r>
        <w:rPr>
          <w:rFonts w:ascii="Arial" w:cs="Arial" w:eastAsia="Arial" w:hAnsi="Arial"/>
          <w:sz w:val="17"/>
          <w:szCs w:val="17"/>
          <w:color w:val="auto"/>
        </w:rPr>
        <w:t>Equity earnings decreased for the year ended December 31, 2020 compared to the year ended December 31, 2019</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 combination of (i) lower crude oil volumes, partially offset by higher NGL volumes, (ii) lower tariff rates due to the expiration of certain long-term contracts and (iii) the sale of 25% of our interest in Saddlehorn in February 2020.</w:t>
      </w:r>
    </w:p>
    <w:p>
      <w:pPr>
        <w:spacing w:after="0" w:line="192" w:lineRule="exact"/>
        <w:rPr>
          <w:rFonts w:ascii="Arial" w:cs="Arial" w:eastAsia="Arial" w:hAnsi="Arial"/>
          <w:sz w:val="17"/>
          <w:szCs w:val="17"/>
          <w:i w:val="1"/>
          <w:iCs w:val="1"/>
          <w:color w:val="auto"/>
        </w:rPr>
      </w:pPr>
    </w:p>
    <w:p>
      <w:pPr>
        <w:ind w:left="980" w:right="660" w:hanging="324"/>
        <w:spacing w:after="0" w:line="277"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Canada region. </w:t>
      </w:r>
      <w:r>
        <w:rPr>
          <w:rFonts w:ascii="Arial" w:cs="Arial" w:eastAsia="Arial" w:hAnsi="Arial"/>
          <w:sz w:val="18"/>
          <w:szCs w:val="18"/>
          <w:color w:val="auto"/>
        </w:rPr>
        <w:t>The decrease in revenues for the year ended December 31, 2020 compared to the year ended December 31,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decreased crude oil production in the areas serviced by our pipelines.</w:t>
      </w:r>
    </w:p>
    <w:p>
      <w:pPr>
        <w:spacing w:after="0" w:line="197" w:lineRule="exact"/>
        <w:rPr>
          <w:rFonts w:ascii="Arial" w:cs="Arial" w:eastAsia="Arial" w:hAnsi="Arial"/>
          <w:sz w:val="18"/>
          <w:szCs w:val="18"/>
          <w:color w:val="auto"/>
        </w:rPr>
      </w:pPr>
    </w:p>
    <w:p>
      <w:pPr>
        <w:ind w:left="980" w:right="60" w:hanging="324"/>
        <w:spacing w:after="0" w:line="275" w:lineRule="auto"/>
        <w:tabs>
          <w:tab w:leader="none" w:pos="975"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Other regions, NGL pipelines, trucking and pipeline loss allowance revenue. </w:t>
      </w:r>
      <w:r>
        <w:rPr>
          <w:rFonts w:ascii="Arial" w:cs="Arial" w:eastAsia="Arial" w:hAnsi="Arial"/>
          <w:sz w:val="17"/>
          <w:szCs w:val="17"/>
          <w:color w:val="auto"/>
        </w:rPr>
        <w:t>The decrease in other net revenues for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2020 compared to the year ended December 31, 2019 was primarily due to lower pipeline loss allowance revenue due to a combination of both lower prices and volumes in 2020. To a lesser extent, lower net revenues from our trucking activities due to less favorable market conditions in 2020 contributed to the decrease. Additionally, volumes in our Gulf Coast region were impacted by a decrease in throughput on a lower tariff pipeline, which did not result in a significant impact on revenue.</w:t>
      </w:r>
    </w:p>
    <w:p>
      <w:pPr>
        <w:spacing w:after="0" w:line="20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the year ended December 31, 2020, amounts billed to counterparties exceeded revenue recognized during the period that was previously deferred. For the year ended December 31, 2019, the recognition of previously deferred revenue exceeded amounts billed to counterparties associated with deficiencies under minimum volume commitments.</w:t>
      </w:r>
    </w:p>
    <w:p>
      <w:pPr>
        <w:spacing w:after="0" w:line="21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decrease in field operating costs for the year ended December 31, 2020 compared to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was primarily due to (i) a decrease in variable costs due to lower volumes, (ii) a decrease of maintenance activities, primarily due to timing changes,</w:t>
      </w:r>
    </w:p>
    <w:p>
      <w:pPr>
        <w:ind w:firstLine="8"/>
        <w:spacing w:after="0" w:line="271" w:lineRule="auto"/>
        <w:tabs>
          <w:tab w:leader="none" w:pos="3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lower equity-based compensation costs on liability-classified awards (which are not included as an “Adjustment” in the table above) due to a decrease in our common unit price, (iv) reductions in compensation costs, primarily due to the benefit of wage subsidies received by our Canadian subsidiary and (v) additional estimated costs recognized in 2019 associated with the Line 901 incident (which impact field operating costs but are excluded from Segment Adjusted EBITDA and thus are reflected as an “Adjustment” in the table above). Such favorable impacts were partially offset by higher property taxes attributable to assets placed in service in 2020 and increased property valuations.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decrease in segment general and administrative expenses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compared to the year ended December 31, 2019 was primarily due to (i) lower equity-based compensation costs on liability-classified awards (which are not included as an “Adjustment” in the table above), due to a decrease in our common unit price, (ii) decreased travel and entertainment costs and (iii) the benefit of wage subsidies received by our Canadian subsidiary. Such items were partially offset by an overall increase in compensation costs related to severance costs associated with our efforts to streamline our organization.</w:t>
      </w:r>
    </w:p>
    <w:p>
      <w:pPr>
        <w:spacing w:after="0" w:line="20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and/or refurbishment of partially or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assets in order to maintain the operating and/or earnings capacity of our existing assets. The decrease in maintenance capital for the year ended December 31, 2020 compared to the year ended December 31, 2019 was due to timing changes, the completion of multi-year reliability improvement programs and application of updated regulatory guidance, among other factors.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5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4"/>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60" w:type="dxa"/>
            <w:vAlign w:val="bottom"/>
          </w:tcPr>
          <w:p>
            <w:pPr>
              <w:spacing w:after="0"/>
              <w:rPr>
                <w:sz w:val="17"/>
                <w:szCs w:val="17"/>
                <w:color w:val="auto"/>
              </w:rPr>
            </w:pPr>
          </w:p>
        </w:tc>
        <w:tc>
          <w:tcPr>
            <w:tcW w:w="2440" w:type="dxa"/>
            <w:vAlign w:val="bottom"/>
            <w:gridSpan w:val="10"/>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7"/>
                <w:szCs w:val="17"/>
                <w:color w:val="auto"/>
              </w:rPr>
            </w:pPr>
          </w:p>
        </w:tc>
        <w:tc>
          <w:tcPr>
            <w:tcW w:w="1520" w:type="dxa"/>
            <w:vAlign w:val="bottom"/>
            <w:gridSpan w:val="3"/>
          </w:tcPr>
          <w:p>
            <w:pPr>
              <w:ind w:left="82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9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8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94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594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4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4"/>
          </w:tcPr>
          <w:p>
            <w:pPr>
              <w:ind w:left="140"/>
              <w:spacing w:after="0"/>
              <w:rPr>
                <w:sz w:val="20"/>
                <w:szCs w:val="20"/>
                <w:color w:val="auto"/>
              </w:rPr>
            </w:pPr>
            <w:r>
              <w:rPr>
                <w:rFonts w:ascii="Arial" w:cs="Arial" w:eastAsia="Arial" w:hAnsi="Arial"/>
                <w:sz w:val="18"/>
                <w:szCs w:val="18"/>
                <w:color w:val="auto"/>
              </w:rPr>
              <w:t>Depreciation and amortization of unconsolidated entities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Gains from derivative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4"/>
          </w:tcPr>
          <w:p>
            <w:pPr>
              <w:ind w:left="140"/>
              <w:spacing w:after="0"/>
              <w:rPr>
                <w:sz w:val="20"/>
                <w:szCs w:val="20"/>
                <w:color w:val="auto"/>
              </w:rPr>
            </w:pPr>
            <w:r>
              <w:rPr>
                <w:rFonts w:ascii="Arial" w:cs="Arial" w:eastAsia="Arial" w:hAnsi="Arial"/>
                <w:sz w:val="18"/>
                <w:szCs w:val="18"/>
                <w:color w:val="auto"/>
              </w:rPr>
              <w:t>Deficiencies under minimum volume commitments,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4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0.49</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0" w:type="dxa"/>
            <w:vAlign w:val="bottom"/>
            <w:tcBorders>
              <w:bottom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555"/>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24"/>
                <w:szCs w:val="24"/>
                <w:color w:val="auto"/>
              </w:rPr>
            </w:pPr>
          </w:p>
        </w:tc>
        <w:tc>
          <w:tcPr>
            <w:tcW w:w="1520" w:type="dxa"/>
            <w:vAlign w:val="bottom"/>
            <w:gridSpan w:val="3"/>
          </w:tcPr>
          <w:p>
            <w:pPr>
              <w:ind w:left="82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8"/>
                <w:szCs w:val="18"/>
                <w:b w:val="1"/>
                <w:bCs w:val="1"/>
                <w:color w:val="auto"/>
                <w:vertAlign w:val="superscript"/>
              </w:rPr>
              <w:t>(4)</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5940" w:type="dxa"/>
            <w:vAlign w:val="bottom"/>
            <w:gridSpan w:val="4"/>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(5)</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gridSpan w:val="3"/>
            <w:vMerge w:val="restart"/>
          </w:tcPr>
          <w:p>
            <w:pPr>
              <w:ind w:left="40"/>
              <w:spacing w:after="0" w:line="163" w:lineRule="exact"/>
              <w:rPr>
                <w:sz w:val="20"/>
                <w:szCs w:val="20"/>
                <w:color w:val="auto"/>
              </w:rPr>
            </w:pPr>
            <w:r>
              <w:rPr>
                <w:rFonts w:ascii="Arial" w:cs="Arial" w:eastAsia="Arial" w:hAnsi="Arial"/>
                <w:sz w:val="18"/>
                <w:szCs w:val="18"/>
                <w:color w:val="auto"/>
              </w:rPr>
              <w:t>Natural gas storage (average monthly working capacity in billions of cubic</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9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594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feet)</w:t>
            </w: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gridSpan w:val="3"/>
            <w:vMerge w:val="restart"/>
          </w:tcPr>
          <w:p>
            <w:pPr>
              <w:ind w:left="40"/>
              <w:spacing w:after="0" w:line="163" w:lineRule="exact"/>
              <w:rPr>
                <w:sz w:val="20"/>
                <w:szCs w:val="20"/>
                <w:color w:val="auto"/>
              </w:rPr>
            </w:pPr>
            <w:r>
              <w:rPr>
                <w:rFonts w:ascii="Arial" w:cs="Arial" w:eastAsia="Arial" w:hAnsi="Arial"/>
                <w:sz w:val="18"/>
                <w:szCs w:val="18"/>
                <w:color w:val="auto"/>
              </w:rPr>
              <w:t>Facilities segment total volumes (average monthly volumes in millions of</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9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9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(6)</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pacing w:after="0" w:line="83"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Revenues and costs and expenses include intersegment amounts.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Index to Financial Statements</w:t>
        </w:r>
      </w:hyperlink>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20" w:right="380" w:hanging="11"/>
        <w:spacing w:after="0" w:line="263" w:lineRule="auto"/>
        <w:rPr>
          <w:sz w:val="20"/>
          <w:szCs w:val="20"/>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6"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21 to our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year divided by the number of months in the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ind w:left="20" w:right="100" w:hanging="11"/>
        <w:spacing w:after="0" w:line="291" w:lineRule="auto"/>
        <w:rPr>
          <w:sz w:val="20"/>
          <w:szCs w:val="20"/>
          <w:color w:val="auto"/>
        </w:rPr>
      </w:pPr>
      <w:r>
        <w:rPr>
          <w:rFonts w:ascii="Arial" w:cs="Arial" w:eastAsia="Arial" w:hAnsi="Arial"/>
          <w:sz w:val="16"/>
          <w:szCs w:val="16"/>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w:t>
      </w:r>
    </w:p>
    <w:p>
      <w:pPr>
        <w:ind w:left="20" w:right="1460" w:hanging="4"/>
        <w:spacing w:after="0" w:line="523"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NGL fractionation volumes multiplied by the number of days in the year and divided by the number of months in the year. The following is a discussion of items impacting Facilities segment operating results.</w:t>
      </w:r>
    </w:p>
    <w:p>
      <w:pPr>
        <w:spacing w:after="0" w:line="2"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purchases and related costs, and average monthly volumes were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the following:</w:t>
      </w:r>
    </w:p>
    <w:p>
      <w:pPr>
        <w:spacing w:after="0" w:line="197" w:lineRule="exact"/>
        <w:rPr>
          <w:sz w:val="20"/>
          <w:szCs w:val="20"/>
          <w:color w:val="auto"/>
        </w:rPr>
      </w:pPr>
    </w:p>
    <w:p>
      <w:pPr>
        <w:ind w:left="660" w:right="160" w:hanging="328"/>
        <w:spacing w:after="0" w:line="263"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from our rail terminals decreased by $33 million for the year ended December 31, 2020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primarily due to decreased activity at certain of our rail terminals resulting from less favorable market conditions, as well as lower volumes due to voluntary shut-ins and curtailments of crude oil production by producers.</w:t>
      </w:r>
    </w:p>
    <w:p>
      <w:pPr>
        <w:spacing w:after="0" w:line="210"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from our NGL operations decreased by $21 million for the year ended December 31, 2020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primarily due to the sale of certain NGL terminals in the fourth quarter of 2019 and the second quarter of 2020, net unfavorable foreign exchange impacts of approximately $4 million and lower revenues from our NGL processing facilities. Such unfavorable impacts were partially offset by the favorable impact of the receipt of a deficiency payment in 2020 of approximately $20 million upon the expiration of a multi-year contract.</w:t>
      </w:r>
    </w:p>
    <w:p>
      <w:pPr>
        <w:spacing w:after="0" w:line="214" w:lineRule="exact"/>
        <w:rPr>
          <w:rFonts w:ascii="Arial" w:cs="Arial" w:eastAsia="Arial" w:hAnsi="Arial"/>
          <w:sz w:val="18"/>
          <w:szCs w:val="18"/>
          <w:i w:val="1"/>
          <w:iCs w:val="1"/>
          <w:color w:val="auto"/>
        </w:rPr>
      </w:pPr>
    </w:p>
    <w:p>
      <w:pPr>
        <w:ind w:left="660" w:right="120" w:hanging="328"/>
        <w:spacing w:after="0" w:line="286" w:lineRule="auto"/>
        <w:tabs>
          <w:tab w:leader="none" w:pos="655" w:val="left"/>
        </w:tabs>
        <w:numPr>
          <w:ilvl w:val="0"/>
          <w:numId w:val="5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Natural Gas and Condensate Processing. </w:t>
      </w:r>
      <w:r>
        <w:rPr>
          <w:rFonts w:ascii="Arial" w:cs="Arial" w:eastAsia="Arial" w:hAnsi="Arial"/>
          <w:sz w:val="17"/>
          <w:szCs w:val="17"/>
          <w:color w:val="auto"/>
        </w:rPr>
        <w:t>Net revenues from our U.S. natural gas and condensate processing operations decreased by $11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31, 2020 compared to the year ended December 31, 2019 primarily due to the unfavorable impact of a $5 million payment to resolve a contractual dispute as well as a decrease in condensate processing volumes and rates.</w:t>
      </w:r>
    </w:p>
    <w:p>
      <w:pPr>
        <w:spacing w:after="0" w:line="192" w:lineRule="exact"/>
        <w:rPr>
          <w:rFonts w:ascii="Arial" w:cs="Arial" w:eastAsia="Arial" w:hAnsi="Arial"/>
          <w:sz w:val="17"/>
          <w:szCs w:val="17"/>
          <w:i w:val="1"/>
          <w:iCs w:val="1"/>
          <w:color w:val="auto"/>
        </w:rPr>
      </w:pPr>
    </w:p>
    <w:p>
      <w:pPr>
        <w:ind w:left="660" w:right="180" w:hanging="328"/>
        <w:spacing w:after="0" w:line="275" w:lineRule="auto"/>
        <w:tabs>
          <w:tab w:leader="none" w:pos="655" w:val="left"/>
        </w:tabs>
        <w:numPr>
          <w:ilvl w:val="0"/>
          <w:numId w:val="5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Crude Oil Storage. </w:t>
      </w:r>
      <w:r>
        <w:rPr>
          <w:rFonts w:ascii="Arial" w:cs="Arial" w:eastAsia="Arial" w:hAnsi="Arial"/>
          <w:sz w:val="17"/>
          <w:szCs w:val="17"/>
          <w:color w:val="auto"/>
        </w:rPr>
        <w:t>Revenues from our crude oil storage operations increased by $33 million for the year ended December 31, 2020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2019, primarily due to the addition of an aggregate of approximately 3 million barrels of storage capacity at our Cushing, Oklahoma, St. James, Louisiana and Midland, Texas terminals and increased activity at certain of our Mid-Continent terminals. Additionally, the unfavorable impact on revenues from the sale of our Los Angeles Basin terminals in October 2020 was largely offset by increased spot activity at certain of these terminals during the first three quarters of 2020.</w:t>
      </w:r>
    </w:p>
    <w:p>
      <w:pPr>
        <w:spacing w:after="0" w:line="203" w:lineRule="exact"/>
        <w:rPr>
          <w:rFonts w:ascii="Arial" w:cs="Arial" w:eastAsia="Arial" w:hAnsi="Arial"/>
          <w:sz w:val="17"/>
          <w:szCs w:val="17"/>
          <w:i w:val="1"/>
          <w:iCs w:val="1"/>
          <w:color w:val="auto"/>
        </w:rPr>
      </w:pPr>
    </w:p>
    <w:p>
      <w:pPr>
        <w:ind w:left="660" w:right="20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The increase in equity earnings over the comparative period was from our 50% interest in Eagle Ford Terminals, which owns a crude oil storage facility in Corpus Christi, Texas that was placed in service in September of 2019.</w:t>
      </w:r>
    </w:p>
    <w:p>
      <w:pPr>
        <w:spacing w:after="0" w:line="19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decrease in field operating costs for the year ended December 31, 2020 compared to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2019 was primarily due to (i) lower maintenance activities due to timing changes, (ii) reduced activity at our rail terminals and the divestiture of certain NGL terminals, (iii) reductions in compensation costs including the benefit of wage subsidies received by our Canadian subsidiary and (iv) lower property taxes. Such favorable impacts were partially offset by lower mark-to-market gains in the current period on fuel hedges (which impacts field operating costs but are excluded from Segment Adjusted EBITDA and thus are reflected as an “Adjustment” in the table above).</w:t>
      </w:r>
    </w:p>
    <w:p>
      <w:pPr>
        <w:spacing w:after="0" w:line="203"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spending for the year ended December 31, 2020 compared to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was primarily due to timing changes, the impact of asset sales, the completion of multi-year reliability improvement programs and application of updated regulatory guidance, among other factors.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1" w:name="page92"/>
    <w:bookmarkEnd w:id="9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9"/>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7"/>
                <w:szCs w:val="17"/>
                <w:color w:val="auto"/>
              </w:rPr>
            </w:pPr>
          </w:p>
        </w:tc>
      </w:tr>
      <w:tr>
        <w:trPr>
          <w:trHeight w:val="195"/>
        </w:trPr>
        <w:tc>
          <w:tcPr>
            <w:tcW w:w="5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r>
      <w:tr>
        <w:trPr>
          <w:trHeight w:val="224"/>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592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(31,276)</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592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16"/>
        </w:trPr>
        <w:tc>
          <w:tcPr>
            <w:tcW w:w="5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592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Losses from derivative activities net of inventory valuation adjustments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gridSpan w:val="3"/>
          </w:tcPr>
          <w:p>
            <w:pPr>
              <w:ind w:left="140"/>
              <w:spacing w:after="0"/>
              <w:rPr>
                <w:sz w:val="20"/>
                <w:szCs w:val="20"/>
                <w:color w:val="auto"/>
              </w:rPr>
            </w:pPr>
            <w:r>
              <w:rPr>
                <w:rFonts w:ascii="Arial" w:cs="Arial" w:eastAsia="Arial" w:hAnsi="Arial"/>
                <w:sz w:val="18"/>
                <w:szCs w:val="18"/>
                <w:color w:val="auto"/>
              </w:rPr>
              <w:t>Long-term inventory costing adjustments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Deficiencies under minimum volume commitments, net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gridSpan w:val="3"/>
          </w:tcPr>
          <w:p>
            <w:pPr>
              <w:ind w:left="140"/>
              <w:spacing w:after="0"/>
              <w:rPr>
                <w:sz w:val="20"/>
                <w:szCs w:val="20"/>
                <w:color w:val="auto"/>
              </w:rPr>
            </w:pPr>
            <w:r>
              <w:rPr>
                <w:rFonts w:ascii="Arial" w:cs="Arial" w:eastAsia="Arial" w:hAnsi="Arial"/>
                <w:sz w:val="18"/>
                <w:szCs w:val="18"/>
                <w:color w:val="auto"/>
              </w:rPr>
              <w:t>Equity-indexed compensation expense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Net (gain)/loss on foreign currency revaluation</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5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43"/>
        </w:trPr>
        <w:tc>
          <w:tcPr>
            <w:tcW w:w="592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280" w:type="dxa"/>
            <w:vAlign w:val="bottom"/>
            <w:tcBorders>
              <w:bottom w:val="single" w:sz="8" w:color="auto"/>
            </w:tcBorders>
            <w:gridSpan w:val="2"/>
          </w:tcPr>
          <w:p>
            <w:pPr>
              <w:jc w:val="right"/>
              <w:ind w:right="18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gridSpan w:val="2"/>
          </w:tcPr>
          <w:p>
            <w:pPr>
              <w:jc w:val="right"/>
              <w:ind w:right="18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14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w:t>
            </w:r>
          </w:p>
        </w:tc>
      </w:tr>
      <w:tr>
        <w:trPr>
          <w:trHeight w:val="588"/>
        </w:trPr>
        <w:tc>
          <w:tcPr>
            <w:tcW w:w="59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18"/>
                <w:szCs w:val="18"/>
                <w:b w:val="1"/>
                <w:bCs w:val="1"/>
                <w:color w:val="auto"/>
                <w:vertAlign w:val="superscript"/>
              </w:rPr>
              <w:t>(4)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9"/>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24"/>
                <w:szCs w:val="24"/>
                <w:color w:val="auto"/>
              </w:rPr>
            </w:pPr>
          </w:p>
        </w:tc>
      </w:tr>
      <w:tr>
        <w:trPr>
          <w:trHeight w:val="195"/>
        </w:trPr>
        <w:tc>
          <w:tcPr>
            <w:tcW w:w="5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Volume</w:t>
            </w:r>
          </w:p>
        </w:tc>
        <w:tc>
          <w:tcPr>
            <w:tcW w:w="88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r>
      <w:tr>
        <w:trPr>
          <w:trHeight w:val="224"/>
        </w:trPr>
        <w:tc>
          <w:tcPr>
            <w:tcW w:w="58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59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NGL sales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5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Supply and Logistics segment total volumes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ectPr>
          <w:pgSz w:w="11900" w:h="16838" w:orient="portrait"/>
          <w:cols w:equalWidth="0" w:num="1">
            <w:col w:w="11240"/>
          </w:cols>
          <w:pgMar w:left="320" w:top="130"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117" w:lineRule="exact"/>
        <w:rPr>
          <w:sz w:val="20"/>
          <w:szCs w:val="20"/>
          <w:color w:val="auto"/>
        </w:rPr>
      </w:pPr>
    </w:p>
    <w:p>
      <w:pPr>
        <w:ind w:left="20" w:right="380" w:hanging="11"/>
        <w:spacing w:after="0" w:line="263" w:lineRule="auto"/>
        <w:rPr>
          <w:sz w:val="20"/>
          <w:szCs w:val="20"/>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6"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ind w:left="660" w:right="480" w:hanging="652"/>
        <w:spacing w:after="0" w:line="227" w:lineRule="auto"/>
        <w:tabs>
          <w:tab w:leader="none" w:pos="648" w:val="left"/>
        </w:tabs>
        <w:numPr>
          <w:ilvl w:val="0"/>
          <w:numId w:val="6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21 to our Consolidated Financial Statements for additional discussion of such adjustments.</w:t>
      </w:r>
    </w:p>
    <w:p>
      <w:pPr>
        <w:spacing w:after="0" w:line="59"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60"/>
        </w:numPr>
        <w:rPr>
          <w:rFonts w:ascii="Arial" w:cs="Arial" w:eastAsia="Arial" w:hAnsi="Arial"/>
          <w:sz w:val="23"/>
          <w:szCs w:val="23"/>
          <w:color w:val="auto"/>
          <w:vertAlign w:val="superscript"/>
        </w:rPr>
      </w:pPr>
      <w:r>
        <w:rPr>
          <w:rFonts w:ascii="Arial" w:cs="Arial" w:eastAsia="Arial" w:hAnsi="Arial"/>
          <w:sz w:val="18"/>
          <w:szCs w:val="18"/>
          <w:color w:val="auto"/>
        </w:rPr>
        <w:t>Average daily volumes are calculated as the total volumes for the period divided by the number of days in the period.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2" w:name="page93"/>
    <w:bookmarkEnd w:id="9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range of the NYMEX West Texas Intermediate (“WTI”) benchmark price of crude oil (in dollars per barrel):</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NYMEX WTI</w:t>
            </w:r>
          </w:p>
        </w:tc>
        <w:tc>
          <w:tcPr>
            <w:tcW w:w="760" w:type="dxa"/>
            <w:vAlign w:val="bottom"/>
          </w:tcPr>
          <w:p>
            <w:pPr>
              <w:spacing w:after="0"/>
              <w:rPr>
                <w:sz w:val="14"/>
                <w:szCs w:val="14"/>
                <w:color w:val="auto"/>
              </w:rPr>
            </w:pPr>
          </w:p>
        </w:tc>
      </w:tr>
      <w:tr>
        <w:trPr>
          <w:trHeight w:val="186"/>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Crude Oil Price</w:t>
            </w:r>
          </w:p>
        </w:tc>
        <w:tc>
          <w:tcPr>
            <w:tcW w:w="760" w:type="dxa"/>
            <w:vAlign w:val="bottom"/>
            <w:tcBorders>
              <w:bottom w:val="single" w:sz="8" w:color="auto"/>
            </w:tcBorders>
          </w:tcPr>
          <w:p>
            <w:pPr>
              <w:spacing w:after="0"/>
              <w:rPr>
                <w:sz w:val="16"/>
                <w:szCs w:val="16"/>
                <w:color w:val="auto"/>
              </w:rPr>
            </w:pPr>
          </w:p>
        </w:tc>
      </w:tr>
      <w:tr>
        <w:trPr>
          <w:trHeight w:val="184"/>
        </w:trPr>
        <w:tc>
          <w:tcPr>
            <w:tcW w:w="8540" w:type="dxa"/>
            <w:vAlign w:val="bottom"/>
            <w:gridSpan w:val="2"/>
          </w:tcPr>
          <w:p>
            <w:pPr>
              <w:ind w:left="20"/>
              <w:spacing w:after="0"/>
              <w:rPr>
                <w:sz w:val="20"/>
                <w:szCs w:val="20"/>
                <w:color w:val="auto"/>
              </w:rPr>
            </w:pPr>
            <w:r>
              <w:rPr>
                <w:rFonts w:ascii="Arial" w:cs="Arial" w:eastAsia="Arial" w:hAnsi="Arial"/>
                <w:sz w:val="14"/>
                <w:szCs w:val="14"/>
                <w:b w:val="1"/>
                <w:bCs w:val="1"/>
                <w:color w:val="auto"/>
              </w:rPr>
              <w:t>During the Year Ended December 31,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ind w:right="376"/>
              <w:spacing w:after="0"/>
              <w:rPr>
                <w:sz w:val="20"/>
                <w:szCs w:val="20"/>
                <w:color w:val="auto"/>
              </w:rPr>
            </w:pPr>
            <w:r>
              <w:rPr>
                <w:rFonts w:ascii="Arial" w:cs="Arial" w:eastAsia="Arial" w:hAnsi="Arial"/>
                <w:sz w:val="14"/>
                <w:szCs w:val="14"/>
                <w:b w:val="1"/>
                <w:bCs w:val="1"/>
                <w:color w:val="auto"/>
                <w:w w:val="89"/>
              </w:rPr>
              <w:t>High</w:t>
            </w:r>
          </w:p>
        </w:tc>
      </w:tr>
      <w:tr>
        <w:trPr>
          <w:trHeight w:val="224"/>
        </w:trPr>
        <w:tc>
          <w:tcPr>
            <w:tcW w:w="8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33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during the periods.</w:t>
      </w:r>
    </w:p>
    <w:p>
      <w:pPr>
        <w:spacing w:after="0" w:line="198"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97"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210" w:lineRule="exact"/>
        <w:rPr>
          <w:sz w:val="20"/>
          <w:szCs w:val="20"/>
          <w:color w:val="auto"/>
        </w:rPr>
      </w:pPr>
    </w:p>
    <w:p>
      <w:pPr>
        <w:ind w:left="660" w:right="100" w:hanging="328"/>
        <w:spacing w:after="0" w:line="25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Net revenues from our crude oil operations decreased for year ended December 31, 2020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primarily due to a combination of (i) less favorable crude oil differentials, particularly the differential between the value of crude oil in the Permian Basin compared to the Gulf Coast market and (ii) the impact of lower volumes in higher margin areas, partially offset by volume increases in lower margin areas. Such unfavorable impacts were partially offset by the favorable impact of contango market conditions during the last three quarters of 2020.</w:t>
      </w:r>
    </w:p>
    <w:p>
      <w:pPr>
        <w:spacing w:after="0" w:line="214"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decreased for the year ended December 31, 2020 compared to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primarily due to (i) warmer weather during the fourth quarter of 2020, (ii) weaker fractionation spreads between the price of natural gas and the extracted NGL, (iii) lower border flows through our straddle plants and (iv) the absence of the favorable impact from certain non-recurring items recorded in the second quarter of 2019.</w:t>
      </w:r>
    </w:p>
    <w:p>
      <w:pPr>
        <w:spacing w:after="0" w:line="213" w:lineRule="exact"/>
        <w:rPr>
          <w:rFonts w:ascii="Arial" w:cs="Arial" w:eastAsia="Arial" w:hAnsi="Arial"/>
          <w:sz w:val="18"/>
          <w:szCs w:val="18"/>
          <w:color w:val="auto"/>
        </w:rPr>
      </w:pPr>
    </w:p>
    <w:p>
      <w:pPr>
        <w:ind w:left="660" w:right="120" w:hanging="328"/>
        <w:spacing w:after="0" w:line="273" w:lineRule="auto"/>
        <w:tabs>
          <w:tab w:leader="none" w:pos="655"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Impact from Certain Derivative Activities, Net of Inventory Valuation Adjustments. </w:t>
      </w:r>
      <w:r>
        <w:rPr>
          <w:rFonts w:ascii="Arial" w:cs="Arial" w:eastAsia="Arial" w:hAnsi="Arial"/>
          <w:sz w:val="17"/>
          <w:szCs w:val="17"/>
          <w:color w:val="auto"/>
        </w:rPr>
        <w:t>The impact from certain derivative activities on our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13 to our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04" w:lineRule="exact"/>
        <w:rPr>
          <w:rFonts w:ascii="Arial" w:cs="Arial" w:eastAsia="Arial" w:hAnsi="Arial"/>
          <w:sz w:val="17"/>
          <w:szCs w:val="17"/>
          <w:color w:val="auto"/>
        </w:rPr>
      </w:pPr>
    </w:p>
    <w:p>
      <w:pPr>
        <w:ind w:left="660" w:right="140" w:hanging="328"/>
        <w:spacing w:after="0" w:line="255"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19" w:lineRule="exact"/>
        <w:rPr>
          <w:rFonts w:ascii="Arial" w:cs="Arial" w:eastAsia="Arial" w:hAnsi="Arial"/>
          <w:sz w:val="18"/>
          <w:szCs w:val="18"/>
          <w:color w:val="auto"/>
        </w:rPr>
      </w:pPr>
    </w:p>
    <w:p>
      <w:pPr>
        <w:ind w:left="660" w:right="120" w:hanging="328"/>
        <w:spacing w:after="0" w:line="286" w:lineRule="auto"/>
        <w:tabs>
          <w:tab w:leader="none" w:pos="655"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foreign exchange gains and</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U.S. denominated net assets within our Canadian operations. These non-cash gains and losses impact our net revenues but are excluded from Segment Adjusted EBITDA and thus are reflected as an “Adjustment” in the table above.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660" w:right="200" w:hanging="328"/>
        <w:spacing w:after="0" w:line="263" w:lineRule="auto"/>
        <w:tabs>
          <w:tab w:leader="none" w:pos="655"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year ended December 31, 2020 compared to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was primarily driven by a decrease in long-haul third-party trucking costs and a decrease in company personnel and truck costs as more of our supply was connected to pipelines and taken off trucks.</w:t>
      </w:r>
    </w:p>
    <w:p>
      <w:pPr>
        <w:spacing w:after="0" w:line="210" w:lineRule="exact"/>
        <w:rPr>
          <w:rFonts w:ascii="Arial" w:cs="Arial" w:eastAsia="Arial" w:hAnsi="Arial"/>
          <w:sz w:val="18"/>
          <w:szCs w:val="18"/>
          <w:i w:val="1"/>
          <w:iCs w:val="1"/>
          <w:color w:val="auto"/>
        </w:rPr>
      </w:pPr>
    </w:p>
    <w:p>
      <w:pPr>
        <w:ind w:left="660" w:hanging="328"/>
        <w:spacing w:after="0" w:line="275" w:lineRule="auto"/>
        <w:tabs>
          <w:tab w:leader="none" w:pos="655"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decrease in segment general and administrative expenses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compared to the year ended December 31, 2019 was primarily driven by (i) lower compensation costs including the benefit of wage subsidies received by our Canadian subsidiary, (ii) decreased travel and entertainment costs, (iii) a decrease in equity-based compensation costs on liability-classified awards (which are not included as an “Adjustment” in the table above) due to a decrease in our common unit price and (iv) general cost reductions associated with exiting low margin, high administrative cost businesses.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Depreciation and amortization expense increased for the year ended December 31, 2020 compared to the year ended December 31, 2019 largely driven by additional depreciation expense associated with acquired assets, the completion of various investment capital projects and a reduction in the useful lives of certain assets.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net loss on asset sales and asset impairments for the year ended December 31, 2020 included (i) non-cash impairment losses on held and used assets of approximately $541 million related to the write-down of (a) certain pipeline and other long-lived assets due to the current macroeconomic and geopolitical conditions including the collapse of oil prices driven by both the decrease in demand caused by the COVID-19 pandemic and excess supply, as well as changing market conditions and expected lower crude oil production in certain regions, and (b) idled or underutilized assets for which is it has been determined that it is unlikely that opportunities will exist in the future to recover our investment in these assets and (ii) net losses of approximately $178 million related to the sale of assets, including non-cash impairments recognized upon classification to assets held for sale.</w:t>
      </w:r>
    </w:p>
    <w:p>
      <w:pPr>
        <w:spacing w:after="0" w:line="19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net loss on asset sales and asset impairments for the year ended December 31, 2019 was largely driven by a loss on the sale of a storage terminal in North Dakota. See Note 6 and Note 7 to our Consolidated Financial Statements for additional information regarding these asset impairments.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first quarter of 2020, we recognized a goodwill impairment charge of $2.5 billion, representing the entire balance of goodwill. See Note 8 to our Consolidated Financial Statements for additional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56"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During the year ended December 31, 2020, we recognized losses of $202 million related to the write-down of certain of our investments in unconsolidated entities. Additionally, we recognized a gain of $21 million related to our sale of a 10% interest in Saddlehorn Pipeline Company, LLC.</w:t>
      </w:r>
    </w:p>
    <w:p>
      <w:pPr>
        <w:spacing w:after="0" w:line="15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During the year ended December 31, 2019, we recognized a non-cash gain of $269 million related to a fair value adjustment resulting from the accounting for the contribution of our undivided joint interest in the Capline pipeline system for an equity interest in Capline Pipeline Company LLC. See Note 9 to our Consolidated Financial Statements for additional information regarding our unconsolidated entities.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252"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the interest expense variance (in millions, except percentages):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Average</w:t>
            </w:r>
          </w:p>
        </w:tc>
        <w:tc>
          <w:tcPr>
            <w:tcW w:w="1660" w:type="dxa"/>
            <w:vAlign w:val="bottom"/>
          </w:tcPr>
          <w:p>
            <w:pPr>
              <w:jc w:val="right"/>
              <w:ind w:right="179"/>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279"/>
              <w:spacing w:after="0" w:line="189" w:lineRule="exact"/>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for the year ended December 31, 2019</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Impact of lower capitalized interest</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borrowings under credit facilities and commercial paper program</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Impact of issuance and retirement of senior notes</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Interest expense for the year ended December 31, 2020</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Excludes commitment and other fees.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Interest expense increased for the year ended December 31, 2020 compared to the year ended December 31, 2019 primarily due to (i) a higher weighted average debt balance during 2020 driven by higher commercial paper and credit facility borrowings and (ii) lower capitalized interest in the 2020 period resulting from fewer capital projects under construction, partially offset by (iii) the impact from lower weighted average rates.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11 to our Consolidated Financial Statements for additional information regarding our debt activities during the periods presented.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1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r>
      <w:tr>
        <w:trPr>
          <w:trHeight w:val="187"/>
        </w:trPr>
        <w:tc>
          <w:tcPr>
            <w:tcW w:w="87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r>
      <w:tr>
        <w:trPr>
          <w:trHeight w:val="224"/>
        </w:trPr>
        <w:tc>
          <w:tcPr>
            <w:tcW w:w="87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Gain related to mark-to-market adjustment of our Preferred Distribution Rate Reset Option </w:t>
            </w:r>
            <w:r>
              <w:rPr>
                <w:rFonts w:ascii="Arial" w:cs="Arial" w:eastAsia="Arial" w:hAnsi="Arial"/>
                <w:sz w:val="23"/>
                <w:szCs w:val="23"/>
                <w:color w:val="auto"/>
                <w:vertAlign w:val="superscript"/>
              </w:rPr>
              <w:t>(1)</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(2)</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700" w:type="dxa"/>
            <w:vAlign w:val="bottom"/>
          </w:tcPr>
          <w:p>
            <w:pPr>
              <w:spacing w:after="0"/>
              <w:rPr>
                <w:sz w:val="19"/>
                <w:szCs w:val="19"/>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8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See Note 13 to our Consolidated Financial Statements for additional information.</w:t>
      </w:r>
    </w:p>
    <w:p>
      <w:pPr>
        <w:spacing w:after="0" w:line="93" w:lineRule="exact"/>
        <w:rPr>
          <w:rFonts w:ascii="Arial" w:cs="Arial" w:eastAsia="Arial" w:hAnsi="Arial"/>
          <w:sz w:val="23"/>
          <w:szCs w:val="23"/>
          <w:color w:val="auto"/>
          <w:vertAlign w:val="superscript"/>
        </w:rPr>
      </w:pPr>
    </w:p>
    <w:p>
      <w:pPr>
        <w:ind w:left="660" w:right="1000" w:hanging="652"/>
        <w:spacing w:after="0" w:line="227" w:lineRule="auto"/>
        <w:tabs>
          <w:tab w:leader="none" w:pos="648"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The activity during 2020 was primarily related to the impact from the change in the USD to CAD exchange rate on the portion of our intercompany net investment that is not long-term in nature.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(Expense)/Benefit</w:t>
      </w:r>
    </w:p>
    <w:p>
      <w:pPr>
        <w:spacing w:after="0" w:line="25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decrease in current income tax expense for the year ended December 31, 2020 compared to the year ended December 31, 2019 was primarily due to lower taxable earnings from our Canadian operations. The increase in the deferred income tax benefit for the year ended December 31, 2020 compared to the year ended December 31, 2019 was primarily due to lower year-over-year income as impacted by fluctuations in the derivative mark-to-market valuations in our Canadian operations, partially offset by the recognition of a deferred tax benefit of approximately $60 million during the second quarter of 2019 as a result of the reduction of the provincial tax rate in Alberta, Canada.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divestiture program.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our long-term debt and (v) distributions to our unitholders. In addition, we may use cash for repurchases of common equity. We generally expect to fund our short-term cash requirements through cash flow generated from operating activities and/or borrowings under our commercial paper program or credit facilities. In addition, we generally expect to fund our long-term needs, such as those resulting from investment capital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1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As of December 31, 2020, although we had a working capital deficit of $588 million, we had approximately $2.2 billion of liquidity available to meet our ongoing operating, investing and financing needs, subject to continued covenant compliance, as noted below (in millions):</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Availability under senior unsecured revolving credit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046595"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46595"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 xml:space="preserve">Availability under senior secured hedged inventory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4659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4659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116"/>
        <w:spacing w:after="0"/>
        <w:rPr>
          <w:sz w:val="20"/>
          <w:szCs w:val="20"/>
          <w:color w:val="auto"/>
        </w:rPr>
      </w:pPr>
      <w:r>
        <w:rPr>
          <w:rFonts w:ascii="Arial" w:cs="Arial" w:eastAsia="Arial" w:hAnsi="Arial"/>
          <w:sz w:val="14"/>
          <w:szCs w:val="14"/>
          <w:b w:val="1"/>
          <w:bCs w:val="1"/>
          <w:color w:val="auto"/>
        </w:rPr>
        <w:t>As of</w:t>
      </w:r>
    </w:p>
    <w:p>
      <w:pPr>
        <w:jc w:val="center"/>
        <w:ind w:right="116"/>
        <w:spacing w:after="0"/>
        <w:rPr>
          <w:sz w:val="20"/>
          <w:szCs w:val="20"/>
          <w:color w:val="auto"/>
        </w:rPr>
      </w:pPr>
      <w:r>
        <w:rPr>
          <w:rFonts w:ascii="Arial" w:cs="Arial" w:eastAsia="Arial" w:hAnsi="Arial"/>
          <w:sz w:val="14"/>
          <w:szCs w:val="14"/>
          <w:b w:val="1"/>
          <w:bCs w:val="1"/>
          <w:color w:val="auto"/>
        </w:rPr>
        <w:t>December 31, 2020</w:t>
      </w:r>
    </w:p>
    <w:p>
      <w:pPr>
        <w:spacing w:after="0" w:line="34" w:lineRule="exact"/>
        <w:rPr>
          <w:sz w:val="20"/>
          <w:szCs w:val="20"/>
          <w:color w:val="auto"/>
        </w:rPr>
      </w:pPr>
    </w:p>
    <w:p>
      <w:pPr>
        <w:ind w:left="1144" w:hanging="1144"/>
        <w:spacing w:after="0"/>
        <w:tabs>
          <w:tab w:leader="none" w:pos="11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1,507</w:t>
      </w:r>
    </w:p>
    <w:p>
      <w:pPr>
        <w:spacing w:after="0" w:line="23" w:lineRule="exact"/>
        <w:rPr>
          <w:rFonts w:ascii="Arial" w:cs="Arial" w:eastAsia="Arial" w:hAnsi="Arial"/>
          <w:sz w:val="18"/>
          <w:szCs w:val="18"/>
          <w:color w:val="auto"/>
        </w:rPr>
      </w:pPr>
    </w:p>
    <w:p>
      <w:pPr>
        <w:ind w:left="1144"/>
        <w:spacing w:after="0"/>
        <w:rPr>
          <w:rFonts w:ascii="Arial" w:cs="Arial" w:eastAsia="Arial" w:hAnsi="Arial"/>
          <w:sz w:val="18"/>
          <w:szCs w:val="18"/>
          <w:color w:val="auto"/>
        </w:rPr>
      </w:pPr>
      <w:r>
        <w:rPr>
          <w:rFonts w:ascii="Arial" w:cs="Arial" w:eastAsia="Arial" w:hAnsi="Arial"/>
          <w:sz w:val="18"/>
          <w:szCs w:val="18"/>
          <w:color w:val="auto"/>
        </w:rPr>
        <w:t>1,197</w:t>
      </w:r>
    </w:p>
    <w:p>
      <w:pPr>
        <w:spacing w:after="0" w:line="22" w:lineRule="exact"/>
        <w:rPr>
          <w:rFonts w:ascii="Arial" w:cs="Arial" w:eastAsia="Arial" w:hAnsi="Arial"/>
          <w:sz w:val="18"/>
          <w:szCs w:val="18"/>
          <w:color w:val="auto"/>
        </w:rPr>
      </w:pPr>
    </w:p>
    <w:p>
      <w:pPr>
        <w:ind w:left="1204"/>
        <w:spacing w:after="0"/>
        <w:rPr>
          <w:rFonts w:ascii="Arial" w:cs="Arial" w:eastAsia="Arial" w:hAnsi="Arial"/>
          <w:sz w:val="18"/>
          <w:szCs w:val="18"/>
          <w:color w:val="auto"/>
        </w:rPr>
      </w:pPr>
      <w:r>
        <w:rPr>
          <w:rFonts w:ascii="Arial" w:cs="Arial" w:eastAsia="Arial" w:hAnsi="Arial"/>
          <w:sz w:val="17"/>
          <w:szCs w:val="17"/>
          <w:color w:val="auto"/>
        </w:rPr>
        <w:t>(547)</w:t>
      </w:r>
    </w:p>
    <w:p>
      <w:pPr>
        <w:spacing w:after="0" w:line="33" w:lineRule="exact"/>
        <w:rPr>
          <w:sz w:val="20"/>
          <w:szCs w:val="20"/>
          <w:color w:val="auto"/>
        </w:rPr>
      </w:pPr>
    </w:p>
    <w:p>
      <w:pPr>
        <w:sectPr>
          <w:pgSz w:w="11900" w:h="16838" w:orient="portrait"/>
          <w:cols w:equalWidth="0" w:num="2">
            <w:col w:w="8756" w:space="720"/>
            <w:col w:w="1724"/>
          </w:cols>
          <w:pgMar w:left="320" w:top="130" w:right="3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460" w:type="dxa"/>
            <w:vAlign w:val="bottom"/>
          </w:tcPr>
          <w:p>
            <w:pPr>
              <w:ind w:left="140"/>
              <w:spacing w:after="0"/>
              <w:rPr>
                <w:sz w:val="20"/>
                <w:szCs w:val="20"/>
                <w:color w:val="auto"/>
              </w:rPr>
            </w:pPr>
            <w:r>
              <w:rPr>
                <w:rFonts w:ascii="Arial" w:cs="Arial" w:eastAsia="Arial" w:hAnsi="Arial"/>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2,157</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9460" w:type="dxa"/>
            <w:vAlign w:val="bottom"/>
          </w:tcPr>
          <w:p>
            <w:pPr>
              <w:ind w:left="1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r>
      <w:tr>
        <w:trPr>
          <w:trHeight w:val="20"/>
        </w:trPr>
        <w:tc>
          <w:tcPr>
            <w:tcW w:w="9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right="32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our commercial paper program, which reduce available capacity under the facilities.</w:t>
      </w:r>
    </w:p>
    <w:p>
      <w:pPr>
        <w:spacing w:after="0" w:line="62" w:lineRule="exact"/>
        <w:rPr>
          <w:sz w:val="20"/>
          <w:szCs w:val="20"/>
          <w:color w:val="auto"/>
        </w:rPr>
      </w:pPr>
    </w:p>
    <w:p>
      <w:pPr>
        <w:ind w:right="200" w:hanging="11"/>
        <w:spacing w:after="0" w:line="277" w:lineRule="auto"/>
        <w:rPr>
          <w:sz w:val="20"/>
          <w:szCs w:val="20"/>
          <w:color w:val="auto"/>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$93 million and $36 million, respectively.</w:t>
      </w:r>
    </w:p>
    <w:p>
      <w:pPr>
        <w:spacing w:after="0" w:line="200" w:lineRule="exact"/>
        <w:rPr>
          <w:sz w:val="20"/>
          <w:szCs w:val="20"/>
          <w:color w:val="auto"/>
        </w:rPr>
      </w:pPr>
    </w:p>
    <w:p>
      <w:pPr>
        <w:sectPr>
          <w:pgSz w:w="11900" w:h="16838" w:orient="portrait"/>
          <w:cols w:equalWidth="0" w:num="2">
            <w:col w:w="140" w:space="520"/>
            <w:col w:w="10540"/>
          </w:cols>
          <w:pgMar w:left="320" w:top="130" w:right="37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96" w:name="page97"/>
    <w:bookmarkEnd w:id="9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Usage of our credit facilities, which provide the financial backstop for our commercial paper program, is subject to ongoing compliance with covenants, as discussed further below. Our borrowing capacity and borrowing costs are also impacted by our credit rating. See Item 1A. “Risk Factors— Risks Related to Our Business—Loss of our investment grade credit rating or the ability to receive open credit could negatively affect our borrowing costs, ability to purchase crude oil, NGL and natural gas supplies or to capitalize on market opportunities.”</w:t>
      </w:r>
    </w:p>
    <w:p>
      <w:pPr>
        <w:spacing w:after="0" w:line="19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Current macroeconomic and geopolitical conditions including the collapse of oil prices driven by both the decrease in demand caused by the COVID-19 pandemic and excess supply has caused liquidity issues impacting many energy companies; however, 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however, extended disruptions in the financial markets and/or energy price volatility that adversely affect our business may have a materially adverse effect on our financial condition, results of operations or cash flows. See Item 1A. “Risk Factors” for further discussion regarding risks that may impact our liquidity and capital resources.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Credit Agreements, Commercial Paper Program and Indentures</w:t>
      </w:r>
    </w:p>
    <w:p>
      <w:pPr>
        <w:spacing w:after="0" w:line="25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have three primary credit arrangements, which we use to meet our short-term cash needs. These include our $1.6 billion senior unsecured revolving credit facility maturing in 2024, $1.4 billion senior secured hedged inventory facility maturing in 2022 (excluding aggregate commitments of $45 million, which mature in 2021) and $3.0 billion unsecured commercial paper program that is backstopped by our revolving credit facility and our hedged inventory facility. Additionally, we have two $100 million term loans. The credit agreements for our revolving credit facilities (which impact our ability to access our commercial paper program because they provide the financial backstop that supports our short-term credit ratings) and our term loans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21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193"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Net cash provided by operating activities for the years ended December 31, 2020, 2019 and 2018 was approximately $1.5 billion, $2.5 billion and $2.6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During 2020, we increased the volume of both our crude oil inventory to be stored during the contango market and our NGL inventory in anticipation of the 2020-2021 heating season as well as the margin balances required as part of our hedging activities, all of which was funded by short-term debt. The cash outflows associated with these activities were partially offset by lower prices for inventory purchased and stored at the end of the current period compared to the end of 2019. Cash provided by operating activities was favorably impacted by cash received for transactions for which the revenue has been deferred pending the completion of future performance obligations. See Note 3 to our Consolidated Financial Statements for additional information.</w:t>
      </w:r>
    </w:p>
    <w:p>
      <w:pPr>
        <w:spacing w:after="0" w:line="21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2019, our cash provided by operating activities was positively impacted by the proceeds from the sale of NGL and crude oil inventory that we held and also by the lower weighted average price of NGL inventory compared to prior year amounts.</w:t>
      </w:r>
    </w:p>
    <w:p>
      <w:pPr>
        <w:spacing w:after="0" w:line="19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During 2018, our cash provided by operating activities was favorably impacted by approximately $250 million of cash received for transactions for which the revenue has been deferred pending the completion of future performance obligations. The favorable impact was partially offset by an increase in the volume of crude oil inventory that we held, which was funded from earnings from our operations and proceeds from asset sales.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In addition to our operating needs discussed above, we also use cash for our investment capital projects, maintenance capital activities and acquisition activities. Historically, we have financed these expenditures primarily with cash generated by operating activities discussed in “—Cash Flow from Operating Activities” above and the financing activities discussed in “—Financing Activities” below. In recent years, we have also used proceeds from our divestiture program, as discussed further below. We have made and will continue to make capital expenditures for investment capital projects, maintenance activities and acquisitions. However, in the near term, we do not plan to issue common equity to fund such activities.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investment capital and maintenance capital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 (3)</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30"/>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6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(4)</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both"/>
        <w:ind w:left="20"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“Investment capital” was previously termed “expansion capital.” We consider the term “investment capital” to be more descriptive.</w:t>
      </w:r>
    </w:p>
    <w:p>
      <w:pPr>
        <w:spacing w:after="0" w:line="117" w:lineRule="exact"/>
        <w:rPr>
          <w:sz w:val="20"/>
          <w:szCs w:val="20"/>
          <w:color w:val="auto"/>
        </w:rPr>
      </w:pPr>
    </w:p>
    <w:p>
      <w:pPr>
        <w:jc w:val="both"/>
        <w:ind w:left="20" w:right="240" w:hanging="11"/>
        <w:spacing w:after="0" w:line="277" w:lineRule="auto"/>
        <w:rPr>
          <w:sz w:val="20"/>
          <w:szCs w:val="20"/>
          <w:color w:val="auto"/>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Acquisition capital for 2020 primarily includes a crude oil gathering system located in the Delaware Basin.</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8" w:name="page99"/>
    <w:bookmarkEnd w:id="9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 Capital Projects</w:t>
      </w:r>
    </w:p>
    <w:p>
      <w:pPr>
        <w:spacing w:after="0" w:line="25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investment capital programs consist of investments in midstream infrastructure projects that build upon our core assets and operations. For the years presented, substantially all of the investment capital was invested in our fee-based Transportation and Facilities segments.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Projects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Permian Basin Takeaway Pipeline Projects </w:t>
            </w:r>
            <w:r>
              <w:rPr>
                <w:rFonts w:ascii="Arial" w:cs="Arial" w:eastAsia="Arial" w:hAnsi="Arial"/>
                <w:sz w:val="23"/>
                <w:szCs w:val="23"/>
                <w:color w:val="auto"/>
                <w:vertAlign w:val="superscript"/>
              </w:rPr>
              <w:t>(1) (2)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30"/>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Complementary Permian Basin Projects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Long-Haul Pipeline Projects (Non-Permian)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Selected Facilities/Downstream Projects </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6740" w:type="dxa"/>
            <w:vAlign w:val="bottom"/>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These projects will continue into 2021. See “—2021 Investment Capital Projects below.”</w:t>
      </w:r>
    </w:p>
    <w:p>
      <w:pPr>
        <w:spacing w:after="0" w:line="117" w:lineRule="exact"/>
        <w:rPr>
          <w:sz w:val="20"/>
          <w:szCs w:val="20"/>
          <w:color w:val="auto"/>
        </w:rPr>
      </w:pPr>
    </w:p>
    <w:p>
      <w:pPr>
        <w:ind w:left="20" w:right="140" w:hanging="11"/>
        <w:spacing w:after="0" w:line="277" w:lineRule="auto"/>
        <w:rPr>
          <w:sz w:val="20"/>
          <w:szCs w:val="20"/>
          <w:color w:val="auto"/>
        </w:rPr>
      </w:pPr>
      <w:r>
        <w:rPr>
          <w:rFonts w:ascii="Arial" w:cs="Arial" w:eastAsia="Arial" w:hAnsi="Arial"/>
          <w:sz w:val="18"/>
          <w:szCs w:val="18"/>
          <w:color w:val="auto"/>
        </w:rPr>
        <w:t>Represents pipeline projects with takeaway capacity out of the Permian Basin, including (i) our 16% interest in Wink to Webster Pipeline and (ii) our 65% interest in the Cactus II Pipeline.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Includes projects at our St. James and Cushing terminals.</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52" w:lineRule="exact"/>
        <w:rPr>
          <w:sz w:val="20"/>
          <w:szCs w:val="20"/>
          <w:color w:val="auto"/>
        </w:rPr>
      </w:pPr>
    </w:p>
    <w:p>
      <w:pPr>
        <w:jc w:val="both"/>
        <w:ind w:right="140" w:firstLine="648"/>
        <w:spacing w:after="0" w:line="287" w:lineRule="auto"/>
        <w:rPr>
          <w:sz w:val="20"/>
          <w:szCs w:val="20"/>
          <w:color w:val="auto"/>
        </w:rPr>
      </w:pPr>
      <w:r>
        <w:rPr>
          <w:rFonts w:ascii="Arial" w:cs="Arial" w:eastAsia="Arial" w:hAnsi="Arial"/>
          <w:sz w:val="16"/>
          <w:szCs w:val="16"/>
          <w:i w:val="1"/>
          <w:iCs w:val="1"/>
          <w:color w:val="auto"/>
        </w:rPr>
        <w:t xml:space="preserve">2021 Investment Capital Projects. </w:t>
      </w:r>
      <w:r>
        <w:rPr>
          <w:rFonts w:ascii="Arial" w:cs="Arial" w:eastAsia="Arial" w:hAnsi="Arial"/>
          <w:sz w:val="16"/>
          <w:szCs w:val="16"/>
          <w:color w:val="auto"/>
        </w:rPr>
        <w:t>In April 2020, in response to the current dynamic and uncertain market conditions, we announced our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significantly reduce and continue to challenge our capital program. The majority of our 2021 investment capital program will be invested in our fee-based Transportation and Facilities segments. We expect that our investments will have minimal contributions to our 2021 results, but will provide growth for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2022 and beyond. Our 2021 capital program includes the following projects as of February 2021 with the estimated cost for the entire year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Projects</w:t>
            </w:r>
          </w:p>
        </w:tc>
        <w:tc>
          <w:tcPr>
            <w:tcW w:w="500" w:type="dxa"/>
            <w:vAlign w:val="bottom"/>
          </w:tcPr>
          <w:p>
            <w:pPr>
              <w:spacing w:after="0"/>
              <w:rPr>
                <w:sz w:val="16"/>
                <w:szCs w:val="16"/>
                <w:color w:val="auto"/>
              </w:rPr>
            </w:pPr>
          </w:p>
        </w:tc>
        <w:tc>
          <w:tcPr>
            <w:tcW w:w="1540" w:type="dxa"/>
            <w:vAlign w:val="bottom"/>
          </w:tcPr>
          <w:p>
            <w:pPr>
              <w:jc w:val="right"/>
              <w:ind w:right="793"/>
              <w:spacing w:after="0"/>
              <w:rPr>
                <w:sz w:val="20"/>
                <w:szCs w:val="20"/>
                <w:color w:val="auto"/>
              </w:rPr>
            </w:pPr>
            <w:r>
              <w:rPr>
                <w:rFonts w:ascii="Arial" w:cs="Arial" w:eastAsia="Arial" w:hAnsi="Arial"/>
                <w:sz w:val="14"/>
                <w:szCs w:val="14"/>
                <w:b w:val="1"/>
                <w:bCs w:val="1"/>
                <w:color w:val="auto"/>
              </w:rPr>
              <w:t>2021</w:t>
            </w:r>
          </w:p>
        </w:tc>
      </w:tr>
      <w:tr>
        <w:trPr>
          <w:trHeight w:val="229"/>
        </w:trPr>
        <w:tc>
          <w:tcPr>
            <w:tcW w:w="9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Permian Basin Takeaway Pipeline Projects</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Long-Haul Pipeline Projects (Non-Permian)</w:t>
            </w: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Complementary Permian Basin Projects</w:t>
            </w: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Selected Facilities/Downstream Projects</w:t>
            </w: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5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9160" w:type="dxa"/>
            <w:vAlign w:val="bottom"/>
            <w:gridSpan w:val="2"/>
          </w:tcPr>
          <w:p>
            <w:pPr>
              <w:ind w:left="140"/>
              <w:spacing w:after="0"/>
              <w:rPr>
                <w:sz w:val="20"/>
                <w:szCs w:val="20"/>
                <w:color w:val="auto"/>
              </w:rPr>
            </w:pPr>
            <w:r>
              <w:rPr>
                <w:rFonts w:ascii="Arial" w:cs="Arial" w:eastAsia="Arial" w:hAnsi="Arial"/>
                <w:sz w:val="18"/>
                <w:szCs w:val="18"/>
                <w:color w:val="auto"/>
              </w:rPr>
              <w:t>Total Projected 2021 Investment Capital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0"/>
        </w:trPr>
        <w:tc>
          <w:tcPr>
            <w:tcW w:w="9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continue to evaluate potential sales of non-core assets and/or sales of partial interests in assets to strategic joint venture partners. The following table summarizes the proceeds received for sales of such assets, which were previously reported in our Transportation and Facilities segments: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40"/>
              <w:spacing w:after="0" w:line="224" w:lineRule="exact"/>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140" w:hanging="652"/>
        <w:spacing w:after="0" w:line="267" w:lineRule="auto"/>
        <w:tabs>
          <w:tab w:leader="none" w:pos="648" w:val="left"/>
        </w:tabs>
        <w:numPr>
          <w:ilvl w:val="0"/>
          <w:numId w:val="67"/>
        </w:numPr>
        <w:rPr>
          <w:rFonts w:ascii="Arial" w:cs="Arial" w:eastAsia="Arial" w:hAnsi="Arial"/>
          <w:sz w:val="21"/>
          <w:szCs w:val="21"/>
          <w:color w:val="auto"/>
          <w:vertAlign w:val="superscript"/>
        </w:rPr>
      </w:pPr>
      <w:r>
        <w:rPr>
          <w:rFonts w:ascii="Arial" w:cs="Arial" w:eastAsia="Arial" w:hAnsi="Arial"/>
          <w:sz w:val="16"/>
          <w:szCs w:val="16"/>
          <w:color w:val="auto"/>
        </w:rPr>
        <w:t>Includes proceeds from (i) a multi-year supply agreement related to the sale of certain NGL terminals in April 2020 and (ii) our formation of Red River Pipeline Company LLC in May 2019. See Note 7 and Note 12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9" w:name="page100"/>
    <w:bookmarkEnd w:id="9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Proceeds from asset sales were used to fund our investment capital projects and reduce debt levels. See Note 7 to our Consolidated Financial Statements for additional detail regarding our divestiture transactions.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21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Business—Divestitures, joint ventures, joint ownership arrangements and acquisitions involve risks that may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During the year ended December 31, 2020, we had net borrowings under our credit facilities and commercial paper program of $296 million. The net borrowings resulted primarily from borrowings during the period related to funding needs for inventory purchases and general partnership purposes.</w:t>
      </w:r>
    </w:p>
    <w:p>
      <w:pPr>
        <w:spacing w:after="0" w:line="15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During the year ended December 31, 2019, we had net borrowings under our credit facilities and commercial paper program of $418 million. The net borrowings resulted primarily from borrowings during the period related to funding needs for general partnership purposes.</w:t>
      </w:r>
    </w:p>
    <w:p>
      <w:pPr>
        <w:spacing w:after="0" w:line="173"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During the year ended December 31, 2018, we had net repayments on our credit facilities and commercial paper program of $901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21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August 2018, we entered into an agreement for two $100 million term loans from the remarketing of our two $100 million bonds. The purchasers of the two term loans have the right to put, at par, the term loans in July 2023. The bonds mature by their terms in May 2032 and August 2035, respectively. See Note 11 to our Consolidated Financial Statements for additional information.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0" w:name="page101"/>
    <w:bookmarkEnd w:id="10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Senior Notes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Issuances of Senior Notes. </w:t>
      </w:r>
      <w:r>
        <w:rPr>
          <w:rFonts w:ascii="Arial" w:cs="Arial" w:eastAsia="Arial" w:hAnsi="Arial"/>
          <w:sz w:val="18"/>
          <w:szCs w:val="18"/>
          <w:color w:val="auto"/>
        </w:rPr>
        <w:t>During 2020 and 2019, we issued senior unsecured notes as summarized in the table below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4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Description</w:t>
            </w: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840" w:type="dxa"/>
            <w:vAlign w:val="bottom"/>
          </w:tcPr>
          <w:p>
            <w:pPr>
              <w:jc w:val="right"/>
              <w:ind w:right="299"/>
              <w:spacing w:after="0"/>
              <w:rPr>
                <w:sz w:val="20"/>
                <w:szCs w:val="20"/>
                <w:color w:val="auto"/>
              </w:rPr>
            </w:pPr>
            <w:r>
              <w:rPr>
                <w:rFonts w:ascii="Arial" w:cs="Arial" w:eastAsia="Arial" w:hAnsi="Arial"/>
                <w:sz w:val="14"/>
                <w:szCs w:val="14"/>
                <w:b w:val="1"/>
                <w:bCs w:val="1"/>
                <w:color w:val="auto"/>
              </w:rPr>
              <w:t>Net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gridSpan w:val="2"/>
            <w:vMerge w:val="continue"/>
          </w:tcPr>
          <w:p>
            <w:pPr>
              <w:spacing w:after="0"/>
              <w:rPr>
                <w:sz w:val="16"/>
                <w:szCs w:val="16"/>
                <w:color w:val="auto"/>
              </w:rPr>
            </w:pPr>
          </w:p>
        </w:tc>
        <w:tc>
          <w:tcPr>
            <w:tcW w:w="496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84"/>
              </w:rPr>
              <w:t>Proceeds</w:t>
            </w:r>
            <w:r>
              <w:rPr>
                <w:rFonts w:ascii="Arial" w:cs="Arial" w:eastAsia="Arial" w:hAnsi="Arial"/>
                <w:sz w:val="18"/>
                <w:szCs w:val="18"/>
                <w:b w:val="1"/>
                <w:bCs w:val="1"/>
                <w:color w:val="auto"/>
                <w:w w:val="84"/>
                <w:vertAlign w:val="superscript"/>
              </w:rPr>
              <w:t>(1)</w:t>
            </w:r>
          </w:p>
        </w:tc>
        <w:tc>
          <w:tcPr>
            <w:tcW w:w="120" w:type="dxa"/>
            <w:vAlign w:val="bottom"/>
          </w:tcPr>
          <w:p>
            <w:pPr>
              <w:spacing w:after="0"/>
              <w:rPr>
                <w:sz w:val="16"/>
                <w:szCs w:val="16"/>
                <w:color w:val="auto"/>
              </w:rPr>
            </w:pPr>
          </w:p>
        </w:tc>
        <w:tc>
          <w:tcPr>
            <w:tcW w:w="840" w:type="dxa"/>
            <w:vAlign w:val="bottom"/>
          </w:tcPr>
          <w:p>
            <w:pPr>
              <w:jc w:val="right"/>
              <w:ind w:right="79"/>
              <w:spacing w:after="0" w:line="189" w:lineRule="exact"/>
              <w:rPr>
                <w:sz w:val="20"/>
                <w:szCs w:val="20"/>
                <w:color w:val="auto"/>
              </w:rPr>
            </w:pPr>
            <w:r>
              <w:rPr>
                <w:rFonts w:ascii="Arial" w:cs="Arial" w:eastAsia="Arial" w:hAnsi="Arial"/>
                <w:sz w:val="14"/>
                <w:szCs w:val="14"/>
                <w:b w:val="1"/>
                <w:bCs w:val="1"/>
                <w:color w:val="auto"/>
                <w:w w:val="84"/>
              </w:rPr>
              <w:t>Proceeds</w:t>
            </w:r>
            <w:r>
              <w:rPr>
                <w:rFonts w:ascii="Arial" w:cs="Arial" w:eastAsia="Arial" w:hAnsi="Arial"/>
                <w:sz w:val="18"/>
                <w:szCs w:val="18"/>
                <w:b w:val="1"/>
                <w:bCs w:val="1"/>
                <w:color w:val="auto"/>
                <w:w w:val="84"/>
                <w:vertAlign w:val="superscript"/>
              </w:rPr>
              <w:t>(2)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4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3.80% Senior Notes issued at 99.794% of face value</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3.55% Senior Notes issued at 99.801% of face value</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2029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Face value of notes less the applicable premium or discount, initial purchaser discounts, commissions and offering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used the net proceeds from the offering to repay the principal amounts of our 5.00% senior notes due February 2021.</w:t>
      </w:r>
    </w:p>
    <w:p>
      <w:pPr>
        <w:spacing w:after="0" w:line="117" w:lineRule="exact"/>
        <w:rPr>
          <w:sz w:val="20"/>
          <w:szCs w:val="20"/>
          <w:color w:val="auto"/>
        </w:rPr>
      </w:pPr>
    </w:p>
    <w:p>
      <w:pPr>
        <w:ind w:left="20" w:right="400" w:hanging="11"/>
        <w:spacing w:after="0" w:line="277" w:lineRule="auto"/>
        <w:rPr>
          <w:sz w:val="20"/>
          <w:szCs w:val="20"/>
          <w:color w:val="auto"/>
        </w:rPr>
      </w:pPr>
      <w:r>
        <w:rPr>
          <w:rFonts w:ascii="Arial" w:cs="Arial" w:eastAsia="Arial" w:hAnsi="Arial"/>
          <w:sz w:val="18"/>
          <w:szCs w:val="18"/>
          <w:color w:val="auto"/>
        </w:rPr>
        <w:t>We used the net proceeds from the offering to partially repay the principal amounts of our 2.60% senior notes due December 2019 and 5.75% senior notes due January 2020 and for general partnership purposes.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Repayments of Senior Notes. </w:t>
      </w:r>
      <w:r>
        <w:rPr>
          <w:rFonts w:ascii="Arial" w:cs="Arial" w:eastAsia="Arial" w:hAnsi="Arial"/>
          <w:sz w:val="18"/>
          <w:szCs w:val="18"/>
          <w:color w:val="auto"/>
        </w:rPr>
        <w:t>During 2020 and 2019, we repaid the following senior unsecured notes in full (in millions):</w:t>
      </w:r>
    </w:p>
    <w:p>
      <w:pPr>
        <w:spacing w:after="0" w:line="41"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5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Description</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2"/>
              </w:rPr>
              <w:t>Repayment Date</w:t>
            </w:r>
          </w:p>
        </w:tc>
        <w:tc>
          <w:tcPr>
            <w:tcW w:w="640" w:type="dxa"/>
            <w:vAlign w:val="bottom"/>
          </w:tcPr>
          <w:p>
            <w:pPr>
              <w:spacing w:after="0"/>
              <w:rPr>
                <w:sz w:val="16"/>
                <w:szCs w:val="16"/>
                <w:color w:val="auto"/>
              </w:rPr>
            </w:pPr>
          </w:p>
        </w:tc>
      </w:tr>
      <w:tr>
        <w:trPr>
          <w:trHeight w:val="229"/>
        </w:trPr>
        <w:tc>
          <w:tcPr>
            <w:tcW w:w="226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5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$600 million 5.00% Senior Notes due February 2021</w:t>
            </w:r>
          </w:p>
        </w:tc>
        <w:tc>
          <w:tcPr>
            <w:tcW w:w="12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2020</w:t>
            </w:r>
          </w:p>
        </w:tc>
        <w:tc>
          <w:tcPr>
            <w:tcW w:w="640" w:type="dxa"/>
            <w:vAlign w:val="bottom"/>
            <w:tcBorders>
              <w:top w:val="single" w:sz="8" w:color="CCEEFF"/>
            </w:tcBorders>
            <w:shd w:val="clear" w:color="auto" w:fill="CCEEFF"/>
          </w:tcPr>
          <w:p>
            <w:pPr>
              <w:jc w:val="right"/>
              <w:ind w:right="322"/>
              <w:spacing w:after="0"/>
              <w:rPr>
                <w:sz w:val="20"/>
                <w:szCs w:val="20"/>
                <w:color w:val="auto"/>
              </w:rPr>
            </w:pPr>
            <w:r>
              <w:rPr>
                <w:rFonts w:ascii="Arial" w:cs="Arial" w:eastAsia="Arial" w:hAnsi="Arial"/>
                <w:sz w:val="12"/>
                <w:szCs w:val="12"/>
                <w:color w:val="auto"/>
              </w:rPr>
              <w:t>(1)</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69"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1260" w:type="dxa"/>
            <w:vAlign w:val="bottom"/>
          </w:tcPr>
          <w:p>
            <w:pPr>
              <w:jc w:val="right"/>
              <w:ind w:right="810"/>
              <w:spacing w:after="0"/>
              <w:rPr>
                <w:sz w:val="20"/>
                <w:szCs w:val="20"/>
                <w:color w:val="auto"/>
              </w:rPr>
            </w:pPr>
            <w:r>
              <w:rPr>
                <w:rFonts w:ascii="Arial" w:cs="Arial" w:eastAsia="Arial" w:hAnsi="Arial"/>
                <w:sz w:val="18"/>
                <w:szCs w:val="18"/>
                <w:color w:val="auto"/>
                <w:w w:val="84"/>
              </w:rPr>
              <w:t>2019</w:t>
            </w:r>
          </w:p>
        </w:tc>
        <w:tc>
          <w:tcPr>
            <w:tcW w:w="5620" w:type="dxa"/>
            <w:vAlign w:val="bottom"/>
          </w:tcPr>
          <w:p>
            <w:pPr>
              <w:jc w:val="center"/>
              <w:ind w:left="10"/>
              <w:spacing w:after="0"/>
              <w:rPr>
                <w:sz w:val="20"/>
                <w:szCs w:val="20"/>
                <w:color w:val="auto"/>
              </w:rPr>
            </w:pPr>
            <w:r>
              <w:rPr>
                <w:rFonts w:ascii="Arial" w:cs="Arial" w:eastAsia="Arial" w:hAnsi="Arial"/>
                <w:sz w:val="18"/>
                <w:szCs w:val="18"/>
                <w:color w:val="auto"/>
                <w:w w:val="91"/>
              </w:rPr>
              <w:t>$500 million 2.60% Senior Notes due December 2019</w:t>
            </w:r>
          </w:p>
        </w:tc>
        <w:tc>
          <w:tcPr>
            <w:tcW w:w="1980" w:type="dxa"/>
            <w:vAlign w:val="bottom"/>
          </w:tcPr>
          <w:p>
            <w:pPr>
              <w:ind w:left="800"/>
              <w:spacing w:after="0"/>
              <w:rPr>
                <w:sz w:val="20"/>
                <w:szCs w:val="20"/>
                <w:color w:val="auto"/>
              </w:rPr>
            </w:pPr>
            <w:r>
              <w:rPr>
                <w:rFonts w:ascii="Arial" w:cs="Arial" w:eastAsia="Arial" w:hAnsi="Arial"/>
                <w:sz w:val="18"/>
                <w:szCs w:val="18"/>
                <w:color w:val="auto"/>
                <w:w w:val="90"/>
              </w:rPr>
              <w:t>November 2019</w:t>
            </w:r>
          </w:p>
        </w:tc>
      </w:tr>
      <w:tr>
        <w:trPr>
          <w:trHeight w:val="230"/>
        </w:trPr>
        <w:tc>
          <w:tcPr>
            <w:tcW w:w="1260" w:type="dxa"/>
            <w:vAlign w:val="bottom"/>
          </w:tcPr>
          <w:p>
            <w:pPr>
              <w:jc w:val="right"/>
              <w:ind w:right="810"/>
              <w:spacing w:after="0"/>
              <w:rPr>
                <w:sz w:val="20"/>
                <w:szCs w:val="20"/>
                <w:color w:val="auto"/>
              </w:rPr>
            </w:pPr>
            <w:r>
              <w:rPr>
                <w:rFonts w:ascii="Arial" w:cs="Arial" w:eastAsia="Arial" w:hAnsi="Arial"/>
                <w:sz w:val="18"/>
                <w:szCs w:val="18"/>
                <w:color w:val="auto"/>
                <w:w w:val="84"/>
              </w:rPr>
              <w:t>2019</w:t>
            </w:r>
          </w:p>
        </w:tc>
        <w:tc>
          <w:tcPr>
            <w:tcW w:w="5620" w:type="dxa"/>
            <w:vAlign w:val="bottom"/>
          </w:tcPr>
          <w:p>
            <w:pPr>
              <w:jc w:val="center"/>
              <w:ind w:left="10"/>
              <w:spacing w:after="0"/>
              <w:rPr>
                <w:sz w:val="20"/>
                <w:szCs w:val="20"/>
                <w:color w:val="auto"/>
              </w:rPr>
            </w:pPr>
            <w:r>
              <w:rPr>
                <w:rFonts w:ascii="Arial" w:cs="Arial" w:eastAsia="Arial" w:hAnsi="Arial"/>
                <w:sz w:val="18"/>
                <w:szCs w:val="18"/>
                <w:color w:val="auto"/>
                <w:w w:val="90"/>
              </w:rPr>
              <w:t>$500 million 5.75% Senior Notes due January 2020</w:t>
            </w:r>
          </w:p>
        </w:tc>
        <w:tc>
          <w:tcPr>
            <w:tcW w:w="1980" w:type="dxa"/>
            <w:vAlign w:val="bottom"/>
          </w:tcPr>
          <w:p>
            <w:pPr>
              <w:ind w:left="820"/>
              <w:spacing w:after="0"/>
              <w:rPr>
                <w:sz w:val="20"/>
                <w:szCs w:val="20"/>
                <w:color w:val="auto"/>
              </w:rPr>
            </w:pPr>
            <w:r>
              <w:rPr>
                <w:rFonts w:ascii="Arial" w:cs="Arial" w:eastAsia="Arial" w:hAnsi="Arial"/>
                <w:sz w:val="18"/>
                <w:szCs w:val="18"/>
                <w:color w:val="auto"/>
                <w:w w:val="88"/>
              </w:rPr>
              <w:t>December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06285"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126"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318" w:lineRule="exact"/>
        <w:rPr>
          <w:sz w:val="20"/>
          <w:szCs w:val="20"/>
          <w:color w:val="auto"/>
        </w:rPr>
      </w:pPr>
    </w:p>
    <w:p>
      <w:pPr>
        <w:sectPr>
          <w:pgSz w:w="11900" w:h="16838" w:orient="portrait"/>
          <w:cols w:equalWidth="0" w:num="2">
            <w:col w:w="9980" w:space="720"/>
            <w:col w:w="540"/>
          </w:cols>
          <w:pgMar w:left="320" w:top="130" w:right="339" w:bottom="1440" w:gutter="0" w:footer="0" w:header="0"/>
          <w:type w:val="continuous"/>
        </w:sectPr>
      </w:pPr>
    </w:p>
    <w:p>
      <w:pPr>
        <w:spacing w:after="0" w:line="305" w:lineRule="exact"/>
        <w:rPr>
          <w:sz w:val="20"/>
          <w:szCs w:val="20"/>
          <w:color w:val="auto"/>
        </w:rPr>
      </w:pPr>
    </w:p>
    <w:p>
      <w:pPr>
        <w:ind w:left="640" w:hanging="632"/>
        <w:spacing w:after="0"/>
        <w:tabs>
          <w:tab w:leader="none" w:pos="640" w:val="left"/>
        </w:tabs>
        <w:numPr>
          <w:ilvl w:val="0"/>
          <w:numId w:val="68"/>
        </w:numPr>
        <w:rPr>
          <w:rFonts w:ascii="Arial" w:cs="Arial" w:eastAsia="Arial" w:hAnsi="Arial"/>
          <w:sz w:val="23"/>
          <w:szCs w:val="23"/>
          <w:color w:val="auto"/>
          <w:vertAlign w:val="superscript"/>
        </w:rPr>
      </w:pPr>
      <w:r>
        <w:rPr>
          <w:rFonts w:ascii="Arial" w:cs="Arial" w:eastAsia="Arial" w:hAnsi="Arial"/>
          <w:sz w:val="18"/>
          <w:szCs w:val="18"/>
          <w:color w:val="auto"/>
        </w:rPr>
        <w:t>We repaid these senior notes with proceeds from our 3.80% senior notes issued in June 2020 and cash on hand.</w:t>
      </w:r>
    </w:p>
    <w:p>
      <w:pPr>
        <w:spacing w:after="0" w:line="68" w:lineRule="exact"/>
        <w:rPr>
          <w:rFonts w:ascii="Arial" w:cs="Arial" w:eastAsia="Arial" w:hAnsi="Arial"/>
          <w:sz w:val="23"/>
          <w:szCs w:val="23"/>
          <w:color w:val="auto"/>
          <w:vertAlign w:val="superscript"/>
        </w:rPr>
      </w:pPr>
    </w:p>
    <w:p>
      <w:pPr>
        <w:ind w:left="640" w:hanging="632"/>
        <w:spacing w:after="0" w:line="231" w:lineRule="auto"/>
        <w:tabs>
          <w:tab w:leader="none" w:pos="640" w:val="left"/>
        </w:tabs>
        <w:numPr>
          <w:ilvl w:val="0"/>
          <w:numId w:val="68"/>
        </w:numPr>
        <w:rPr>
          <w:rFonts w:ascii="Arial" w:cs="Arial" w:eastAsia="Arial" w:hAnsi="Arial"/>
          <w:sz w:val="23"/>
          <w:szCs w:val="23"/>
          <w:color w:val="auto"/>
          <w:vertAlign w:val="superscript"/>
        </w:rPr>
      </w:pPr>
      <w:r>
        <w:rPr>
          <w:rFonts w:ascii="Arial" w:cs="Arial" w:eastAsia="Arial" w:hAnsi="Arial"/>
          <w:sz w:val="18"/>
          <w:szCs w:val="18"/>
          <w:color w:val="auto"/>
        </w:rPr>
        <w:t>We repaid these senior notes with proceeds from our 3.55% senior notes issued in September 2019 and cash on hand.</w:t>
      </w:r>
    </w:p>
    <w:p>
      <w:pPr>
        <w:spacing w:after="0" w:line="2" w:lineRule="exact"/>
        <w:rPr>
          <w:sz w:val="20"/>
          <w:szCs w:val="20"/>
          <w:color w:val="auto"/>
        </w:rPr>
      </w:pPr>
    </w:p>
    <w:p>
      <w:pPr>
        <w:ind w:right="480" w:firstLine="648"/>
        <w:spacing w:after="0" w:line="258" w:lineRule="auto"/>
        <w:rPr>
          <w:sz w:val="20"/>
          <w:szCs w:val="20"/>
          <w:color w:val="auto"/>
        </w:rPr>
      </w:pPr>
      <w:r>
        <w:rPr>
          <w:rFonts w:ascii="Arial" w:cs="Arial" w:eastAsia="Arial" w:hAnsi="Arial"/>
          <w:sz w:val="18"/>
          <w:szCs w:val="18"/>
          <w:color w:val="auto"/>
        </w:rPr>
        <w:t>Additionally, during the year ended December 31, 2020, we repurchased $17 million of our outstanding senior notes on the open market and recognized a gain of $3 million on these transactions.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periodically access the capital markets for both equity and debt financing. We have filed with the SEC a universal shelf registration statement that, subject to effectiveness at the time of use, allows us to issue up to an aggregate of $1.1 billion of debt or equity securities (“Traditional Shelf”). We did not conduct any offerings under our Traditional Shelf during the years ended December 31, 2020, 2019 or 2018. At December 31, 2020,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The offering of our $750 million, 3.80% senior notes in June 2020 was conducted under our WKSI Shelf.</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1" w:name="page102"/>
    <w:bookmarkEnd w:id="10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In November 2020, the board of directors of PAGP GP approved a $500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Ultimately, the amount, timing and pace of potential repurchase activity will be determined by a number of factors, including market conditions, our financial performance and flexibility, actual and expected Free Cash Flow after distributions, the absolute and relative equity prices of our common units and PAGP Class A shares, and the extent to which we are positioned to achieve and maintain our targeted leverage ratio.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w:t>
      </w:r>
    </w:p>
    <w:p>
      <w:pPr>
        <w:spacing w:after="0" w:line="19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repurchased 6.2 million common units under the Program through open market purchases that settled during the year ended December 31, 2020. The total purchase price of these repurchases was $50 million, including commissions and fees. The remaining available capacity under the Program as of December 31, 2020 was $450 million. Additionally, we repurchased 350,000 common units under the Program for $3 million through open market purchases at the end of December 2020 that settled in January 2021.</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Unitholders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for additional discussion regarding distributions.</w:t>
      </w:r>
    </w:p>
    <w:p>
      <w:pPr>
        <w:spacing w:after="0" w:line="2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response to the challenging near-term market conditions, we took steps to further strengthen our balance sheet, liquidity and long-term financial flexibility. In this regard, beginning with the May 2020 distribution, we reduced our distribution per common unit by 50% versus the distribution per common unit paid in February 2020, which reflects a reduction of $525 million on an annualized basis. See “—Executive Summary—Recent Events and Outlook” for further discussion.</w:t>
      </w:r>
    </w:p>
    <w:p>
      <w:pPr>
        <w:spacing w:after="0" w:line="21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Distributions to our Series A preferred unitholders. </w:t>
      </w:r>
      <w:r>
        <w:rPr>
          <w:rFonts w:ascii="Arial" w:cs="Arial" w:eastAsia="Arial" w:hAnsi="Arial"/>
          <w:sz w:val="18"/>
          <w:szCs w:val="18"/>
          <w:color w:val="auto"/>
        </w:rPr>
        <w:t>Holders of our Series A preferred units are entitled to receive quarterly distributions,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anti-dilution adjustments, of $0.525 per unit ($2.10 per unit annualized). Subject to certain limitations, following January 28, 2021, the holders of our Series A preferred units may make a one-time election to reset the distribution rate. See Note 12 to our Consolidated Financial Statements for additional information.</w:t>
      </w:r>
    </w:p>
    <w:p>
      <w:pPr>
        <w:spacing w:after="0" w:line="214"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i w:val="1"/>
          <w:iCs w:val="1"/>
          <w:color w:val="auto"/>
        </w:rPr>
        <w:t xml:space="preserve">Distributions to our Series B preferred unitholders. </w:t>
      </w:r>
      <w:r>
        <w:rPr>
          <w:rFonts w:ascii="Arial" w:cs="Arial" w:eastAsia="Arial" w:hAnsi="Arial"/>
          <w:sz w:val="16"/>
          <w:szCs w:val="16"/>
          <w:color w:val="auto"/>
        </w:rPr>
        <w:t>Holders of our Series B preferred units are entitled to receive, when, as and if declared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out of legally available funds for such purpose, cumulative cash distributions, as applicable. Through and including November 15, 2022, holders are entitled to a distribution equal to $61.25 per unit per year, payable semiannually in arrears on the 15th day of May and November.</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See Note 12 to our Consolidated Financial Statements for further discussion of our Series B preferred units, including distribution rates and payment dates after November 15, 2022.</w:t>
      </w:r>
    </w:p>
    <w:p>
      <w:pPr>
        <w:spacing w:after="0" w:line="21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Distributions to our common unitholders. </w:t>
      </w:r>
      <w:r>
        <w:rPr>
          <w:rFonts w:ascii="Arial" w:cs="Arial" w:eastAsia="Arial" w:hAnsi="Arial"/>
          <w:sz w:val="18"/>
          <w:szCs w:val="18"/>
          <w:color w:val="auto"/>
        </w:rPr>
        <w:t>On February 12, 2021, we paid a quarterly distribution of $0.18 per common unit ($0.72 per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 on an annualized basis). The total distribution of $130 million was paid to common unitholders of record as of January 29, 2021, with respect to the quarter ended December 31, 2020. See Note 12 to our Consolidated Financial Statements for details of distributions paid during the three years ended December 31, 2020.</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2" w:name="page103"/>
    <w:bookmarkEnd w:id="10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Measures</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distributions to, contributions from and proceeds from the sale of noncontrolling interests. Free Cash Flow is further reduced by cash distributions paid to our preferred and common unitholders to arrive at Free Cash Flow After Distributions.</w:t>
      </w:r>
    </w:p>
    <w:p>
      <w:pPr>
        <w:spacing w:after="0" w:line="20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liquidity measures Free Cash Flow and Free Cash Flow After Distributions from Net Cash Provided by Operating Activities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r>
      <w:tr>
        <w:trPr>
          <w:trHeight w:val="187"/>
        </w:trPr>
        <w:tc>
          <w:tcPr>
            <w:tcW w:w="74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24"/>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Adjustments to reconcile net cash provided by operating activities to free cash flow:</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29"/>
        </w:trPr>
        <w:tc>
          <w:tcPr>
            <w:tcW w:w="7460" w:type="dxa"/>
            <w:vAlign w:val="bottom"/>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tcPr>
          <w:p>
            <w:pPr>
              <w:ind w:left="140"/>
              <w:spacing w:after="0"/>
              <w:rPr>
                <w:sz w:val="20"/>
                <w:szCs w:val="20"/>
                <w:color w:val="auto"/>
              </w:rPr>
            </w:pPr>
            <w:r>
              <w:rPr>
                <w:rFonts w:ascii="Arial" w:cs="Arial" w:eastAsia="Arial" w:hAnsi="Arial"/>
                <w:sz w:val="18"/>
                <w:szCs w:val="18"/>
                <w:color w:val="auto"/>
              </w:rPr>
              <w:t>Sale of noncontrolling interest in a subsidiary</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r>
      <w:tr>
        <w:trPr>
          <w:trHeight w:val="229"/>
        </w:trPr>
        <w:tc>
          <w:tcPr>
            <w:tcW w:w="746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distributions paid to our preferred and common unitholders during the period presented.</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19 to our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which range in term from thirty-day evergreen to five years, with a limited number of contracts with remaining terms extending up to 14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3" w:name="page104"/>
    <w:bookmarkEnd w:id="10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December 31, 2020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60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w w:val="97"/>
              </w:rPr>
              <w:t>Long-term debt and related interest payments</w:t>
            </w: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23"/>
        </w:trPr>
        <w:tc>
          <w:tcPr>
            <w:tcW w:w="3600" w:type="dxa"/>
            <w:vAlign w:val="bottom"/>
          </w:tcPr>
          <w:p>
            <w:pPr>
              <w:jc w:val="center"/>
              <w:ind w:right="2635"/>
              <w:spacing w:after="0"/>
              <w:rPr>
                <w:sz w:val="20"/>
                <w:szCs w:val="20"/>
                <w:color w:val="auto"/>
              </w:rPr>
            </w:pPr>
            <w:r>
              <w:rPr>
                <w:rFonts w:ascii="Arial" w:cs="Arial" w:eastAsia="Arial" w:hAnsi="Arial"/>
                <w:sz w:val="18"/>
                <w:szCs w:val="18"/>
                <w:color w:val="auto"/>
                <w:w w:val="90"/>
              </w:rPr>
              <w:t>Subtotal</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17,376</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74,948</w:t>
            </w:r>
          </w:p>
        </w:tc>
        <w:tc>
          <w:tcPr>
            <w:tcW w:w="0" w:type="dxa"/>
            <w:vAlign w:val="bottom"/>
          </w:tcPr>
          <w:p>
            <w:pPr>
              <w:spacing w:after="0"/>
              <w:rPr>
                <w:sz w:val="1"/>
                <w:szCs w:val="1"/>
                <w:color w:val="auto"/>
              </w:rPr>
            </w:pPr>
          </w:p>
        </w:tc>
      </w:tr>
      <w:tr>
        <w:trPr>
          <w:trHeight w:val="223"/>
        </w:trPr>
        <w:tc>
          <w:tcPr>
            <w:tcW w:w="3600" w:type="dxa"/>
            <w:vAlign w:val="bottom"/>
          </w:tcPr>
          <w:p>
            <w:pPr>
              <w:jc w:val="center"/>
              <w:ind w:right="2695"/>
              <w:spacing w:after="0"/>
              <w:rPr>
                <w:sz w:val="20"/>
                <w:szCs w:val="20"/>
                <w:color w:val="auto"/>
              </w:rPr>
            </w:pPr>
            <w:r>
              <w:rPr>
                <w:rFonts w:ascii="Arial" w:cs="Arial" w:eastAsia="Arial" w:hAnsi="Arial"/>
                <w:sz w:val="18"/>
                <w:szCs w:val="18"/>
                <w:color w:val="auto"/>
                <w:w w:val="94"/>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92,324</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right="60" w:hanging="11"/>
        <w:spacing w:after="0" w:line="296" w:lineRule="auto"/>
        <w:rPr>
          <w:sz w:val="20"/>
          <w:szCs w:val="20"/>
          <w:color w:val="auto"/>
        </w:rPr>
      </w:pPr>
      <w:r>
        <w:rPr>
          <w:rFonts w:ascii="Arial" w:cs="Arial" w:eastAsia="Arial" w:hAnsi="Arial"/>
          <w:sz w:val="16"/>
          <w:szCs w:val="16"/>
          <w:color w:val="auto"/>
        </w:rPr>
        <w:t>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agreements or commercial paper program) in the amounts above. For additional information regarding our debt obligations, see Note 11 to our Consolidated Financial Statements.</w:t>
      </w:r>
    </w:p>
    <w:p>
      <w:pPr>
        <w:spacing w:after="0" w:line="53" w:lineRule="exact"/>
        <w:rPr>
          <w:sz w:val="20"/>
          <w:szCs w:val="20"/>
          <w:color w:val="auto"/>
        </w:rPr>
      </w:pPr>
    </w:p>
    <w:p>
      <w:pPr>
        <w:ind w:right="420" w:hanging="11"/>
        <w:spacing w:after="0" w:line="342" w:lineRule="auto"/>
        <w:rPr>
          <w:sz w:val="20"/>
          <w:szCs w:val="20"/>
          <w:color w:val="auto"/>
        </w:rPr>
      </w:pPr>
      <w:r>
        <w:rPr>
          <w:rFonts w:ascii="Arial" w:cs="Arial" w:eastAsia="Arial" w:hAnsi="Arial"/>
          <w:sz w:val="16"/>
          <w:szCs w:val="16"/>
          <w:color w:val="auto"/>
        </w:rPr>
        <w:t>Includes both operating and finance leases as defined by FASB guidance. Leases are primarily for (i) railcars, (ii) land, (iii) office space, (iv) storage tanks, (v) tractor trailers and (vi) vehicles. See Note 14 to our Consolidated Financial Statements for additional information.</w:t>
      </w:r>
    </w:p>
    <w:p>
      <w:pPr>
        <w:spacing w:after="0" w:line="16" w:lineRule="exact"/>
        <w:rPr>
          <w:sz w:val="20"/>
          <w:szCs w:val="20"/>
          <w:color w:val="auto"/>
        </w:rPr>
      </w:pPr>
    </w:p>
    <w:p>
      <w:pPr>
        <w:ind w:hanging="11"/>
        <w:spacing w:after="0" w:line="254" w:lineRule="auto"/>
        <w:rPr>
          <w:sz w:val="20"/>
          <w:szCs w:val="20"/>
          <w:color w:val="auto"/>
        </w:rPr>
      </w:pPr>
      <w:r>
        <w:rPr>
          <w:rFonts w:ascii="Arial" w:cs="Arial" w:eastAsia="Arial" w:hAnsi="Arial"/>
          <w:sz w:val="18"/>
          <w:szCs w:val="18"/>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 (iv) noncancelable commitments related to our investment capital projects, including projected contributions for our share of the capital spending of our equity method investments. The storage, processing and transportation agreements include approximately $2.0 billion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87" w:lineRule="exact"/>
        <w:rPr>
          <w:sz w:val="20"/>
          <w:szCs w:val="20"/>
          <w:color w:val="auto"/>
        </w:rPr>
      </w:pPr>
    </w:p>
    <w:p>
      <w:pPr>
        <w:ind w:right="60" w:hanging="11"/>
        <w:spacing w:after="0" w:line="311" w:lineRule="auto"/>
        <w:rPr>
          <w:sz w:val="20"/>
          <w:szCs w:val="20"/>
          <w:color w:val="auto"/>
        </w:rPr>
      </w:pPr>
      <w:r>
        <w:rPr>
          <w:rFonts w:ascii="Arial" w:cs="Arial" w:eastAsia="Arial" w:hAnsi="Arial"/>
          <w:sz w:val="16"/>
          <w:szCs w:val="16"/>
          <w:color w:val="auto"/>
        </w:rPr>
        <w:t>Amounts are primarily based on estimated volumes and market prices based on average activity during December 2020.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76" w:lineRule="exact"/>
        <w:rPr>
          <w:sz w:val="20"/>
          <w:szCs w:val="20"/>
          <w:color w:val="auto"/>
        </w:rPr>
      </w:pPr>
    </w:p>
    <w:p>
      <w:pPr>
        <w:sectPr>
          <w:pgSz w:w="11900" w:h="16838" w:orient="portrait"/>
          <w:cols w:equalWidth="0" w:num="2">
            <w:col w:w="140" w:space="520"/>
            <w:col w:w="10520"/>
          </w:cols>
          <w:pgMar w:left="320" w:top="130" w:right="399" w:bottom="1440" w:gutter="0" w:footer="0" w:header="0"/>
          <w:type w:val="continuous"/>
        </w:sectPr>
      </w:pPr>
    </w:p>
    <w:p>
      <w:pPr>
        <w:ind w:right="240" w:firstLine="648"/>
        <w:spacing w:after="0" w:line="273"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In connection with supply and logistics activities, we provide certain suppliers with irrevocable standby letters of credit to</w:t>
      </w:r>
      <w:r>
        <w:rPr>
          <w:rFonts w:ascii="Arial" w:cs="Arial" w:eastAsia="Arial" w:hAnsi="Arial"/>
          <w:sz w:val="17"/>
          <w:szCs w:val="17"/>
          <w:i w:val="1"/>
          <w:iCs w:val="1"/>
          <w:color w:val="auto"/>
        </w:rPr>
        <w:t xml:space="preserve"> </w:t>
      </w:r>
      <w:r>
        <w:rPr>
          <w:rFonts w:ascii="Arial" w:cs="Arial" w:eastAsia="Arial" w:hAnsi="Arial"/>
          <w:sz w:val="17"/>
          <w:szCs w:val="17"/>
          <w:color w:val="auto"/>
        </w:rPr>
        <w:t>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2020 and 2019, we had outstanding letters of credit of approximately $129 million and $157 million,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104" w:name="page105"/>
    <w:bookmarkEnd w:id="10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52"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facilities of such entities. We may elect at any time to make additional capital contributions to any of these entities. The following table sets forth selected information regarding these entities as of December 31, 2020 (unaudited, dollars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Our</w:t>
            </w:r>
          </w:p>
        </w:tc>
        <w:tc>
          <w:tcPr>
            <w:tcW w:w="26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Total Cash</w:t>
            </w:r>
          </w:p>
        </w:tc>
        <w:tc>
          <w:tcPr>
            <w:tcW w:w="260" w:type="dxa"/>
            <w:vAlign w:val="bottom"/>
          </w:tcPr>
          <w:p>
            <w:pPr>
              <w:spacing w:after="0"/>
              <w:rPr>
                <w:sz w:val="14"/>
                <w:szCs w:val="14"/>
                <w:color w:val="auto"/>
              </w:rPr>
            </w:pP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and</w:t>
            </w:r>
          </w:p>
        </w:tc>
        <w:tc>
          <w:tcPr>
            <w:tcW w:w="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Type of Operation</w:t>
            </w:r>
          </w:p>
        </w:tc>
        <w:tc>
          <w:tcPr>
            <w:tcW w:w="13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Ownership</w:t>
            </w:r>
          </w:p>
        </w:tc>
        <w:tc>
          <w:tcPr>
            <w:tcW w:w="2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Entity</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Restricted</w:t>
            </w:r>
          </w:p>
        </w:tc>
        <w:tc>
          <w:tcPr>
            <w:tcW w:w="260" w:type="dxa"/>
            <w:vAlign w:val="bottom"/>
          </w:tcPr>
          <w:p>
            <w:pPr>
              <w:spacing w:after="0"/>
              <w:rPr>
                <w:sz w:val="11"/>
                <w:szCs w:val="11"/>
                <w:color w:val="auto"/>
              </w:rPr>
            </w:pPr>
          </w:p>
        </w:tc>
        <w:tc>
          <w:tcPr>
            <w:tcW w:w="94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Entity</w:t>
            </w:r>
          </w:p>
        </w:tc>
        <w:tc>
          <w:tcPr>
            <w:tcW w:w="0" w:type="dxa"/>
            <w:vAlign w:val="bottom"/>
          </w:tcPr>
          <w:p>
            <w:pPr>
              <w:spacing w:after="0"/>
              <w:rPr>
                <w:sz w:val="1"/>
                <w:szCs w:val="1"/>
                <w:color w:val="auto"/>
              </w:rPr>
            </w:pPr>
          </w:p>
        </w:tc>
      </w:tr>
      <w:tr>
        <w:trPr>
          <w:trHeight w:val="188"/>
        </w:trPr>
        <w:tc>
          <w:tcPr>
            <w:tcW w:w="52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26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Cash</w:t>
            </w:r>
          </w:p>
        </w:tc>
        <w:tc>
          <w:tcPr>
            <w:tcW w:w="260" w:type="dxa"/>
            <w:vAlign w:val="bottom"/>
          </w:tcPr>
          <w:p>
            <w:pPr>
              <w:spacing w:after="0"/>
              <w:rPr>
                <w:sz w:val="16"/>
                <w:szCs w:val="16"/>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24"/>
        </w:trPr>
        <w:tc>
          <w:tcPr>
            <w:tcW w:w="3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BridgeTex Pipeline Company, LLC</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ind w:right="212"/>
              <w:spacing w:after="0"/>
              <w:rPr>
                <w:sz w:val="20"/>
                <w:szCs w:val="20"/>
                <w:color w:val="auto"/>
              </w:rPr>
            </w:pPr>
            <w:r>
              <w:rPr>
                <w:rFonts w:ascii="Arial" w:cs="Arial" w:eastAsia="Arial" w:hAnsi="Arial"/>
                <w:sz w:val="18"/>
                <w:szCs w:val="18"/>
                <w:color w:val="auto"/>
                <w:w w:val="92"/>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Cactus II Pipeline LLC</w:t>
            </w:r>
          </w:p>
        </w:tc>
        <w:tc>
          <w:tcPr>
            <w:tcW w:w="300" w:type="dxa"/>
            <w:vAlign w:val="bottom"/>
          </w:tcPr>
          <w:p>
            <w:pPr>
              <w:spacing w:after="0"/>
              <w:rPr>
                <w:sz w:val="19"/>
                <w:szCs w:val="19"/>
                <w:color w:val="auto"/>
              </w:rPr>
            </w:pPr>
          </w:p>
        </w:tc>
        <w:tc>
          <w:tcPr>
            <w:tcW w:w="2220" w:type="dxa"/>
            <w:vAlign w:val="bottom"/>
            <w:gridSpan w:val="2"/>
          </w:tcPr>
          <w:p>
            <w:pPr>
              <w:jc w:val="center"/>
              <w:ind w:right="380"/>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(1)</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65%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30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Crude Oil Pipeline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Diamond Pipeline LLC</w:t>
            </w:r>
          </w:p>
        </w:tc>
        <w:tc>
          <w:tcPr>
            <w:tcW w:w="300" w:type="dxa"/>
            <w:vAlign w:val="bottom"/>
          </w:tcPr>
          <w:p>
            <w:pPr>
              <w:spacing w:after="0"/>
              <w:rPr>
                <w:sz w:val="19"/>
                <w:szCs w:val="19"/>
                <w:color w:val="auto"/>
              </w:rPr>
            </w:pPr>
          </w:p>
        </w:tc>
        <w:tc>
          <w:tcPr>
            <w:tcW w:w="2220" w:type="dxa"/>
            <w:vAlign w:val="bottom"/>
            <w:gridSpan w:val="2"/>
          </w:tcPr>
          <w:p>
            <w:pPr>
              <w:jc w:val="center"/>
              <w:ind w:right="4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(1)</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Eagle Ford Pipeline LLC</w:t>
            </w:r>
          </w:p>
        </w:tc>
        <w:tc>
          <w:tcPr>
            <w:tcW w:w="30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4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Eagle Ford Terminals Corpus Christi LLC</w:t>
            </w:r>
          </w:p>
        </w:tc>
        <w:tc>
          <w:tcPr>
            <w:tcW w:w="2520" w:type="dxa"/>
            <w:vAlign w:val="bottom"/>
            <w:gridSpan w:val="3"/>
          </w:tcPr>
          <w:p>
            <w:pPr>
              <w:jc w:val="center"/>
              <w:ind w:right="100"/>
              <w:spacing w:after="0" w:line="230" w:lineRule="exact"/>
              <w:rPr>
                <w:sz w:val="20"/>
                <w:szCs w:val="20"/>
                <w:color w:val="auto"/>
              </w:rPr>
            </w:pPr>
            <w:r>
              <w:rPr>
                <w:rFonts w:ascii="Arial" w:cs="Arial" w:eastAsia="Arial" w:hAnsi="Arial"/>
                <w:sz w:val="18"/>
                <w:szCs w:val="18"/>
                <w:color w:val="auto"/>
                <w:w w:val="89"/>
              </w:rPr>
              <w:t xml:space="preserve">Crude Oil Terminal and Dock </w:t>
            </w:r>
            <w:r>
              <w:rPr>
                <w:rFonts w:ascii="Arial" w:cs="Arial" w:eastAsia="Arial" w:hAnsi="Arial"/>
                <w:sz w:val="23"/>
                <w:szCs w:val="23"/>
                <w:color w:val="auto"/>
                <w:w w:val="89"/>
                <w:vertAlign w:val="superscript"/>
              </w:rPr>
              <w:t>(1)</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Red Oak Pipeline LLC</w:t>
            </w:r>
          </w:p>
        </w:tc>
        <w:tc>
          <w:tcPr>
            <w:tcW w:w="30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Crude Oil Pipeline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Saddlehorn Pipeline Company, LLC</w:t>
            </w:r>
          </w:p>
        </w:tc>
        <w:tc>
          <w:tcPr>
            <w:tcW w:w="300" w:type="dxa"/>
            <w:vAlign w:val="bottom"/>
          </w:tcPr>
          <w:p>
            <w:pPr>
              <w:spacing w:after="0"/>
              <w:rPr>
                <w:sz w:val="19"/>
                <w:szCs w:val="19"/>
                <w:color w:val="auto"/>
              </w:rPr>
            </w:pPr>
          </w:p>
        </w:tc>
        <w:tc>
          <w:tcPr>
            <w:tcW w:w="22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Crude Oil Pipeline</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30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4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White Cliffs Pipeline, LLC</w:t>
            </w:r>
          </w:p>
        </w:tc>
        <w:tc>
          <w:tcPr>
            <w:tcW w:w="300" w:type="dxa"/>
            <w:vAlign w:val="bottom"/>
          </w:tcPr>
          <w:p>
            <w:pPr>
              <w:spacing w:after="0"/>
              <w:rPr>
                <w:sz w:val="19"/>
                <w:szCs w:val="19"/>
                <w:color w:val="auto"/>
              </w:rPr>
            </w:pPr>
          </w:p>
        </w:tc>
        <w:tc>
          <w:tcPr>
            <w:tcW w:w="22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Crude Oil Pipeline</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36%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30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Crude Oil Pipeline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Other investments</w:t>
            </w: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1"/>
        </w:trPr>
        <w:tc>
          <w:tcPr>
            <w:tcW w:w="5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2"/>
                <w:szCs w:val="12"/>
                <w:color w:val="auto"/>
              </w:rPr>
              <w:t>(1)</w:t>
            </w:r>
          </w:p>
        </w:tc>
        <w:tc>
          <w:tcPr>
            <w:tcW w:w="3060" w:type="dxa"/>
            <w:vAlign w:val="bottom"/>
            <w:gridSpan w:val="2"/>
            <w:vMerge w:val="restart"/>
          </w:tcPr>
          <w:p>
            <w:pPr>
              <w:ind w:left="120"/>
              <w:spacing w:after="0"/>
              <w:rPr>
                <w:sz w:val="20"/>
                <w:szCs w:val="20"/>
                <w:color w:val="auto"/>
              </w:rPr>
            </w:pPr>
            <w:r>
              <w:rPr>
                <w:rFonts w:ascii="Arial" w:cs="Arial" w:eastAsia="Arial" w:hAnsi="Arial"/>
                <w:sz w:val="18"/>
                <w:szCs w:val="18"/>
                <w:color w:val="auto"/>
              </w:rPr>
              <w:t>We serve as operator of the asset.</w:t>
            </w: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30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5" w:name="page106"/>
    <w:bookmarkEnd w:id="10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The board of directors of PAGP GP, acting through the Audit Committee, retains a general oversight role with respect to the management of these risks while management is directly responsible for our risk management activities. The Audit Committee has authorized the formation of a Risk Management Committee composed of senior members of management that oversees and works with our risk management function to ensure that we are in compliance with our risk policies and procedures and that we maintain related controls around commercial activities and certain aspects of corporate risk management. Our Risk Management Committee also approves all new risk management strategies through a formal process. The following discussion addresses each category of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117"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3"/>
          <w:szCs w:val="13"/>
          <w:i w:val="1"/>
          <w:iCs w:val="1"/>
          <w:color w:val="auto"/>
        </w:rPr>
      </w:pPr>
      <w:r>
        <w:rPr>
          <w:rFonts w:ascii="Arial" w:cs="Arial" w:eastAsia="Arial" w:hAnsi="Arial"/>
          <w:sz w:val="18"/>
          <w:szCs w:val="18"/>
          <w:i w:val="1"/>
          <w:iCs w:val="1"/>
          <w:u w:val="single" w:color="auto"/>
          <w:color w:val="auto"/>
        </w:rPr>
        <w:t>Crude oil</w:t>
      </w:r>
    </w:p>
    <w:p>
      <w:pPr>
        <w:spacing w:after="0" w:line="117" w:lineRule="exact"/>
        <w:rPr>
          <w:rFonts w:ascii="Arial" w:cs="Arial" w:eastAsia="Arial" w:hAnsi="Arial"/>
          <w:sz w:val="13"/>
          <w:szCs w:val="13"/>
          <w:i w:val="1"/>
          <w:iCs w:val="1"/>
          <w:color w:val="auto"/>
        </w:rPr>
      </w:pPr>
    </w:p>
    <w:p>
      <w:pPr>
        <w:ind w:left="980" w:right="300"/>
        <w:spacing w:after="0" w:line="263" w:lineRule="auto"/>
        <w:rPr>
          <w:rFonts w:ascii="Arial" w:cs="Arial" w:eastAsia="Arial" w:hAnsi="Arial"/>
          <w:sz w:val="13"/>
          <w:szCs w:val="13"/>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basis differentials. We manage these exposures with various instruments including futures, forwards, swaps and options.</w:t>
      </w:r>
    </w:p>
    <w:p>
      <w:pPr>
        <w:spacing w:after="0" w:line="75" w:lineRule="exact"/>
        <w:rPr>
          <w:rFonts w:ascii="Arial" w:cs="Arial" w:eastAsia="Arial" w:hAnsi="Arial"/>
          <w:sz w:val="13"/>
          <w:szCs w:val="13"/>
          <w:i w:val="1"/>
          <w:iCs w:val="1"/>
          <w:color w:val="auto"/>
        </w:rPr>
      </w:pPr>
    </w:p>
    <w:p>
      <w:pPr>
        <w:ind w:left="980" w:hanging="324"/>
        <w:spacing w:after="0"/>
        <w:tabs>
          <w:tab w:leader="none" w:pos="980" w:val="left"/>
        </w:tabs>
        <w:numPr>
          <w:ilvl w:val="0"/>
          <w:numId w:val="69"/>
        </w:numPr>
        <w:rPr>
          <w:rFonts w:ascii="Arial" w:cs="Arial" w:eastAsia="Arial" w:hAnsi="Arial"/>
          <w:sz w:val="13"/>
          <w:szCs w:val="13"/>
          <w:color w:val="auto"/>
        </w:rPr>
      </w:pPr>
      <w:r>
        <w:rPr>
          <w:rFonts w:ascii="Arial" w:cs="Arial" w:eastAsia="Arial" w:hAnsi="Arial"/>
          <w:sz w:val="18"/>
          <w:szCs w:val="18"/>
          <w:i w:val="1"/>
          <w:iCs w:val="1"/>
          <w:u w:val="single" w:color="auto"/>
          <w:color w:val="auto"/>
        </w:rPr>
        <w:t>Natural gas</w:t>
      </w:r>
    </w:p>
    <w:p>
      <w:pPr>
        <w:spacing w:after="0" w:line="117" w:lineRule="exact"/>
        <w:rPr>
          <w:rFonts w:ascii="Arial" w:cs="Arial" w:eastAsia="Arial" w:hAnsi="Arial"/>
          <w:sz w:val="13"/>
          <w:szCs w:val="13"/>
          <w:color w:val="auto"/>
        </w:rPr>
      </w:pPr>
    </w:p>
    <w:p>
      <w:pPr>
        <w:ind w:left="980" w:right="80"/>
        <w:spacing w:after="0" w:line="263" w:lineRule="auto"/>
        <w:rPr>
          <w:rFonts w:ascii="Arial" w:cs="Arial" w:eastAsia="Arial" w:hAnsi="Arial"/>
          <w:sz w:val="13"/>
          <w:szCs w:val="13"/>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75" w:lineRule="exact"/>
        <w:rPr>
          <w:rFonts w:ascii="Arial" w:cs="Arial" w:eastAsia="Arial" w:hAnsi="Arial"/>
          <w:sz w:val="13"/>
          <w:szCs w:val="13"/>
          <w:color w:val="auto"/>
        </w:rPr>
      </w:pPr>
    </w:p>
    <w:p>
      <w:pPr>
        <w:ind w:left="980" w:hanging="324"/>
        <w:spacing w:after="0"/>
        <w:tabs>
          <w:tab w:leader="none" w:pos="980" w:val="left"/>
        </w:tabs>
        <w:numPr>
          <w:ilvl w:val="0"/>
          <w:numId w:val="69"/>
        </w:numPr>
        <w:rPr>
          <w:rFonts w:ascii="Arial" w:cs="Arial" w:eastAsia="Arial" w:hAnsi="Arial"/>
          <w:sz w:val="13"/>
          <w:szCs w:val="13"/>
          <w:color w:val="auto"/>
        </w:rPr>
      </w:pPr>
      <w:r>
        <w:rPr>
          <w:rFonts w:ascii="Arial" w:cs="Arial" w:eastAsia="Arial" w:hAnsi="Arial"/>
          <w:sz w:val="18"/>
          <w:szCs w:val="18"/>
          <w:i w:val="1"/>
          <w:iCs w:val="1"/>
          <w:u w:val="single" w:color="auto"/>
          <w:color w:val="auto"/>
        </w:rPr>
        <w:t>NGL and other</w:t>
      </w:r>
    </w:p>
    <w:p>
      <w:pPr>
        <w:spacing w:after="0" w:line="117" w:lineRule="exact"/>
        <w:rPr>
          <w:rFonts w:ascii="Arial" w:cs="Arial" w:eastAsia="Arial" w:hAnsi="Arial"/>
          <w:sz w:val="13"/>
          <w:szCs w:val="13"/>
          <w:color w:val="auto"/>
        </w:rPr>
      </w:pPr>
    </w:p>
    <w:p>
      <w:pPr>
        <w:ind w:left="980" w:right="280"/>
        <w:spacing w:after="0" w:line="263" w:lineRule="auto"/>
        <w:rPr>
          <w:rFonts w:ascii="Arial" w:cs="Arial" w:eastAsia="Arial" w:hAnsi="Arial"/>
          <w:sz w:val="13"/>
          <w:szCs w:val="13"/>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 to our Consolidated Financial Statements for further discussion regarding our hedging strategies and objectives.</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2020 that would be expected from a 10% price increase or decrease is shown in the table below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6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2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6" w:name="page107"/>
    <w:bookmarkEnd w:id="10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December 31, 2020, approximately $914 million, was subject to interest rate re-sets that generally range from one day to approximately one month. The average interest rate on variable rate debt that was outstanding during the year ended December 31, 2020 was 1.4%, based upon rates in effect during the year. The fair value of our interest rate derivatives was an asset of $46 million as of December 31, 2020. A 10% increase in the forward LIBOR curve as of December 31, 2020 would have resulted in an increase of $15 million to the fair value of our interest rate derivatives. A 10% decrease in the forward LIBOR curve as of December 31, 2020 would have resulted in a decrease of $15 million to the fair value of our interest rate derivatives. See Note 13 to our Consolidated Financial Statements for a discussion of our interest rate risk hedging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an asset of $2 million as of December 31, 2020. A 10% increase in the exchange rate (USD-to-CAD) would have resulted in a decrease of $3 million to the fair value of our foreign currency derivatives. A 10% decrease in the exchange rate (USD-to-CAD) would have resulted in an increase of $3 million to the fair value of our foreign currency derivatives. See Note 13 to our Consolidated Financial Statements for a discussion of our currency exchange rate risk hedging.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Preferred Distribution Rate Reset Option of our Series A preferred units is an embedded derivative that must be bifurcated from the related host contract, our partnership agreement, and recorded at fair value in our Consolidated Balance Sheets. The valuation model utilized for this embedded derivative contains inputs including our common unit price, ten-year United States treasury rates, default probabilities and timing estimates to ultimately calculate the fair value of our Series A preferred units with and without the Preferred Distribution Rate Reset Option. The fair value of this embedded derivative was a liability of $14 million as of December 31, 2020. A 10% increase or decrease in the fair value would have an impact of $1 million. See Note 13 to our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9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2020, the end of the period covered by this report, and, based on such evaluation, our Chief Executive Officer and Chief Financial Officer have concluded that our DCP is effective.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07" w:name="page108"/>
    <w:bookmarkEnd w:id="10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2020. See “Management’s Report on Internal Control Over Financial Reporting” on page F-2 of our Consolidated Financial Statements.</w:t>
      </w:r>
    </w:p>
    <w:p>
      <w:pPr>
        <w:spacing w:after="0" w:line="20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independent registered public accounting firm, PricewaterhouseCoopers LLP, assessed the effectiveness of our internal control over financial reporting, as stated in the firm’s report. See “</w:t>
      </w:r>
      <w:r>
        <w:rPr>
          <w:rFonts w:ascii="Arial" w:cs="Arial" w:eastAsia="Arial" w:hAnsi="Arial"/>
          <w:sz w:val="17"/>
          <w:szCs w:val="17"/>
          <w:color w:val="auto"/>
        </w:rPr>
        <w:t>Report of Independent Registered Public Accounting Firm</w:t>
      </w:r>
      <w:r>
        <w:rPr>
          <w:rFonts w:ascii="Arial" w:cs="Arial" w:eastAsia="Arial" w:hAnsi="Arial"/>
          <w:sz w:val="18"/>
          <w:szCs w:val="18"/>
          <w:color w:val="auto"/>
        </w:rPr>
        <w:t>” on page F-3 of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2020 that have materially affected, or are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2020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08" w:name="page109"/>
    <w:bookmarkEnd w:id="108"/>
    <w:p>
      <w:pPr>
        <w:ind w:left="73"/>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ind w:left="73"/>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92"/>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189" w:lineRule="exact"/>
        <w:rPr>
          <w:sz w:val="20"/>
          <w:szCs w:val="20"/>
          <w:color w:val="auto"/>
        </w:rPr>
      </w:pPr>
    </w:p>
    <w:p>
      <w:pPr>
        <w:ind w:left="73" w:right="3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2021 Annual Meeting, which will be filed with the SEC within 120 days after the end of the fiscal year ended December 31, 2020, and is incorporated herein by reference thereto.</w:t>
      </w:r>
    </w:p>
    <w:p>
      <w:pPr>
        <w:spacing w:after="0" w:line="139"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733"/>
        <w:spacing w:after="0"/>
        <w:rPr>
          <w:sz w:val="20"/>
          <w:szCs w:val="20"/>
          <w:color w:val="auto"/>
        </w:rPr>
      </w:pPr>
      <w:r>
        <w:rPr>
          <w:rFonts w:ascii="Arial" w:cs="Arial" w:eastAsia="Arial" w:hAnsi="Arial"/>
          <w:sz w:val="18"/>
          <w:szCs w:val="18"/>
          <w:color w:val="auto"/>
        </w:rPr>
        <w:t>As of the date of filing this report, the following individuals were serving as our executive officers and/or directors:</w:t>
      </w:r>
    </w:p>
    <w:p>
      <w:pPr>
        <w:spacing w:after="0" w:line="217" w:lineRule="exact"/>
        <w:rPr>
          <w:sz w:val="20"/>
          <w:szCs w:val="20"/>
          <w:color w:val="auto"/>
        </w:rPr>
      </w:pPr>
    </w:p>
    <w:tbl>
      <w:tblPr>
        <w:tblLayout w:type="fixed"/>
        <w:tblInd w:w="113" w:type="dxa"/>
        <w:tblCellMar>
          <w:top w:w="0" w:type="dxa"/>
          <w:left w:w="0" w:type="dxa"/>
          <w:bottom w:w="0" w:type="dxa"/>
          <w:right w:w="0" w:type="dxa"/>
        </w:tblCellMar>
      </w:tblPr>
      <w:tr>
        <w:trPr>
          <w:trHeight w:val="192"/>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580" w:type="dxa"/>
            <w:vAlign w:val="bottom"/>
          </w:tcPr>
          <w:p>
            <w:pPr>
              <w:ind w:left="20"/>
              <w:spacing w:after="0"/>
              <w:rPr>
                <w:sz w:val="20"/>
                <w:szCs w:val="20"/>
                <w:color w:val="auto"/>
              </w:rPr>
            </w:pPr>
            <w:r>
              <w:rPr>
                <w:rFonts w:ascii="Arial" w:cs="Arial" w:eastAsia="Arial" w:hAnsi="Arial"/>
                <w:sz w:val="14"/>
                <w:szCs w:val="14"/>
                <w:b w:val="1"/>
                <w:bCs w:val="1"/>
                <w:color w:val="auto"/>
              </w:rPr>
              <w:t>Principal Occupation or Employment</w:t>
            </w:r>
          </w:p>
        </w:tc>
      </w:tr>
      <w:tr>
        <w:trPr>
          <w:trHeight w:val="229"/>
        </w:trPr>
        <w:tc>
          <w:tcPr>
            <w:tcW w:w="2500" w:type="dxa"/>
            <w:vAlign w:val="bottom"/>
            <w:tcBorders>
              <w:top w:val="single" w:sz="8" w:color="auto"/>
            </w:tcBorders>
            <w:shd w:val="clear" w:color="auto" w:fill="CCEEFF"/>
          </w:tcPr>
          <w:p>
            <w:pPr>
              <w:spacing w:after="0" w:line="229" w:lineRule="exact"/>
              <w:rPr>
                <w:sz w:val="20"/>
                <w:szCs w:val="20"/>
                <w:color w:val="auto"/>
              </w:rPr>
            </w:pPr>
            <w:r>
              <w:rPr>
                <w:rFonts w:ascii="Arial" w:cs="Arial" w:eastAsia="Arial" w:hAnsi="Arial"/>
                <w:sz w:val="18"/>
                <w:szCs w:val="18"/>
                <w:color w:val="auto"/>
              </w:rPr>
              <w:t xml:space="preserve">Willie Chiang </w:t>
            </w:r>
            <w:r>
              <w:rPr>
                <w:rFonts w:ascii="Arial" w:cs="Arial" w:eastAsia="Arial" w:hAnsi="Arial"/>
                <w:sz w:val="23"/>
                <w:szCs w:val="23"/>
                <w:color w:val="auto"/>
                <w:vertAlign w:val="superscript"/>
              </w:rPr>
              <w:t>(1)(2)</w:t>
            </w:r>
          </w:p>
        </w:tc>
        <w:tc>
          <w:tcPr>
            <w:tcW w:w="100" w:type="dxa"/>
            <w:vAlign w:val="bottom"/>
            <w:tcBorders>
              <w:top w:val="single" w:sz="8" w:color="CCEEFF"/>
            </w:tcBorders>
            <w:shd w:val="clear" w:color="auto" w:fill="CCEEFF"/>
          </w:tcPr>
          <w:p>
            <w:pPr>
              <w:spacing w:after="0"/>
              <w:rPr>
                <w:sz w:val="19"/>
                <w:szCs w:val="19"/>
                <w:color w:val="auto"/>
              </w:rPr>
            </w:pPr>
          </w:p>
        </w:tc>
        <w:tc>
          <w:tcPr>
            <w:tcW w:w="8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Harry N. Pefanis </w:t>
            </w:r>
            <w:r>
              <w:rPr>
                <w:rFonts w:ascii="Arial" w:cs="Arial" w:eastAsia="Arial" w:hAnsi="Arial"/>
                <w:sz w:val="23"/>
                <w:szCs w:val="23"/>
                <w:color w:val="auto"/>
                <w:vertAlign w:val="superscript"/>
              </w:rPr>
              <w:t>(1)(2)</w:t>
            </w:r>
          </w:p>
        </w:tc>
        <w:tc>
          <w:tcPr>
            <w:tcW w:w="8580" w:type="dxa"/>
            <w:vAlign w:val="bottom"/>
          </w:tcPr>
          <w:p>
            <w:pPr>
              <w:ind w:left="20"/>
              <w:spacing w:after="0"/>
              <w:rPr>
                <w:sz w:val="20"/>
                <w:szCs w:val="20"/>
                <w:color w:val="auto"/>
              </w:rPr>
            </w:pPr>
            <w:r>
              <w:rPr>
                <w:rFonts w:ascii="Arial" w:cs="Arial" w:eastAsia="Arial" w:hAnsi="Arial"/>
                <w:sz w:val="18"/>
                <w:szCs w:val="18"/>
                <w:color w:val="auto"/>
              </w:rPr>
              <w:t>President and Chief Commercial Officer</w:t>
            </w:r>
          </w:p>
        </w:tc>
      </w:tr>
      <w:tr>
        <w:trPr>
          <w:trHeight w:val="230"/>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Chris R. Chandler </w:t>
            </w:r>
            <w:r>
              <w:rPr>
                <w:rFonts w:ascii="Arial" w:cs="Arial" w:eastAsia="Arial" w:hAnsi="Arial"/>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Al Swanson </w:t>
            </w:r>
            <w:r>
              <w:rPr>
                <w:rFonts w:ascii="Arial" w:cs="Arial" w:eastAsia="Arial" w:hAnsi="Arial"/>
                <w:sz w:val="23"/>
                <w:szCs w:val="23"/>
                <w:color w:val="auto"/>
                <w:vertAlign w:val="superscript"/>
              </w:rPr>
              <w:t>(1)</w:t>
            </w:r>
          </w:p>
        </w:tc>
        <w:tc>
          <w:tcPr>
            <w:tcW w:w="85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Jeremy L. Goebel </w:t>
            </w:r>
            <w:r>
              <w:rPr>
                <w:rFonts w:ascii="Arial" w:cs="Arial" w:eastAsia="Arial" w:hAnsi="Arial"/>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 Commercial</w:t>
            </w:r>
          </w:p>
        </w:tc>
      </w:tr>
      <w:tr>
        <w:trPr>
          <w:trHeight w:val="230"/>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Richard K. McGee </w:t>
            </w:r>
            <w:r>
              <w:rPr>
                <w:rFonts w:ascii="Arial" w:cs="Arial" w:eastAsia="Arial" w:hAnsi="Arial"/>
                <w:sz w:val="23"/>
                <w:szCs w:val="23"/>
                <w:color w:val="auto"/>
                <w:vertAlign w:val="superscript"/>
              </w:rPr>
              <w:t>(1)</w:t>
            </w:r>
          </w:p>
        </w:tc>
        <w:tc>
          <w:tcPr>
            <w:tcW w:w="858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29"/>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Chris Herbold </w:t>
            </w:r>
            <w:r>
              <w:rPr>
                <w:rFonts w:ascii="Arial" w:cs="Arial" w:eastAsia="Arial" w:hAnsi="Arial"/>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Greg L. Armstrong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Senior Advisor to the Chief Executive Officer (former Chairman and Chief Executive Officer)</w:t>
            </w:r>
          </w:p>
        </w:tc>
      </w:tr>
      <w:tr>
        <w:trPr>
          <w:trHeight w:val="230"/>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Victor Burk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Managing Director, Alvarez and Marsal</w:t>
            </w: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Kevin McCarthy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Vice Chairman, Kayne Anderson Capital Advisors, L.P.</w:t>
            </w:r>
          </w:p>
        </w:tc>
      </w:tr>
      <w:tr>
        <w:trPr>
          <w:trHeight w:val="230"/>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Gary R. Petersen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Managing Partner, EnCap Investments L.P.</w:t>
            </w: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Alexandra D. Pruner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Senior Advisor, Perella Weinberg Partners</w:t>
            </w:r>
          </w:p>
        </w:tc>
      </w:tr>
      <w:tr>
        <w:trPr>
          <w:trHeight w:val="229"/>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John T. Raymond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Managing Partner and Chief Executive Officer, The Energy &amp; Minerals Group</w:t>
            </w:r>
          </w:p>
        </w:tc>
      </w:tr>
      <w:tr>
        <w:trPr>
          <w:trHeight w:val="230"/>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Bobby S. Shackouls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Former Chairman and CEO, Burlington Resources Inc.</w:t>
            </w:r>
          </w:p>
        </w:tc>
      </w:tr>
      <w:tr>
        <w:trPr>
          <w:trHeight w:val="230"/>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Christopher M. Temple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DelTex Capital LLC</w:t>
            </w:r>
          </w:p>
        </w:tc>
      </w:tr>
      <w:tr>
        <w:trPr>
          <w:trHeight w:val="312"/>
        </w:trPr>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Lawrence M. Ziemba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222250</wp:posOffset>
            </wp:positionV>
            <wp:extent cx="22885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53" w:hanging="353"/>
        <w:spacing w:after="0"/>
        <w:tabs>
          <w:tab w:leader="none" w:pos="353"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Executive officer (for purposes of Item 401(b) of Regulation S-K)</w:t>
      </w:r>
    </w:p>
    <w:p>
      <w:pPr>
        <w:spacing w:after="0" w:line="1" w:lineRule="exact"/>
        <w:rPr>
          <w:rFonts w:ascii="Arial" w:cs="Arial" w:eastAsia="Arial" w:hAnsi="Arial"/>
          <w:sz w:val="23"/>
          <w:szCs w:val="23"/>
          <w:color w:val="auto"/>
          <w:vertAlign w:val="superscript"/>
        </w:rPr>
      </w:pPr>
    </w:p>
    <w:p>
      <w:pPr>
        <w:ind w:left="353" w:hanging="353"/>
        <w:spacing w:after="0" w:line="194" w:lineRule="auto"/>
        <w:tabs>
          <w:tab w:leader="none" w:pos="353"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Director</w:t>
      </w:r>
    </w:p>
    <w:p>
      <w:pPr>
        <w:spacing w:after="0" w:line="229" w:lineRule="exact"/>
        <w:rPr>
          <w:sz w:val="20"/>
          <w:szCs w:val="20"/>
          <w:color w:val="auto"/>
        </w:rPr>
      </w:pPr>
    </w:p>
    <w:p>
      <w:pPr>
        <w:ind w:left="73" w:right="400" w:firstLine="648"/>
        <w:spacing w:after="0" w:line="277" w:lineRule="auto"/>
        <w:rPr>
          <w:sz w:val="20"/>
          <w:szCs w:val="20"/>
          <w:color w:val="auto"/>
        </w:rPr>
      </w:pPr>
      <w:r>
        <w:rPr>
          <w:rFonts w:ascii="Arial" w:cs="Arial" w:eastAsia="Arial" w:hAnsi="Arial"/>
          <w:sz w:val="18"/>
          <w:szCs w:val="18"/>
          <w:color w:val="auto"/>
        </w:rPr>
        <w:t xml:space="preserve">A complete list of our officers, including the executive officers listed above, is available on our website at </w:t>
      </w:r>
      <w:r>
        <w:rPr>
          <w:rFonts w:ascii="Arial" w:cs="Arial" w:eastAsia="Arial" w:hAnsi="Arial"/>
          <w:sz w:val="18"/>
          <w:szCs w:val="18"/>
          <w:i w:val="1"/>
          <w:iCs w:val="1"/>
          <w:color w:val="auto"/>
        </w:rPr>
        <w:t>www.plainsallamerican.com</w:t>
      </w:r>
      <w:r>
        <w:rPr>
          <w:rFonts w:ascii="Arial" w:cs="Arial" w:eastAsia="Arial" w:hAnsi="Arial"/>
          <w:sz w:val="18"/>
          <w:szCs w:val="18"/>
          <w:color w:val="auto"/>
        </w:rPr>
        <w:t xml:space="preserve"> under About Us—Leadership.</w:t>
      </w:r>
    </w:p>
    <w:p>
      <w:pPr>
        <w:spacing w:after="0" w:line="193"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02" w:lineRule="exact"/>
        <w:rPr>
          <w:sz w:val="20"/>
          <w:szCs w:val="20"/>
          <w:color w:val="auto"/>
        </w:rPr>
      </w:pPr>
    </w:p>
    <w:p>
      <w:pPr>
        <w:ind w:left="73" w:right="3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2021 Annual Meeting, which will be filed with the SEC within 120 days after the end of the fiscal year ended December 31, 2020, and is incorporated herein by reference thereto.</w:t>
      </w:r>
    </w:p>
    <w:p>
      <w:pPr>
        <w:spacing w:after="0" w:line="193"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Unitholder Matters</w:t>
      </w:r>
    </w:p>
    <w:p>
      <w:pPr>
        <w:spacing w:after="0" w:line="189" w:lineRule="exact"/>
        <w:rPr>
          <w:sz w:val="20"/>
          <w:szCs w:val="20"/>
          <w:color w:val="auto"/>
        </w:rPr>
      </w:pPr>
    </w:p>
    <w:p>
      <w:pPr>
        <w:ind w:left="73" w:right="3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2021 Annual Meeting, which will be filed with the SEC within 120 days after the end of the fiscal year ended December 31, 2020,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93"/>
          </w:cols>
          <w:pgMar w:left="247" w:top="130" w:right="359" w:bottom="1440" w:gutter="0" w:footer="0" w:header="0"/>
        </w:sectPr>
      </w:pPr>
    </w:p>
    <w:bookmarkStart w:id="109" w:name="page110"/>
    <w:bookmarkEnd w:id="10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2021 Annual Meeting, which will be filed with the SEC within 120 days after the end of the fiscal year ended December 31, 2020,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2021 Annual Meeting, which will be filed with the SEC within 120 days after the end of the fiscal year ended December 31, 2020,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30" w:right="71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52" w:lineRule="exact"/>
        <w:rPr>
          <w:sz w:val="20"/>
          <w:szCs w:val="20"/>
          <w:color w:val="auto"/>
        </w:rPr>
      </w:pPr>
    </w:p>
    <w:p>
      <w:pPr>
        <w:ind w:left="580" w:hanging="248"/>
        <w:spacing w:after="0"/>
        <w:tabs>
          <w:tab w:leader="none" w:pos="5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set forth on Page F-1.</w:t>
      </w:r>
    </w:p>
    <w:p>
      <w:pPr>
        <w:spacing w:after="0" w:line="252" w:lineRule="exact"/>
        <w:rPr>
          <w:sz w:val="20"/>
          <w:szCs w:val="20"/>
          <w:color w:val="auto"/>
        </w:rPr>
      </w:pPr>
    </w:p>
    <w:p>
      <w:pPr>
        <w:ind w:left="1040" w:hanging="384"/>
        <w:spacing w:after="0"/>
        <w:tabs>
          <w:tab w:leader="none" w:pos="1040" w:val="left"/>
        </w:tabs>
        <w:numPr>
          <w:ilvl w:val="0"/>
          <w:numId w:val="72"/>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97" w:lineRule="exact"/>
        <w:rPr>
          <w:sz w:val="20"/>
          <w:szCs w:val="20"/>
          <w:color w:val="auto"/>
        </w:rPr>
      </w:pPr>
    </w:p>
    <w:p>
      <w:pPr>
        <w:ind w:left="1040" w:hanging="384"/>
        <w:spacing w:after="0"/>
        <w:tabs>
          <w:tab w:leader="none" w:pos="1040" w:val="left"/>
        </w:tabs>
        <w:numPr>
          <w:ilvl w:val="0"/>
          <w:numId w:val="73"/>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gridSpan w:val="19"/>
          </w:tcPr>
          <w:p>
            <w:pPr>
              <w:ind w:left="28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Arial" w:cs="Arial" w:eastAsia="Arial" w:hAnsi="Arial"/>
                <w:sz w:val="18"/>
                <w:szCs w:val="18"/>
                <w:color w:val="auto"/>
              </w:rPr>
              <w:t>2.1*</w:t>
            </w: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2"/>
          </w:tcPr>
          <w:p>
            <w:pPr>
              <w:spacing w:after="0" w:line="182" w:lineRule="exact"/>
              <w:rPr>
                <w:rFonts w:ascii="Arial" w:cs="Arial" w:eastAsia="Arial" w:hAnsi="Arial"/>
                <w:sz w:val="18"/>
                <w:szCs w:val="18"/>
                <w:color w:val="0000FF"/>
                <w:w w:val="93"/>
              </w:rPr>
            </w:pPr>
            <w:hyperlink r:id="rId153">
              <w:r>
                <w:rPr>
                  <w:rFonts w:ascii="Arial" w:cs="Arial" w:eastAsia="Arial" w:hAnsi="Arial"/>
                  <w:sz w:val="18"/>
                  <w:szCs w:val="18"/>
                  <w:color w:val="0000FF"/>
                  <w:w w:val="93"/>
                </w:rPr>
                <w:t>Simplification Agreement dated as of July 11, 2016, by and among PAA GP Holdings LLC, Plains GP Holdings, L.P., Plains All</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American GP LLC, Plains AAP, L.P., PAA GP LLC and Plains All American Pipeline, L.P.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bottom w:val="single" w:sz="8" w:color="0000FF"/>
            </w:tcBorders>
            <w:gridSpan w:val="4"/>
          </w:tcPr>
          <w:p>
            <w:pPr>
              <w:spacing w:after="0" w:line="156"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2.</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to our Current Report on Form 8-K filed July 14, 2016).</w:t>
              </w:r>
            </w:hyperlink>
          </w:p>
        </w:tc>
        <w:tc>
          <w:tcPr>
            <w:tcW w:w="500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2.2*</w:t>
            </w:r>
          </w:p>
        </w:tc>
        <w:tc>
          <w:tcPr>
            <w:tcW w:w="56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w w:val="90"/>
              </w:rPr>
            </w:pPr>
            <w:hyperlink r:id="rId154">
              <w:r>
                <w:rPr>
                  <w:rFonts w:ascii="Arial" w:cs="Arial" w:eastAsia="Arial" w:hAnsi="Arial"/>
                  <w:sz w:val="18"/>
                  <w:szCs w:val="18"/>
                  <w:color w:val="0000FF"/>
                  <w:w w:val="90"/>
                </w:rPr>
                <w:t>Securities Purchase Agreement dated as of January 19, 2017 by and between COG Operating LLC, as seller, and Plains Pipeline,</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8"/>
          </w:tcPr>
          <w:p>
            <w:pPr>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L.P., as purchaser (the schedules and exhibits have been omitted pursuant to Item 601(b)(2) of Regulation S-K) (incorporated by</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reference to Exhibit 2.1 to our Quarterly Report on Form 10-Q for the quarter ended March 31, 2017).</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9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2.3*</w:t>
            </w:r>
          </w:p>
        </w:tc>
        <w:tc>
          <w:tcPr>
            <w:tcW w:w="56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w w:val="92"/>
              </w:rPr>
            </w:pPr>
            <w:hyperlink r:id="rId155">
              <w:r>
                <w:rPr>
                  <w:rFonts w:ascii="Arial" w:cs="Arial" w:eastAsia="Arial" w:hAnsi="Arial"/>
                  <w:sz w:val="18"/>
                  <w:szCs w:val="18"/>
                  <w:color w:val="0000FF"/>
                  <w:w w:val="92"/>
                </w:rPr>
                <w:t>Securities Purchase Agreement dated as of January 19, 2017 by and between Frontier Midstream Solutions, LLC, as seller, and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Plains Pipeline, L.P., as purchaser (the schedules and exhibits have been omitted pursuant to Item 601(b)(2) of Regulation S-K)</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80" w:type="dxa"/>
            <w:vAlign w:val="bottom"/>
            <w:gridSpan w:val="14"/>
          </w:tcPr>
          <w:p>
            <w:pPr>
              <w:spacing w:after="0"/>
              <w:rPr>
                <w:rFonts w:ascii="Arial" w:cs="Arial" w:eastAsia="Arial" w:hAnsi="Arial"/>
                <w:sz w:val="18"/>
                <w:szCs w:val="18"/>
                <w:u w:val="single" w:color="auto"/>
                <w:color w:val="0000FF"/>
                <w:w w:val="97"/>
              </w:rPr>
            </w:pPr>
            <w:hyperlink r:id="rId155">
              <w:r>
                <w:rPr>
                  <w:rFonts w:ascii="Arial" w:cs="Arial" w:eastAsia="Arial" w:hAnsi="Arial"/>
                  <w:sz w:val="18"/>
                  <w:szCs w:val="18"/>
                  <w:u w:val="single" w:color="auto"/>
                  <w:color w:val="0000FF"/>
                  <w:w w:val="97"/>
                </w:rPr>
                <w:t>(incorporated by reference to Exhibit 2.2 to our Quarterly Report on Form 10-Q for the quarter ended March 31, 2017).</w:t>
              </w:r>
            </w:hyperlink>
          </w:p>
        </w:tc>
        <w:tc>
          <w:tcPr>
            <w:tcW w:w="8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180" w:type="dxa"/>
            <w:vAlign w:val="bottom"/>
          </w:tcPr>
          <w:p>
            <w:pPr>
              <w:ind w:left="20"/>
              <w:spacing w:after="0"/>
              <w:rPr>
                <w:sz w:val="20"/>
                <w:szCs w:val="20"/>
                <w:color w:val="auto"/>
              </w:rPr>
            </w:pPr>
            <w:r>
              <w:rPr>
                <w:rFonts w:ascii="Arial" w:cs="Arial" w:eastAsia="Arial" w:hAnsi="Arial"/>
                <w:sz w:val="18"/>
                <w:szCs w:val="18"/>
                <w:color w:val="auto"/>
              </w:rPr>
              <w:t>3.1</w:t>
            </w:r>
          </w:p>
        </w:tc>
        <w:tc>
          <w:tcPr>
            <w:tcW w:w="56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440" w:type="dxa"/>
            <w:vAlign w:val="bottom"/>
            <w:gridSpan w:val="22"/>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Seventh Amended and Restated Agreement of Limited Partnership of Plains All American Pipeline, L.P. dated as of October 10,</w:t>
              </w:r>
            </w:hyperlink>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6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2017 (incorporated by reference to Exhibit 3.1 to our Current Report on Form 8-K filed October 12, 2017).</w:t>
              </w:r>
            </w:hyperlink>
          </w:p>
        </w:tc>
        <w:tc>
          <w:tcPr>
            <w:tcW w:w="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56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440" w:type="dxa"/>
            <w:vAlign w:val="bottom"/>
            <w:gridSpan w:val="22"/>
          </w:tcPr>
          <w:p>
            <w:pPr>
              <w:spacing w:after="0"/>
              <w:rPr>
                <w:rFonts w:ascii="Arial" w:cs="Arial" w:eastAsia="Arial" w:hAnsi="Arial"/>
                <w:sz w:val="18"/>
                <w:szCs w:val="18"/>
                <w:color w:val="0000FF"/>
                <w:w w:val="92"/>
              </w:rPr>
            </w:pPr>
            <w:hyperlink r:id="rId157">
              <w:r>
                <w:rPr>
                  <w:rFonts w:ascii="Arial" w:cs="Arial" w:eastAsia="Arial" w:hAnsi="Arial"/>
                  <w:sz w:val="18"/>
                  <w:szCs w:val="18"/>
                  <w:color w:val="0000FF"/>
                  <w:w w:val="92"/>
                </w:rPr>
                <w:t>Third Amended and Restated Agreement of Limited Partnership of Plains Marketing, L.P. dated as of April 1, 2004 (incorporated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by reference to Exhibit 3.2 to our Quarterly Report on Form 10-Q for the quarter ended March 31, 2004).</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0" w:type="dxa"/>
            <w:vAlign w:val="bottom"/>
            <w:gridSpan w:val="3"/>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80" w:type="dxa"/>
            <w:vAlign w:val="bottom"/>
          </w:tcPr>
          <w:p>
            <w:pPr>
              <w:ind w:left="20"/>
              <w:spacing w:after="0"/>
              <w:rPr>
                <w:sz w:val="20"/>
                <w:szCs w:val="20"/>
                <w:color w:val="auto"/>
              </w:rPr>
            </w:pPr>
            <w:r>
              <w:rPr>
                <w:rFonts w:ascii="Arial" w:cs="Arial" w:eastAsia="Arial" w:hAnsi="Arial"/>
                <w:sz w:val="18"/>
                <w:szCs w:val="18"/>
                <w:color w:val="auto"/>
              </w:rPr>
              <w:t>3.3</w:t>
            </w:r>
          </w:p>
        </w:tc>
        <w:tc>
          <w:tcPr>
            <w:tcW w:w="56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w w:val="94"/>
              </w:rPr>
            </w:pPr>
            <w:hyperlink r:id="rId158">
              <w:r>
                <w:rPr>
                  <w:rFonts w:ascii="Arial" w:cs="Arial" w:eastAsia="Arial" w:hAnsi="Arial"/>
                  <w:sz w:val="18"/>
                  <w:szCs w:val="18"/>
                  <w:color w:val="0000FF"/>
                  <w:w w:val="94"/>
                </w:rPr>
                <w:t>Amendment No. 1 dated December 31, 2010 to the Third Amended and Restated Agreement of Limited Partnership of Plains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2"/>
          </w:tcPr>
          <w:p>
            <w:pPr>
              <w:spacing w:after="0" w:line="156" w:lineRule="exact"/>
              <w:rPr>
                <w:rFonts w:ascii="Arial" w:cs="Arial" w:eastAsia="Arial" w:hAnsi="Arial"/>
                <w:sz w:val="18"/>
                <w:szCs w:val="18"/>
                <w:color w:val="0000FF"/>
                <w:w w:val="94"/>
              </w:rPr>
            </w:pPr>
            <w:hyperlink r:id="rId158">
              <w:r>
                <w:rPr>
                  <w:rFonts w:ascii="Arial" w:cs="Arial" w:eastAsia="Arial" w:hAnsi="Arial"/>
                  <w:sz w:val="18"/>
                  <w:szCs w:val="18"/>
                  <w:color w:val="0000FF"/>
                  <w:w w:val="94"/>
                </w:rPr>
                <w:t>Marketing, L.P. (incorporated by reference to Exhibit 3.9 to our Annual Report on Form 10-K for the year ended December 31,</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2010).</w:t>
              </w:r>
            </w:hyperlink>
          </w:p>
        </w:tc>
        <w:tc>
          <w:tcPr>
            <w:tcW w:w="6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30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3.4</w:t>
            </w:r>
          </w:p>
        </w:tc>
        <w:tc>
          <w:tcPr>
            <w:tcW w:w="56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w w:val="97"/>
              </w:rPr>
            </w:pPr>
            <w:hyperlink r:id="rId159">
              <w:r>
                <w:rPr>
                  <w:rFonts w:ascii="Arial" w:cs="Arial" w:eastAsia="Arial" w:hAnsi="Arial"/>
                  <w:sz w:val="18"/>
                  <w:szCs w:val="18"/>
                  <w:color w:val="0000FF"/>
                  <w:w w:val="97"/>
                </w:rPr>
                <w:t>Amendment No. 2 dated January 1, 2011 to the Third Amended and Restated Agreement of Limited Partnership of Plains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2"/>
          </w:tcPr>
          <w:p>
            <w:pPr>
              <w:spacing w:after="0" w:line="156" w:lineRule="exact"/>
              <w:rPr>
                <w:rFonts w:ascii="Arial" w:cs="Arial" w:eastAsia="Arial" w:hAnsi="Arial"/>
                <w:sz w:val="18"/>
                <w:szCs w:val="18"/>
                <w:color w:val="0000FF"/>
                <w:w w:val="93"/>
              </w:rPr>
            </w:pPr>
            <w:hyperlink r:id="rId159">
              <w:r>
                <w:rPr>
                  <w:rFonts w:ascii="Arial" w:cs="Arial" w:eastAsia="Arial" w:hAnsi="Arial"/>
                  <w:sz w:val="18"/>
                  <w:szCs w:val="18"/>
                  <w:color w:val="0000FF"/>
                  <w:w w:val="93"/>
                </w:rPr>
                <w:t>Marketing, L.P. (incorporated by reference to Exhibit 3.10 to our Annual Report on Form 10-K for the year ended December 31,</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2010).</w:t>
              </w:r>
            </w:hyperlink>
          </w:p>
        </w:tc>
        <w:tc>
          <w:tcPr>
            <w:tcW w:w="6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30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3.5</w:t>
            </w:r>
          </w:p>
        </w:tc>
        <w:tc>
          <w:tcPr>
            <w:tcW w:w="56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w w:val="98"/>
              </w:rPr>
            </w:pPr>
            <w:hyperlink r:id="rId160">
              <w:r>
                <w:rPr>
                  <w:rFonts w:ascii="Arial" w:cs="Arial" w:eastAsia="Arial" w:hAnsi="Arial"/>
                  <w:sz w:val="18"/>
                  <w:szCs w:val="18"/>
                  <w:color w:val="0000FF"/>
                  <w:w w:val="98"/>
                </w:rPr>
                <w:t>Amendment No. 3 dated June 30, 2011 to the Third Amended and Restated Agreement of Limited Partnership of Plains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4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2"/>
          </w:tcPr>
          <w:p>
            <w:pPr>
              <w:spacing w:after="0" w:line="156" w:lineRule="exact"/>
              <w:rPr>
                <w:rFonts w:ascii="Arial" w:cs="Arial" w:eastAsia="Arial" w:hAnsi="Arial"/>
                <w:sz w:val="18"/>
                <w:szCs w:val="18"/>
                <w:color w:val="0000FF"/>
                <w:w w:val="94"/>
              </w:rPr>
            </w:pPr>
            <w:hyperlink r:id="rId160">
              <w:r>
                <w:rPr>
                  <w:rFonts w:ascii="Arial" w:cs="Arial" w:eastAsia="Arial" w:hAnsi="Arial"/>
                  <w:sz w:val="18"/>
                  <w:szCs w:val="18"/>
                  <w:color w:val="0000FF"/>
                  <w:w w:val="94"/>
                </w:rPr>
                <w:t>Marketing, L.P. (incorporated by reference to Exhibit 3.7 to our Annual Report on Form 10-K for the year ended December 31,</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2013).</w:t>
              </w:r>
            </w:hyperlink>
          </w:p>
        </w:tc>
        <w:tc>
          <w:tcPr>
            <w:tcW w:w="6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30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3.6</w:t>
            </w:r>
          </w:p>
        </w:tc>
        <w:tc>
          <w:tcPr>
            <w:tcW w:w="56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w w:val="97"/>
              </w:rPr>
            </w:pPr>
            <w:hyperlink r:id="rId161">
              <w:r>
                <w:rPr>
                  <w:rFonts w:ascii="Arial" w:cs="Arial" w:eastAsia="Arial" w:hAnsi="Arial"/>
                  <w:sz w:val="18"/>
                  <w:szCs w:val="18"/>
                  <w:color w:val="0000FF"/>
                  <w:w w:val="97"/>
                </w:rPr>
                <w:t>Amendment No. 4 dated January 1, 2013 to the Third Amended and Restated Agreement of Limited Partnership of Plains</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Marketing, L.P (incorporated by reference to Exhibit 3.8 to our Annual Report on Form 10-K for the year ended December</w:t>
              </w:r>
            </w:hyperlink>
          </w:p>
        </w:tc>
        <w:tc>
          <w:tcPr>
            <w:tcW w:w="360" w:type="dxa"/>
            <w:vAlign w:val="bottom"/>
            <w:tcBorders>
              <w:bottom w:val="single" w:sz="8" w:color="0000FF"/>
            </w:tcBorders>
            <w:gridSpan w:val="3"/>
          </w:tcPr>
          <w:p>
            <w:pPr>
              <w:jc w:val="right"/>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31,</w:t>
              </w:r>
            </w:hyperlink>
          </w:p>
        </w:tc>
        <w:tc>
          <w:tcPr>
            <w:tcW w:w="20" w:type="dxa"/>
            <w:vAlign w:val="bottom"/>
          </w:tcPr>
          <w:p>
            <w:pPr>
              <w:spacing w:after="0"/>
              <w:rPr>
                <w:sz w:val="13"/>
                <w:szCs w:val="13"/>
                <w:color w:val="auto"/>
              </w:rPr>
            </w:pPr>
          </w:p>
        </w:tc>
        <w:tc>
          <w:tcPr>
            <w:tcW w:w="240" w:type="dxa"/>
            <w:vAlign w:val="bottom"/>
            <w:gridSpan w:val="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0000FF"/>
            </w:tcBorders>
          </w:tcPr>
          <w:p>
            <w:pPr>
              <w:spacing w:after="0" w:line="156"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2013).</w:t>
              </w:r>
            </w:hyperlink>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3.7</w:t>
            </w:r>
          </w:p>
        </w:tc>
        <w:tc>
          <w:tcPr>
            <w:tcW w:w="56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w w:val="95"/>
              </w:rPr>
            </w:pPr>
            <w:hyperlink r:id="rId162">
              <w:r>
                <w:rPr>
                  <w:rFonts w:ascii="Arial" w:cs="Arial" w:eastAsia="Arial" w:hAnsi="Arial"/>
                  <w:sz w:val="18"/>
                  <w:szCs w:val="18"/>
                  <w:color w:val="0000FF"/>
                  <w:w w:val="95"/>
                </w:rPr>
                <w:t>Amendment No. 5 dated December 1, 2019 to the Third Amended and Restated Agreement of Limited Partnership of Plains</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Marketing, L.P. (incorporated by reference to Exhibit 3.7 to our Annual Report on Form 10-K for the year ended December</w:t>
              </w:r>
            </w:hyperlink>
          </w:p>
        </w:tc>
        <w:tc>
          <w:tcPr>
            <w:tcW w:w="440" w:type="dxa"/>
            <w:vAlign w:val="bottom"/>
            <w:gridSpan w:val="11"/>
          </w:tcPr>
          <w:p>
            <w:pPr>
              <w:jc w:val="right"/>
              <w:ind w:right="240"/>
              <w:spacing w:after="0" w:line="156" w:lineRule="exact"/>
              <w:rPr>
                <w:rFonts w:ascii="Arial" w:cs="Arial" w:eastAsia="Arial" w:hAnsi="Arial"/>
                <w:sz w:val="18"/>
                <w:szCs w:val="18"/>
                <w:color w:val="0000FF"/>
                <w:w w:val="71"/>
              </w:rPr>
            </w:pPr>
            <w:hyperlink r:id="rId162">
              <w:r>
                <w:rPr>
                  <w:rFonts w:ascii="Arial" w:cs="Arial" w:eastAsia="Arial" w:hAnsi="Arial"/>
                  <w:sz w:val="18"/>
                  <w:szCs w:val="18"/>
                  <w:color w:val="0000FF"/>
                  <w:w w:val="71"/>
                </w:rPr>
                <w:t>31,</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2019.</w:t>
              </w:r>
              <w:r>
                <w:rPr>
                  <w:rFonts w:ascii="Arial" w:cs="Arial" w:eastAsia="Arial" w:hAnsi="Arial"/>
                  <w:sz w:val="18"/>
                  <w:szCs w:val="18"/>
                  <w:u w:val="single" w:color="auto"/>
                  <w:color w:val="0000FF"/>
                  <w:w w:val="90"/>
                </w:rPr>
                <w:t>)</w:t>
              </w:r>
            </w:hyperlink>
          </w:p>
        </w:tc>
        <w:tc>
          <w:tcPr>
            <w:tcW w:w="6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30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color w:val="auto"/>
              </w:rPr>
              <w:t>3.8</w:t>
            </w:r>
          </w:p>
        </w:tc>
        <w:tc>
          <w:tcPr>
            <w:tcW w:w="56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w w:val="91"/>
              </w:rPr>
            </w:pPr>
            <w:hyperlink r:id="rId163">
              <w:r>
                <w:rPr>
                  <w:rFonts w:ascii="Arial" w:cs="Arial" w:eastAsia="Arial" w:hAnsi="Arial"/>
                  <w:sz w:val="18"/>
                  <w:szCs w:val="18"/>
                  <w:color w:val="0000FF"/>
                  <w:w w:val="91"/>
                </w:rPr>
                <w:t>Third Amended and Restated Agreement of Limited Partnership of Plains Pipeline, L.P. dated as of April 1, 2004 (incorporated by</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reference to Exhibit 3.3 to our Quarterly Report on Form 10-Q for the quarter ended March 31, 2004).</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11" w:name="page112"/>
    <w:bookmarkEnd w:id="1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3.9</w:t>
            </w:r>
          </w:p>
        </w:tc>
        <w:tc>
          <w:tcPr>
            <w:tcW w:w="10400" w:type="dxa"/>
            <w:vAlign w:val="bottom"/>
            <w:gridSpan w:val="30"/>
          </w:tcPr>
          <w:p>
            <w:pPr>
              <w:ind w:left="48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65">
              <w:r>
                <w:rPr>
                  <w:rFonts w:ascii="Arial" w:cs="Arial" w:eastAsia="Arial" w:hAnsi="Arial"/>
                  <w:sz w:val="18"/>
                  <w:szCs w:val="18"/>
                  <w:color w:val="0000FF"/>
                  <w:w w:val="99"/>
                </w:rPr>
                <w:t>Amendment No. 1 dated January 1, 2013 to the Third Amended and Restated Agreement of Limited Partnership of Plains</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Pipeline, L.P. (incorporated by reference to Exhibit 3.10 to our Annual Report on Form 10-K for the year ended December</w:t>
              </w:r>
            </w:hyperlink>
          </w:p>
        </w:tc>
        <w:tc>
          <w:tcPr>
            <w:tcW w:w="320" w:type="dxa"/>
            <w:vAlign w:val="bottom"/>
            <w:tcBorders>
              <w:bottom w:val="single" w:sz="8" w:color="0000FF"/>
            </w:tcBorders>
            <w:gridSpan w:val="5"/>
          </w:tcPr>
          <w:p>
            <w:pPr>
              <w:jc w:val="right"/>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Borders>
              <w:bottom w:val="single" w:sz="8" w:color="0000FF"/>
            </w:tcBorders>
          </w:tcPr>
          <w:p>
            <w:pPr>
              <w:spacing w:after="0" w:line="156"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2013).</w:t>
              </w:r>
            </w:hyperlink>
          </w:p>
        </w:tc>
        <w:tc>
          <w:tcPr>
            <w:tcW w:w="1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3.10</w:t>
            </w:r>
          </w:p>
        </w:tc>
        <w:tc>
          <w:tcPr>
            <w:tcW w:w="10400" w:type="dxa"/>
            <w:vAlign w:val="bottom"/>
            <w:gridSpan w:val="30"/>
          </w:tcPr>
          <w:p>
            <w:pPr>
              <w:ind w:left="4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66">
              <w:r>
                <w:rPr>
                  <w:rFonts w:ascii="Arial" w:cs="Arial" w:eastAsia="Arial" w:hAnsi="Arial"/>
                  <w:sz w:val="18"/>
                  <w:szCs w:val="18"/>
                  <w:color w:val="0000FF"/>
                  <w:w w:val="97"/>
                </w:rPr>
                <w:t>Seventh Amended and Restated Limited Liability Company Agreement of Plains All American GP LLC dated November 15,</w:t>
              </w:r>
            </w:hyperlink>
          </w:p>
        </w:tc>
      </w:tr>
      <w:tr>
        <w:trPr>
          <w:trHeight w:val="224"/>
        </w:trPr>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4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2016 (incorporated by reference to Exhibit 3.3 to our Current Report on Form 8-K filed November 21, 2016).</w:t>
              </w:r>
            </w:hyperlink>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gridSpan w:val="30"/>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67">
              <w:r>
                <w:rPr>
                  <w:rFonts w:ascii="Arial" w:cs="Arial" w:eastAsia="Arial" w:hAnsi="Arial"/>
                  <w:sz w:val="18"/>
                  <w:szCs w:val="18"/>
                  <w:color w:val="0000FF"/>
                  <w:w w:val="95"/>
                </w:rPr>
                <w:t>Eighth Amended and Restated Limited Partnership Agreement of Plains AAP, L.P. dated November 15, 2016 (incorporated by</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1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reference to Exhibit 3.4 to our Current Report on Form 8-K filed November 21, 2016).</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gridSpan w:val="30"/>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68">
              <w:r>
                <w:rPr>
                  <w:rFonts w:ascii="Arial" w:cs="Arial" w:eastAsia="Arial" w:hAnsi="Arial"/>
                  <w:sz w:val="18"/>
                  <w:szCs w:val="18"/>
                  <w:color w:val="0000FF"/>
                  <w:w w:val="92"/>
                </w:rPr>
                <w:t>Amendment No. 1 dated September 26, 2018 to the Eighth Amended and Restated Limited Partnership Agreement of Plains AAP,</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L.P. (incorporated by reference to Exhibit 3.1 to our Current Report on Form 8-K filed October 2,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3.13</w:t>
            </w:r>
          </w:p>
        </w:tc>
        <w:tc>
          <w:tcPr>
            <w:tcW w:w="10400" w:type="dxa"/>
            <w:vAlign w:val="bottom"/>
            <w:gridSpan w:val="30"/>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69">
              <w:r>
                <w:rPr>
                  <w:rFonts w:ascii="Arial" w:cs="Arial" w:eastAsia="Arial" w:hAnsi="Arial"/>
                  <w:sz w:val="18"/>
                  <w:szCs w:val="18"/>
                  <w:color w:val="0000FF"/>
                  <w:w w:val="94"/>
                </w:rPr>
                <w:t>Amendment No. 2 dated May 23, 2019 to the Eighth Amended and Restated Limited Partnership Agreement of Plains AAP, L.P.</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(incorporated by reference to Exhibit 3.1 to our Current Report on Form 8-K filed May 30, 2019).</w:t>
              </w:r>
            </w:hyperlink>
          </w:p>
        </w:tc>
        <w:tc>
          <w:tcPr>
            <w:tcW w:w="22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3.14</w:t>
            </w:r>
          </w:p>
        </w:tc>
        <w:tc>
          <w:tcPr>
            <w:tcW w:w="10400" w:type="dxa"/>
            <w:vAlign w:val="bottom"/>
            <w:gridSpan w:val="30"/>
          </w:tcPr>
          <w:p>
            <w:pPr>
              <w:ind w:left="48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70">
              <w:r>
                <w:rPr>
                  <w:rFonts w:ascii="Arial" w:cs="Arial" w:eastAsia="Arial" w:hAnsi="Arial"/>
                  <w:sz w:val="18"/>
                  <w:szCs w:val="18"/>
                  <w:color w:val="0000FF"/>
                  <w:w w:val="99"/>
                </w:rPr>
                <w:t>Certificate of Incorporation of PAA Finance Corp. (f/k/a Pacific Energy Finance Corporation, successor-by-merger to PAA</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6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170">
              <w:r>
                <w:rPr>
                  <w:rFonts w:ascii="Arial" w:cs="Arial" w:eastAsia="Arial" w:hAnsi="Arial"/>
                  <w:sz w:val="18"/>
                  <w:szCs w:val="18"/>
                  <w:color w:val="0000FF"/>
                  <w:w w:val="90"/>
                </w:rPr>
                <w:t>Finance Corp.) (incorporated by reference to Exhibit 3.10 to our Annual Report on Form 10-K for the year ended December</w:t>
              </w:r>
            </w:hyperlink>
          </w:p>
        </w:tc>
        <w:tc>
          <w:tcPr>
            <w:tcW w:w="440" w:type="dxa"/>
            <w:vAlign w:val="bottom"/>
            <w:gridSpan w:val="10"/>
          </w:tcPr>
          <w:p>
            <w:pPr>
              <w:jc w:val="right"/>
              <w:ind w:right="80"/>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70">
              <w:r>
                <w:rPr>
                  <w:rFonts w:ascii="Arial" w:cs="Arial" w:eastAsia="Arial" w:hAnsi="Arial"/>
                  <w:sz w:val="18"/>
                  <w:szCs w:val="18"/>
                  <w:color w:val="0000FF"/>
                  <w:w w:val="90"/>
                </w:rPr>
                <w:t>2006).</w:t>
              </w:r>
            </w:hyperlink>
          </w:p>
        </w:tc>
        <w:tc>
          <w:tcPr>
            <w:tcW w:w="108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3.15</w:t>
            </w:r>
          </w:p>
        </w:tc>
        <w:tc>
          <w:tcPr>
            <w:tcW w:w="10400" w:type="dxa"/>
            <w:vAlign w:val="bottom"/>
            <w:gridSpan w:val="30"/>
          </w:tcPr>
          <w:p>
            <w:pPr>
              <w:ind w:left="48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71">
              <w:r>
                <w:rPr>
                  <w:rFonts w:ascii="Arial" w:cs="Arial" w:eastAsia="Arial" w:hAnsi="Arial"/>
                  <w:sz w:val="18"/>
                  <w:szCs w:val="18"/>
                  <w:color w:val="0000FF"/>
                </w:rPr>
                <w:t>Bylaws of PAA Finance Corp. (f/k/a Pacific Energy Finance Corporation, successor-by-merger to PAA Finance Corp.)</w:t>
              </w:r>
            </w:hyperlink>
          </w:p>
        </w:tc>
      </w:tr>
      <w:tr>
        <w:trPr>
          <w:trHeight w:val="224"/>
        </w:trPr>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540" w:type="dxa"/>
            <w:vAlign w:val="bottom"/>
            <w:tcBorders>
              <w:top w:val="single" w:sz="8" w:color="0000FF"/>
            </w:tcBorders>
            <w:gridSpan w:val="10"/>
          </w:tcPr>
          <w:p>
            <w:pPr>
              <w:spacing w:after="0"/>
              <w:rPr>
                <w:rFonts w:ascii="Arial" w:cs="Arial" w:eastAsia="Arial" w:hAnsi="Arial"/>
                <w:sz w:val="18"/>
                <w:szCs w:val="18"/>
                <w:u w:val="single" w:color="auto"/>
                <w:color w:val="0000FF"/>
                <w:w w:val="90"/>
              </w:rPr>
            </w:pPr>
            <w:hyperlink r:id="rId171">
              <w:r>
                <w:rPr>
                  <w:rFonts w:ascii="Arial" w:cs="Arial" w:eastAsia="Arial" w:hAnsi="Arial"/>
                  <w:sz w:val="18"/>
                  <w:szCs w:val="18"/>
                  <w:u w:val="single" w:color="auto"/>
                  <w:color w:val="0000FF"/>
                  <w:w w:val="90"/>
                </w:rPr>
                <w:t>(incorporated by reference to Exhibit 3.11 to our Annual Report on Form 10-K for the year ended December 31, 2006)</w:t>
              </w:r>
            </w:hyperlink>
          </w:p>
        </w:tc>
        <w:tc>
          <w:tcPr>
            <w:tcW w:w="420" w:type="dxa"/>
            <w:vAlign w:val="bottom"/>
            <w:gridSpan w:val="3"/>
          </w:tcPr>
          <w:p>
            <w:pPr>
              <w:jc w:val="right"/>
              <w:ind w:right="270"/>
              <w:spacing w:after="0"/>
              <w:rPr>
                <w:rFonts w:ascii="Arial" w:cs="Arial" w:eastAsia="Arial" w:hAnsi="Arial"/>
                <w:sz w:val="18"/>
                <w:szCs w:val="18"/>
                <w:color w:val="0000FF"/>
                <w:w w:val="78"/>
              </w:rPr>
            </w:pPr>
            <w:hyperlink r:id="rId171">
              <w:r>
                <w:rPr>
                  <w:rFonts w:ascii="Arial" w:cs="Arial" w:eastAsia="Arial" w:hAnsi="Arial"/>
                  <w:sz w:val="18"/>
                  <w:szCs w:val="18"/>
                  <w:color w:val="0000FF"/>
                  <w:w w:val="78"/>
                </w:rPr>
                <w:t>.</w:t>
              </w:r>
            </w:hyperlink>
          </w:p>
        </w:tc>
        <w:tc>
          <w:tcPr>
            <w:tcW w:w="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3.16</w:t>
            </w:r>
          </w:p>
        </w:tc>
        <w:tc>
          <w:tcPr>
            <w:tcW w:w="10400" w:type="dxa"/>
            <w:vAlign w:val="bottom"/>
            <w:gridSpan w:val="30"/>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72">
              <w:r>
                <w:rPr>
                  <w:rFonts w:ascii="Arial" w:cs="Arial" w:eastAsia="Arial" w:hAnsi="Arial"/>
                  <w:sz w:val="18"/>
                  <w:szCs w:val="18"/>
                  <w:color w:val="0000FF"/>
                  <w:w w:val="94"/>
                </w:rPr>
                <w:t>Limited Liability Company Agreement of PAA GP LLC dated December 28, 2007 (incorporated by reference to Exhibit 3.3 to our</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Current Report on Form 8-K filed January 4, 2008).</w:t>
              </w:r>
            </w:hyperlink>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3.17</w:t>
            </w:r>
          </w:p>
        </w:tc>
        <w:tc>
          <w:tcPr>
            <w:tcW w:w="10400" w:type="dxa"/>
            <w:vAlign w:val="bottom"/>
            <w:gridSpan w:val="30"/>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73">
              <w:r>
                <w:rPr>
                  <w:rFonts w:ascii="Arial" w:cs="Arial" w:eastAsia="Arial" w:hAnsi="Arial"/>
                  <w:sz w:val="18"/>
                  <w:szCs w:val="18"/>
                  <w:color w:val="0000FF"/>
                  <w:w w:val="96"/>
                </w:rPr>
                <w:t>Certificate of Limited Partnership of Plains GP Holdings, L.P. (incorporated by reference to Exhibit 3.1 to PAGP’s Registration</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Statement on Form S-1 (333-190227) filed July 29, 2013).</w:t>
              </w:r>
            </w:hyperlink>
          </w:p>
        </w:tc>
        <w:tc>
          <w:tcPr>
            <w:tcW w:w="4960" w:type="dxa"/>
            <w:vAlign w:val="bottom"/>
            <w:tcBorders>
              <w:top w:val="single" w:sz="8" w:color="0000FF"/>
            </w:tcBorders>
            <w:gridSpan w:val="14"/>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3.18</w:t>
            </w:r>
          </w:p>
        </w:tc>
        <w:tc>
          <w:tcPr>
            <w:tcW w:w="10400" w:type="dxa"/>
            <w:vAlign w:val="bottom"/>
            <w:gridSpan w:val="30"/>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74">
              <w:r>
                <w:rPr>
                  <w:rFonts w:ascii="Arial" w:cs="Arial" w:eastAsia="Arial" w:hAnsi="Arial"/>
                  <w:sz w:val="18"/>
                  <w:szCs w:val="18"/>
                  <w:color w:val="0000FF"/>
                  <w:w w:val="95"/>
                </w:rPr>
                <w:t>Second Amended and Restated Agreement of Limited Partnership of Plains GP Holdings, L.P. dated as of November 15, 2016</w:t>
              </w:r>
            </w:hyperlink>
          </w:p>
        </w:tc>
      </w:tr>
      <w:tr>
        <w:trPr>
          <w:trHeight w:val="224"/>
        </w:trPr>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10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(incorporated by reference to Exhibit 3.2 to PAGP’s Current Report on Form 8-K filed November 21, 2016).</w:t>
              </w:r>
            </w:hyperlink>
          </w:p>
        </w:tc>
        <w:tc>
          <w:tcPr>
            <w:tcW w:w="40" w:type="dxa"/>
            <w:vAlign w:val="bottom"/>
            <w:gridSpan w:val="2"/>
          </w:tcPr>
          <w:p>
            <w:pPr>
              <w:spacing w:after="0"/>
              <w:rPr>
                <w:sz w:val="19"/>
                <w:szCs w:val="19"/>
                <w:color w:val="auto"/>
              </w:rPr>
            </w:pPr>
          </w:p>
        </w:tc>
        <w:tc>
          <w:tcPr>
            <w:tcW w:w="1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3.19</w:t>
            </w:r>
          </w:p>
        </w:tc>
        <w:tc>
          <w:tcPr>
            <w:tcW w:w="10400" w:type="dxa"/>
            <w:vAlign w:val="bottom"/>
            <w:gridSpan w:val="30"/>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75">
              <w:r>
                <w:rPr>
                  <w:rFonts w:ascii="Arial" w:cs="Arial" w:eastAsia="Arial" w:hAnsi="Arial"/>
                  <w:sz w:val="18"/>
                  <w:szCs w:val="18"/>
                  <w:color w:val="0000FF"/>
                  <w:w w:val="96"/>
                </w:rPr>
                <w:t>Amendment No. 1 dated April 6, 2020 to the Second Amended and Restated Agreement of Limited Partnership of Plains GP</w:t>
              </w:r>
            </w:hyperlink>
          </w:p>
        </w:tc>
      </w:tr>
      <w:tr>
        <w:trPr>
          <w:trHeight w:val="224"/>
        </w:trPr>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0" w:type="dxa"/>
            <w:vAlign w:val="bottom"/>
            <w:tcBorders>
              <w:top w:val="single" w:sz="8" w:color="0000FF"/>
            </w:tcBorders>
            <w:gridSpan w:val="14"/>
          </w:tcPr>
          <w:p>
            <w:pPr>
              <w:spacing w:after="0"/>
              <w:rPr>
                <w:rFonts w:ascii="Arial" w:cs="Arial" w:eastAsia="Arial" w:hAnsi="Arial"/>
                <w:sz w:val="18"/>
                <w:szCs w:val="18"/>
                <w:u w:val="single" w:color="auto"/>
                <w:color w:val="0000FF"/>
                <w:w w:val="98"/>
              </w:rPr>
            </w:pPr>
            <w:hyperlink r:id="rId175">
              <w:r>
                <w:rPr>
                  <w:rFonts w:ascii="Arial" w:cs="Arial" w:eastAsia="Arial" w:hAnsi="Arial"/>
                  <w:sz w:val="18"/>
                  <w:szCs w:val="18"/>
                  <w:u w:val="single" w:color="auto"/>
                  <w:color w:val="0000FF"/>
                  <w:w w:val="98"/>
                </w:rPr>
                <w:t>Holdings, L.P. (incorporated by reference to Exhibit 3.1 to PAGP’s Current Report on Form 8-K filed April 9, 2020).</w:t>
              </w:r>
            </w:hyperlink>
          </w:p>
        </w:tc>
        <w:tc>
          <w:tcPr>
            <w:tcW w:w="140" w:type="dxa"/>
            <w:vAlign w:val="bottom"/>
            <w:gridSpan w:val="4"/>
          </w:tcPr>
          <w:p>
            <w:pPr>
              <w:spacing w:after="0"/>
              <w:rPr>
                <w:sz w:val="19"/>
                <w:szCs w:val="19"/>
                <w:color w:val="auto"/>
              </w:rPr>
            </w:pPr>
          </w:p>
        </w:tc>
        <w:tc>
          <w:tcPr>
            <w:tcW w:w="1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3.20</w:t>
            </w:r>
          </w:p>
        </w:tc>
        <w:tc>
          <w:tcPr>
            <w:tcW w:w="10400" w:type="dxa"/>
            <w:vAlign w:val="bottom"/>
            <w:gridSpan w:val="30"/>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76">
              <w:r>
                <w:rPr>
                  <w:rFonts w:ascii="Arial" w:cs="Arial" w:eastAsia="Arial" w:hAnsi="Arial"/>
                  <w:sz w:val="18"/>
                  <w:szCs w:val="18"/>
                  <w:color w:val="0000FF"/>
                  <w:w w:val="94"/>
                </w:rPr>
                <w:t>Certificate of Formation of PAA GP Holdings LLC (incorporated by reference to Exhibit 3.3 to PAGP’s Registration Statement on</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Form S-1 (333-190227) filed July 29, 2013).</w:t>
              </w:r>
            </w:hyperlink>
          </w:p>
        </w:tc>
        <w:tc>
          <w:tcPr>
            <w:tcW w:w="40" w:type="dxa"/>
            <w:vAlign w:val="bottom"/>
            <w:gridSpan w:val="2"/>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400" w:type="dxa"/>
            <w:vAlign w:val="bottom"/>
            <w:gridSpan w:val="30"/>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77">
              <w:r>
                <w:rPr>
                  <w:rFonts w:ascii="Arial" w:cs="Arial" w:eastAsia="Arial" w:hAnsi="Arial"/>
                  <w:sz w:val="18"/>
                  <w:szCs w:val="18"/>
                  <w:color w:val="0000FF"/>
                  <w:w w:val="96"/>
                </w:rPr>
                <w:t>Third Amended and Restated Limited Liability Company Agreement of PAA GP Holdings LLC dated as of February 16, 2017</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(incorporated by reference to Exhibit 3.1 to our Current Report on Form 8-K filed February 21, 2017).</w:t>
              </w:r>
            </w:hyperlink>
          </w:p>
        </w:tc>
        <w:tc>
          <w:tcPr>
            <w:tcW w:w="1760" w:type="dxa"/>
            <w:vAlign w:val="bottom"/>
            <w:tcBorders>
              <w:top w:val="single" w:sz="8" w:color="0000FF"/>
            </w:tcBorders>
            <w:gridSpan w:val="10"/>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400" w:type="dxa"/>
            <w:vAlign w:val="bottom"/>
            <w:gridSpan w:val="30"/>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78">
              <w:r>
                <w:rPr>
                  <w:rFonts w:ascii="Arial" w:cs="Arial" w:eastAsia="Arial" w:hAnsi="Arial"/>
                  <w:sz w:val="18"/>
                  <w:szCs w:val="18"/>
                  <w:color w:val="0000FF"/>
                  <w:w w:val="94"/>
                </w:rPr>
                <w:t>Amendment No. 1 dated October 1, 2018 to the Third Amended and Restated Limited Liability Company Agreement of PAA GP</w:t>
              </w:r>
            </w:hyperlink>
          </w:p>
        </w:tc>
      </w:tr>
      <w:tr>
        <w:trPr>
          <w:trHeight w:val="224"/>
        </w:trPr>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340" w:type="dxa"/>
            <w:vAlign w:val="bottom"/>
            <w:tcBorders>
              <w:top w:val="single" w:sz="8" w:color="0000FF"/>
            </w:tcBorders>
            <w:gridSpan w:val="24"/>
          </w:tcPr>
          <w:p>
            <w:pPr>
              <w:spacing w:after="0"/>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Holdings LLC (incorporated by reference to Exhibit 3.1 to our Current Report on Form 8-K filed August 20, 2018).</w:t>
              </w:r>
            </w:hyperlink>
          </w:p>
        </w:tc>
        <w:tc>
          <w:tcPr>
            <w:tcW w:w="4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3.23</w:t>
            </w:r>
          </w:p>
        </w:tc>
        <w:tc>
          <w:tcPr>
            <w:tcW w:w="10400" w:type="dxa"/>
            <w:vAlign w:val="bottom"/>
            <w:gridSpan w:val="30"/>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79">
              <w:r>
                <w:rPr>
                  <w:rFonts w:ascii="Arial" w:cs="Arial" w:eastAsia="Arial" w:hAnsi="Arial"/>
                  <w:sz w:val="18"/>
                  <w:szCs w:val="18"/>
                  <w:color w:val="0000FF"/>
                  <w:w w:val="94"/>
                </w:rPr>
                <w:t>Amendment No. 2 dated December 10, 2018 to the Third Amended and Restated Limited Liability Company Agreement of PAA</w:t>
              </w:r>
            </w:hyperlink>
          </w:p>
        </w:tc>
      </w:tr>
      <w:tr>
        <w:trPr>
          <w:trHeight w:val="224"/>
        </w:trPr>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300" w:type="dxa"/>
            <w:vAlign w:val="bottom"/>
            <w:tcBorders>
              <w:top w:val="single" w:sz="8" w:color="0000FF"/>
            </w:tcBorders>
            <w:gridSpan w:val="22"/>
          </w:tcPr>
          <w:p>
            <w:pPr>
              <w:spacing w:after="0"/>
              <w:rPr>
                <w:rFonts w:ascii="Arial" w:cs="Arial" w:eastAsia="Arial" w:hAnsi="Arial"/>
                <w:sz w:val="18"/>
                <w:szCs w:val="18"/>
                <w:u w:val="single" w:color="auto"/>
                <w:color w:val="0000FF"/>
                <w:w w:val="97"/>
              </w:rPr>
            </w:pPr>
            <w:hyperlink r:id="rId179">
              <w:r>
                <w:rPr>
                  <w:rFonts w:ascii="Arial" w:cs="Arial" w:eastAsia="Arial" w:hAnsi="Arial"/>
                  <w:sz w:val="18"/>
                  <w:szCs w:val="18"/>
                  <w:u w:val="single" w:color="auto"/>
                  <w:color w:val="0000FF"/>
                  <w:w w:val="97"/>
                </w:rPr>
                <w:t>GP Holdings LLC (incorporated by reference to Exhibit 3.1 to our Current Report on Form 8-K filed December 11, 2018).</w:t>
              </w:r>
            </w:hyperlink>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3.24</w:t>
            </w:r>
          </w:p>
        </w:tc>
        <w:tc>
          <w:tcPr>
            <w:tcW w:w="10400" w:type="dxa"/>
            <w:vAlign w:val="bottom"/>
            <w:gridSpan w:val="30"/>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80">
              <w:r>
                <w:rPr>
                  <w:rFonts w:ascii="Arial" w:cs="Arial" w:eastAsia="Arial" w:hAnsi="Arial"/>
                  <w:sz w:val="18"/>
                  <w:szCs w:val="18"/>
                  <w:color w:val="0000FF"/>
                  <w:w w:val="94"/>
                </w:rPr>
                <w:t>Amendment No. 3 dated November 21, 2019 to the Third Amended and Restated Limited Liability Company Agreement of PAA</w:t>
              </w:r>
            </w:hyperlink>
          </w:p>
        </w:tc>
      </w:tr>
      <w:tr>
        <w:trPr>
          <w:trHeight w:val="224"/>
        </w:trPr>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320" w:type="dxa"/>
            <w:vAlign w:val="bottom"/>
            <w:tcBorders>
              <w:top w:val="single" w:sz="8" w:color="0000FF"/>
            </w:tcBorders>
            <w:gridSpan w:val="23"/>
          </w:tcPr>
          <w:p>
            <w:pPr>
              <w:spacing w:after="0"/>
              <w:rPr>
                <w:rFonts w:ascii="Arial" w:cs="Arial" w:eastAsia="Arial" w:hAnsi="Arial"/>
                <w:sz w:val="18"/>
                <w:szCs w:val="18"/>
                <w:u w:val="single" w:color="auto"/>
                <w:color w:val="0000FF"/>
                <w:w w:val="97"/>
              </w:rPr>
            </w:pPr>
            <w:hyperlink r:id="rId180">
              <w:r>
                <w:rPr>
                  <w:rFonts w:ascii="Arial" w:cs="Arial" w:eastAsia="Arial" w:hAnsi="Arial"/>
                  <w:sz w:val="18"/>
                  <w:szCs w:val="18"/>
                  <w:u w:val="single" w:color="auto"/>
                  <w:color w:val="0000FF"/>
                  <w:w w:val="97"/>
                </w:rPr>
                <w:t>GP Holdings LLC (incorporated by reference to Exhibit 3.1 to our Current Report on Form 8-K filed November 27, 2019).</w:t>
              </w:r>
            </w:hyperlink>
          </w:p>
        </w:tc>
        <w:tc>
          <w:tcPr>
            <w:tcW w:w="6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0400" w:type="dxa"/>
            <w:vAlign w:val="bottom"/>
            <w:gridSpan w:val="30"/>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81">
              <w:r>
                <w:rPr>
                  <w:rFonts w:ascii="Arial" w:cs="Arial" w:eastAsia="Arial" w:hAnsi="Arial"/>
                  <w:sz w:val="18"/>
                  <w:szCs w:val="18"/>
                  <w:color w:val="0000FF"/>
                  <w:w w:val="93"/>
                </w:rPr>
                <w:t>Indenture dated September 25, 2002 among Plains All American Pipeline, L.P., PAA Finance Corp. and Wachovia Bank, National</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38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181">
              <w:r>
                <w:rPr>
                  <w:rFonts w:ascii="Arial" w:cs="Arial" w:eastAsia="Arial" w:hAnsi="Arial"/>
                  <w:sz w:val="18"/>
                  <w:szCs w:val="18"/>
                  <w:color w:val="0000FF"/>
                  <w:w w:val="94"/>
                </w:rPr>
                <w:t>Association, as trustee (incorporated by reference to Exhibit 4.1 to our Quarterly Report on Form 10-Q for the quarter ended</w:t>
              </w:r>
            </w:hyperlink>
          </w:p>
        </w:tc>
        <w:tc>
          <w:tcPr>
            <w:tcW w:w="80" w:type="dxa"/>
            <w:vAlign w:val="bottom"/>
            <w:gridSpan w:val="4"/>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81">
              <w:r>
                <w:rPr>
                  <w:rFonts w:ascii="Arial" w:cs="Arial" w:eastAsia="Arial" w:hAnsi="Arial"/>
                  <w:sz w:val="18"/>
                  <w:szCs w:val="18"/>
                  <w:color w:val="0000FF"/>
                  <w:w w:val="88"/>
                </w:rPr>
                <w:t>September 30, 2002).</w:t>
              </w:r>
            </w:hyperlink>
          </w:p>
        </w:tc>
        <w:tc>
          <w:tcPr>
            <w:tcW w:w="7400" w:type="dxa"/>
            <w:vAlign w:val="bottom"/>
            <w:tcBorders>
              <w:top w:val="single" w:sz="8" w:color="0000FF"/>
            </w:tcBorders>
            <w:gridSpan w:val="11"/>
          </w:tcPr>
          <w:p>
            <w:pPr>
              <w:spacing w:after="0"/>
              <w:rPr>
                <w:sz w:val="13"/>
                <w:szCs w:val="13"/>
                <w:color w:val="auto"/>
              </w:rPr>
            </w:pPr>
          </w:p>
        </w:tc>
        <w:tc>
          <w:tcPr>
            <w:tcW w:w="500" w:type="dxa"/>
            <w:vAlign w:val="bottom"/>
            <w:gridSpan w:val="16"/>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8860" w:type="dxa"/>
            <w:vAlign w:val="bottom"/>
            <w:tcBorders>
              <w:bottom w:val="single" w:sz="8" w:color="0000FF"/>
            </w:tcBorders>
            <w:gridSpan w:val="17"/>
          </w:tcPr>
          <w:p>
            <w:pPr>
              <w:spacing w:after="0"/>
              <w:rPr>
                <w:rFonts w:ascii="Arial" w:cs="Arial" w:eastAsia="Arial" w:hAnsi="Arial"/>
                <w:sz w:val="18"/>
                <w:szCs w:val="18"/>
                <w:color w:val="0000FF"/>
                <w:w w:val="90"/>
              </w:rPr>
            </w:pPr>
            <w:hyperlink r:id="rId183">
              <w:r>
                <w:rPr>
                  <w:rFonts w:ascii="Arial" w:cs="Arial" w:eastAsia="Arial" w:hAnsi="Arial"/>
                  <w:sz w:val="18"/>
                  <w:szCs w:val="18"/>
                  <w:color w:val="0000FF"/>
                  <w:w w:val="90"/>
                </w:rPr>
                <w:t>Sixth Supplemental Indenture (Series A and Series B 6.70% Senior Notes due 2036) dated May 12, 2006 among Plains All</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0" w:type="dxa"/>
            <w:vAlign w:val="bottom"/>
            <w:gridSpan w:val="30"/>
          </w:tcPr>
          <w:p>
            <w:pPr>
              <w:spacing w:after="0" w:line="156" w:lineRule="exact"/>
              <w:rPr>
                <w:rFonts w:ascii="Arial" w:cs="Arial" w:eastAsia="Arial" w:hAnsi="Arial"/>
                <w:sz w:val="18"/>
                <w:szCs w:val="18"/>
                <w:color w:val="0000FF"/>
                <w:w w:val="90"/>
              </w:rPr>
            </w:pPr>
            <w:hyperlink r:id="rId183">
              <w:r>
                <w:rPr>
                  <w:rFonts w:ascii="Arial" w:cs="Arial" w:eastAsia="Arial" w:hAnsi="Arial"/>
                  <w:sz w:val="18"/>
                  <w:szCs w:val="18"/>
                  <w:color w:val="0000FF"/>
                  <w:w w:val="90"/>
                </w:rPr>
                <w:t>American Pipeline, L.P., PAA Finance Corp., the Subsidiary Guarantors named therein and Wachovia Bank, National Association,</w:t>
              </w:r>
            </w:hyperlink>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380" w:type="dxa"/>
            <w:vAlign w:val="bottom"/>
            <w:tcBorders>
              <w:top w:val="single" w:sz="8" w:color="0000FF"/>
            </w:tcBorders>
            <w:gridSpan w:val="29"/>
          </w:tcPr>
          <w:p>
            <w:pPr>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as trustee (incorporated by reference to Exhibit 4.1 to our Current Report on Form 8-K filed May 12, 2006).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9400" w:type="dxa"/>
            <w:vAlign w:val="bottom"/>
            <w:gridSpan w:val="30"/>
          </w:tcPr>
          <w:p>
            <w:pPr>
              <w:spacing w:after="0"/>
              <w:rPr>
                <w:rFonts w:ascii="Arial" w:cs="Arial" w:eastAsia="Arial" w:hAnsi="Arial"/>
                <w:sz w:val="18"/>
                <w:szCs w:val="18"/>
                <w:color w:val="0000FF"/>
                <w:w w:val="91"/>
              </w:rPr>
            </w:pPr>
            <w:hyperlink r:id="rId184">
              <w:r>
                <w:rPr>
                  <w:rFonts w:ascii="Arial" w:cs="Arial" w:eastAsia="Arial" w:hAnsi="Arial"/>
                  <w:sz w:val="18"/>
                  <w:szCs w:val="18"/>
                  <w:color w:val="0000FF"/>
                  <w:w w:val="91"/>
                </w:rPr>
                <w:t>Tenth Supplemental Indenture (Series A and Series B 6.650% Senior Notes due 2037) dated October 30, 2006 among Plains All</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American Pipeline, L.P., PAA Finance Corp., the Subsidiary Guarantors named therein and U.S. Bank National Association,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140" w:type="dxa"/>
            <w:vAlign w:val="bottom"/>
            <w:tcBorders>
              <w:top w:val="single" w:sz="8" w:color="0000FF"/>
            </w:tcBorders>
            <w:gridSpan w:val="19"/>
          </w:tcPr>
          <w:p>
            <w:pPr>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trustee (incorporated by reference to Exhibit 4.2 to our Current Report on Form 8-K filed October 30, 2006).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4.4</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9400" w:type="dxa"/>
            <w:vAlign w:val="bottom"/>
            <w:gridSpan w:val="30"/>
          </w:tcPr>
          <w:p>
            <w:pPr>
              <w:spacing w:after="0"/>
              <w:rPr>
                <w:rFonts w:ascii="Arial" w:cs="Arial" w:eastAsia="Arial" w:hAnsi="Arial"/>
                <w:sz w:val="18"/>
                <w:szCs w:val="18"/>
                <w:color w:val="0000FF"/>
                <w:w w:val="93"/>
              </w:rPr>
            </w:pPr>
            <w:hyperlink r:id="rId185">
              <w:r>
                <w:rPr>
                  <w:rFonts w:ascii="Arial" w:cs="Arial" w:eastAsia="Arial" w:hAnsi="Arial"/>
                  <w:sz w:val="18"/>
                  <w:szCs w:val="18"/>
                  <w:color w:val="0000FF"/>
                  <w:w w:val="93"/>
                </w:rPr>
                <w:t>Twentieth Supplemental Indenture (3.65% Senior Notes due 2022) dated March 22, 2012 among Plains All American Pipeline,</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0"/>
              </w:rPr>
            </w:pPr>
            <w:hyperlink r:id="rId185">
              <w:r>
                <w:rPr>
                  <w:rFonts w:ascii="Arial" w:cs="Arial" w:eastAsia="Arial" w:hAnsi="Arial"/>
                  <w:sz w:val="18"/>
                  <w:szCs w:val="18"/>
                  <w:color w:val="0000FF"/>
                  <w:w w:val="90"/>
                </w:rPr>
                <w:t>L.P., PAA Finance Corp. and U.S. Bank National Association, as trustee (incorporated by reference to Exhibit 4.1 to our Current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140" w:type="dxa"/>
            <w:vAlign w:val="bottom"/>
            <w:tcBorders>
              <w:bottom w:val="single" w:sz="8" w:color="0000FF"/>
            </w:tcBorders>
          </w:tcPr>
          <w:p>
            <w:pPr>
              <w:spacing w:after="0" w:line="156" w:lineRule="exact"/>
              <w:rPr>
                <w:rFonts w:ascii="Arial" w:cs="Arial" w:eastAsia="Arial" w:hAnsi="Arial"/>
                <w:sz w:val="18"/>
                <w:szCs w:val="18"/>
                <w:color w:val="0000FF"/>
                <w:w w:val="92"/>
              </w:rPr>
            </w:pPr>
            <w:hyperlink r:id="rId185">
              <w:r>
                <w:rPr>
                  <w:rFonts w:ascii="Arial" w:cs="Arial" w:eastAsia="Arial" w:hAnsi="Arial"/>
                  <w:sz w:val="18"/>
                  <w:szCs w:val="18"/>
                  <w:color w:val="0000FF"/>
                  <w:w w:val="92"/>
                </w:rPr>
                <w:t>Report on Form 8-K filed March 26, 2012).</w:t>
              </w:r>
            </w:hyperlink>
          </w:p>
        </w:tc>
        <w:tc>
          <w:tcPr>
            <w:tcW w:w="610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4.5</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9400" w:type="dxa"/>
            <w:vAlign w:val="bottom"/>
            <w:gridSpan w:val="30"/>
          </w:tcPr>
          <w:p>
            <w:pPr>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Twenty-First Supplemental Indenture (5.15% Senior Notes due 2042) dated March 22, 2012 among Plains All American Pipeline,</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360" w:type="dxa"/>
            <w:vAlign w:val="bottom"/>
            <w:tcBorders>
              <w:top w:val="single" w:sz="8" w:color="0000FF"/>
            </w:tcBorders>
            <w:gridSpan w:val="28"/>
          </w:tcPr>
          <w:p>
            <w:pPr>
              <w:spacing w:after="0" w:line="156"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L.P., PAA Finance Corp. and U.S. Bank National Association, as trustee (incorporated by reference to Exhibit 4.3 to our Current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1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186">
              <w:r>
                <w:rPr>
                  <w:rFonts w:ascii="Arial" w:cs="Arial" w:eastAsia="Arial" w:hAnsi="Arial"/>
                  <w:sz w:val="18"/>
                  <w:szCs w:val="18"/>
                  <w:color w:val="0000FF"/>
                  <w:w w:val="92"/>
                </w:rPr>
                <w:t>Report on Form 8-K filed March 26, 2012).</w:t>
              </w:r>
            </w:hyperlink>
          </w:p>
        </w:tc>
        <w:tc>
          <w:tcPr>
            <w:tcW w:w="61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4.6</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9400" w:type="dxa"/>
            <w:vAlign w:val="bottom"/>
            <w:gridSpan w:val="30"/>
          </w:tcPr>
          <w:p>
            <w:pPr>
              <w:spacing w:after="0"/>
              <w:rPr>
                <w:rFonts w:ascii="Arial" w:cs="Arial" w:eastAsia="Arial" w:hAnsi="Arial"/>
                <w:sz w:val="18"/>
                <w:szCs w:val="18"/>
                <w:color w:val="0000FF"/>
                <w:w w:val="94"/>
              </w:rPr>
            </w:pPr>
            <w:hyperlink r:id="rId187">
              <w:r>
                <w:rPr>
                  <w:rFonts w:ascii="Arial" w:cs="Arial" w:eastAsia="Arial" w:hAnsi="Arial"/>
                  <w:sz w:val="18"/>
                  <w:szCs w:val="18"/>
                  <w:color w:val="0000FF"/>
                  <w:w w:val="94"/>
                </w:rPr>
                <w:t>Twenty-Second Supplemental Indenture (2.85% Senior Notes due 2023) dated December 10, 2012, by and among Plains All</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96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187">
              <w:r>
                <w:rPr>
                  <w:rFonts w:ascii="Arial" w:cs="Arial" w:eastAsia="Arial" w:hAnsi="Arial"/>
                  <w:sz w:val="18"/>
                  <w:szCs w:val="18"/>
                  <w:color w:val="0000FF"/>
                  <w:w w:val="92"/>
                </w:rPr>
                <w:t>American Pipeline, L.P., PAA Finance Corp. and U.S. Bank National Association, as trustee (incorporated by reference to</w:t>
              </w:r>
            </w:hyperlink>
          </w:p>
        </w:tc>
        <w:tc>
          <w:tcPr>
            <w:tcW w:w="2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Exhibit 4.1 to our Current Report on Form 8-K filed December 12, 2012).</w:t>
              </w:r>
            </w:hyperlink>
          </w:p>
        </w:tc>
        <w:tc>
          <w:tcPr>
            <w:tcW w:w="346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4.7</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9400" w:type="dxa"/>
            <w:vAlign w:val="bottom"/>
            <w:gridSpan w:val="30"/>
          </w:tcPr>
          <w:p>
            <w:pPr>
              <w:spacing w:after="0"/>
              <w:rPr>
                <w:rFonts w:ascii="Arial" w:cs="Arial" w:eastAsia="Arial" w:hAnsi="Arial"/>
                <w:sz w:val="18"/>
                <w:szCs w:val="18"/>
                <w:color w:val="0000FF"/>
                <w:w w:val="96"/>
              </w:rPr>
            </w:pPr>
            <w:hyperlink r:id="rId188">
              <w:r>
                <w:rPr>
                  <w:rFonts w:ascii="Arial" w:cs="Arial" w:eastAsia="Arial" w:hAnsi="Arial"/>
                  <w:sz w:val="18"/>
                  <w:szCs w:val="18"/>
                  <w:color w:val="0000FF"/>
                  <w:w w:val="96"/>
                </w:rPr>
                <w:t>Twenty-Third Supplemental Indenture (4.30% Senior Notes due 2043) dated December 10, 2012, by and among Plains All</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4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American Pipeline, L.P., PAA Finance Corp. and U.S. Bank National Association, as trustee (incorporated by reference to</w:t>
              </w:r>
            </w:hyperlink>
          </w:p>
        </w:tc>
        <w:tc>
          <w:tcPr>
            <w:tcW w:w="3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Exhibit 4.3 to our Current Report on Form 8-K filed December 12, 2012).</w:t>
              </w:r>
            </w:hyperlink>
          </w:p>
        </w:tc>
        <w:tc>
          <w:tcPr>
            <w:tcW w:w="346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4.8</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8700" w:type="dxa"/>
            <w:vAlign w:val="bottom"/>
            <w:tcBorders>
              <w:bottom w:val="single" w:sz="8" w:color="0000FF"/>
            </w:tcBorders>
            <w:gridSpan w:val="12"/>
          </w:tcPr>
          <w:p>
            <w:pPr>
              <w:spacing w:after="0"/>
              <w:rPr>
                <w:rFonts w:ascii="Arial" w:cs="Arial" w:eastAsia="Arial" w:hAnsi="Arial"/>
                <w:sz w:val="18"/>
                <w:szCs w:val="18"/>
                <w:color w:val="0000FF"/>
                <w:w w:val="90"/>
              </w:rPr>
            </w:pPr>
            <w:hyperlink r:id="rId189">
              <w:r>
                <w:rPr>
                  <w:rFonts w:ascii="Arial" w:cs="Arial" w:eastAsia="Arial" w:hAnsi="Arial"/>
                  <w:sz w:val="18"/>
                  <w:szCs w:val="18"/>
                  <w:color w:val="0000FF"/>
                  <w:w w:val="90"/>
                </w:rPr>
                <w:t>Twenty-Fourth Supplemental Indenture (3.85% Senior Notes due 2023) dated August 15, 2013, by and among Plains All</w:t>
              </w:r>
            </w:hyperlink>
          </w:p>
        </w:tc>
        <w:tc>
          <w:tcPr>
            <w:tcW w:w="7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0" w:type="dxa"/>
            <w:vAlign w:val="bottom"/>
            <w:gridSpan w:val="30"/>
          </w:tcPr>
          <w:p>
            <w:pPr>
              <w:spacing w:after="0" w:line="156" w:lineRule="exact"/>
              <w:rPr>
                <w:rFonts w:ascii="Arial" w:cs="Arial" w:eastAsia="Arial" w:hAnsi="Arial"/>
                <w:sz w:val="18"/>
                <w:szCs w:val="18"/>
                <w:color w:val="0000FF"/>
                <w:w w:val="97"/>
              </w:rPr>
            </w:pPr>
            <w:hyperlink r:id="rId189">
              <w:r>
                <w:rPr>
                  <w:rFonts w:ascii="Arial" w:cs="Arial" w:eastAsia="Arial" w:hAnsi="Arial"/>
                  <w:sz w:val="18"/>
                  <w:szCs w:val="18"/>
                  <w:color w:val="0000FF"/>
                  <w:w w:val="97"/>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89">
              <w:r>
                <w:rPr>
                  <w:rFonts w:ascii="Arial" w:cs="Arial" w:eastAsia="Arial" w:hAnsi="Arial"/>
                  <w:sz w:val="18"/>
                  <w:szCs w:val="18"/>
                  <w:color w:val="0000FF"/>
                  <w:w w:val="92"/>
                </w:rPr>
                <w:t>Exhibit 4.1 to our Current Report on Form 8-K filed August 15, 2013).</w:t>
              </w:r>
            </w:hyperlink>
          </w:p>
        </w:tc>
        <w:tc>
          <w:tcPr>
            <w:tcW w:w="368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4.9</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9180" w:type="dxa"/>
            <w:vAlign w:val="bottom"/>
            <w:tcBorders>
              <w:bottom w:val="single" w:sz="8" w:color="0000FF"/>
            </w:tcBorders>
            <w:gridSpan w:val="21"/>
          </w:tcPr>
          <w:p>
            <w:pPr>
              <w:spacing w:after="0"/>
              <w:rPr>
                <w:rFonts w:ascii="Arial" w:cs="Arial" w:eastAsia="Arial" w:hAnsi="Arial"/>
                <w:sz w:val="18"/>
                <w:szCs w:val="18"/>
                <w:color w:val="0000FF"/>
                <w:w w:val="91"/>
              </w:rPr>
            </w:pPr>
            <w:hyperlink r:id="rId190">
              <w:r>
                <w:rPr>
                  <w:rFonts w:ascii="Arial" w:cs="Arial" w:eastAsia="Arial" w:hAnsi="Arial"/>
                  <w:sz w:val="18"/>
                  <w:szCs w:val="18"/>
                  <w:color w:val="0000FF"/>
                  <w:w w:val="91"/>
                </w:rPr>
                <w:t>Twenty-Fifth Supplemental Indenture (4.70% Senior Notes due 2044) dated April 23, 2014, by and among Plains All American</w:t>
              </w:r>
            </w:hyperlink>
          </w:p>
        </w:tc>
        <w:tc>
          <w:tcPr>
            <w:tcW w:w="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0" w:type="dxa"/>
            <w:vAlign w:val="bottom"/>
            <w:gridSpan w:val="30"/>
          </w:tcPr>
          <w:p>
            <w:pPr>
              <w:spacing w:after="0" w:line="156" w:lineRule="exact"/>
              <w:rPr>
                <w:rFonts w:ascii="Arial" w:cs="Arial" w:eastAsia="Arial" w:hAnsi="Arial"/>
                <w:sz w:val="18"/>
                <w:szCs w:val="18"/>
                <w:color w:val="0000FF"/>
                <w:w w:val="91"/>
              </w:rPr>
            </w:pPr>
            <w:hyperlink r:id="rId190">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Current Report on Form 8-K filed April 29, 2014).</w:t>
              </w:r>
            </w:hyperlink>
          </w:p>
        </w:tc>
        <w:tc>
          <w:tcPr>
            <w:tcW w:w="56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4.10</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9400" w:type="dxa"/>
            <w:vAlign w:val="bottom"/>
            <w:gridSpan w:val="30"/>
          </w:tcPr>
          <w:p>
            <w:pPr>
              <w:spacing w:after="0"/>
              <w:rPr>
                <w:rFonts w:ascii="Arial" w:cs="Arial" w:eastAsia="Arial" w:hAnsi="Arial"/>
                <w:sz w:val="18"/>
                <w:szCs w:val="18"/>
                <w:color w:val="0000FF"/>
                <w:w w:val="96"/>
              </w:rPr>
            </w:pPr>
            <w:hyperlink r:id="rId191">
              <w:r>
                <w:rPr>
                  <w:rFonts w:ascii="Arial" w:cs="Arial" w:eastAsia="Arial" w:hAnsi="Arial"/>
                  <w:sz w:val="18"/>
                  <w:szCs w:val="18"/>
                  <w:color w:val="0000FF"/>
                  <w:w w:val="96"/>
                </w:rPr>
                <w:t>Twenty-Sixth Supplemental Indenture (3.60% Senior Notes due 2024) dated September 9, 2014, by and among Plains All</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76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191">
              <w:r>
                <w:rPr>
                  <w:rFonts w:ascii="Arial" w:cs="Arial" w:eastAsia="Arial" w:hAnsi="Arial"/>
                  <w:sz w:val="18"/>
                  <w:szCs w:val="18"/>
                  <w:color w:val="0000FF"/>
                  <w:w w:val="90"/>
                </w:rPr>
                <w:t>American Pipeline, L.P., PAA Finance Corp. and U.S. Bank National Association, as trustee (incorporated by reference to</w:t>
              </w:r>
            </w:hyperlink>
          </w:p>
        </w:tc>
        <w:tc>
          <w:tcPr>
            <w:tcW w:w="60" w:type="dxa"/>
            <w:vAlign w:val="bottom"/>
            <w:gridSpan w:val="2"/>
          </w:tcPr>
          <w:p>
            <w:pPr>
              <w:spacing w:after="0"/>
              <w:rPr>
                <w:sz w:val="13"/>
                <w:szCs w:val="13"/>
                <w:color w:val="auto"/>
              </w:rPr>
            </w:pPr>
          </w:p>
        </w:tc>
        <w:tc>
          <w:tcPr>
            <w:tcW w:w="40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Exhibit 4.1 to our Current Report on Form 8-K filed September 11, 2014).</w:t>
              </w:r>
            </w:hyperlink>
          </w:p>
        </w:tc>
        <w:tc>
          <w:tcPr>
            <w:tcW w:w="344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4.11</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9400" w:type="dxa"/>
            <w:vAlign w:val="bottom"/>
            <w:gridSpan w:val="30"/>
          </w:tcPr>
          <w:p>
            <w:pPr>
              <w:spacing w:after="0"/>
              <w:rPr>
                <w:rFonts w:ascii="Arial" w:cs="Arial" w:eastAsia="Arial" w:hAnsi="Arial"/>
                <w:sz w:val="18"/>
                <w:szCs w:val="18"/>
                <w:color w:val="0000FF"/>
                <w:w w:val="96"/>
              </w:rPr>
            </w:pPr>
            <w:hyperlink r:id="rId192">
              <w:r>
                <w:rPr>
                  <w:rFonts w:ascii="Arial" w:cs="Arial" w:eastAsia="Arial" w:hAnsi="Arial"/>
                  <w:sz w:val="18"/>
                  <w:szCs w:val="18"/>
                  <w:color w:val="0000FF"/>
                  <w:w w:val="96"/>
                </w:rPr>
                <w:t>Twenty-Eighth Supplemental Indenture (4.90% Senior Notes due 2045) dated December 9, 2014, by and among Plains All</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2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American Pipeline, L.P., PAA Finance Corp. and U.S. Bank National Association, as trustee (incorporated by reference to</w:t>
              </w:r>
            </w:hyperlink>
          </w:p>
        </w:tc>
        <w:tc>
          <w:tcPr>
            <w:tcW w:w="40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Exhibit 4.3 to our Current Report on Form 8-K filed December 11, 2014).</w:t>
              </w:r>
            </w:hyperlink>
          </w:p>
        </w:tc>
        <w:tc>
          <w:tcPr>
            <w:tcW w:w="44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4.12</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30"/>
          </w:tcPr>
          <w:p>
            <w:pPr>
              <w:spacing w:after="0"/>
              <w:rPr>
                <w:rFonts w:ascii="Arial" w:cs="Arial" w:eastAsia="Arial" w:hAnsi="Arial"/>
                <w:sz w:val="18"/>
                <w:szCs w:val="18"/>
                <w:color w:val="0000FF"/>
                <w:w w:val="91"/>
              </w:rPr>
            </w:pPr>
            <w:hyperlink r:id="rId193">
              <w:r>
                <w:rPr>
                  <w:rFonts w:ascii="Arial" w:cs="Arial" w:eastAsia="Arial" w:hAnsi="Arial"/>
                  <w:sz w:val="18"/>
                  <w:szCs w:val="18"/>
                  <w:color w:val="0000FF"/>
                  <w:w w:val="91"/>
                </w:rPr>
                <w:t>Twenty-Ninth Supplemental Indenture (4.65% Senior Notes due 2025) dated August 24, 2015, by and among Plains All American</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0" w:type="dxa"/>
            <w:vAlign w:val="bottom"/>
            <w:gridSpan w:val="30"/>
          </w:tcPr>
          <w:p>
            <w:pPr>
              <w:spacing w:after="0" w:line="156"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Current Report on Form 8-K filed August 26, 2015).</w:t>
              </w:r>
            </w:hyperlink>
          </w:p>
        </w:tc>
        <w:tc>
          <w:tcPr>
            <w:tcW w:w="55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4.13</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9260" w:type="dxa"/>
            <w:vAlign w:val="bottom"/>
            <w:tcBorders>
              <w:bottom w:val="single" w:sz="8" w:color="0000FF"/>
            </w:tcBorders>
            <w:gridSpan w:val="25"/>
          </w:tcPr>
          <w:p>
            <w:pPr>
              <w:spacing w:after="0"/>
              <w:rPr>
                <w:rFonts w:ascii="Arial" w:cs="Arial" w:eastAsia="Arial" w:hAnsi="Arial"/>
                <w:sz w:val="18"/>
                <w:szCs w:val="18"/>
                <w:color w:val="0000FF"/>
                <w:w w:val="90"/>
              </w:rPr>
            </w:pPr>
            <w:hyperlink r:id="rId194">
              <w:r>
                <w:rPr>
                  <w:rFonts w:ascii="Arial" w:cs="Arial" w:eastAsia="Arial" w:hAnsi="Arial"/>
                  <w:sz w:val="18"/>
                  <w:szCs w:val="18"/>
                  <w:color w:val="0000FF"/>
                  <w:w w:val="90"/>
                </w:rPr>
                <w:t>Thirtieth Supplemental Indenture (4.50% Senior Notes due 2026) dated November 22, 2016, by and among Plains All American</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0" w:type="dxa"/>
            <w:vAlign w:val="bottom"/>
            <w:gridSpan w:val="30"/>
          </w:tcPr>
          <w:p>
            <w:pPr>
              <w:spacing w:after="0" w:line="156" w:lineRule="exact"/>
              <w:rPr>
                <w:rFonts w:ascii="Arial" w:cs="Arial" w:eastAsia="Arial" w:hAnsi="Arial"/>
                <w:sz w:val="18"/>
                <w:szCs w:val="18"/>
                <w:color w:val="0000FF"/>
                <w:w w:val="91"/>
              </w:rPr>
            </w:pPr>
            <w:hyperlink r:id="rId194">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94">
              <w:r>
                <w:rPr>
                  <w:rFonts w:ascii="Arial" w:cs="Arial" w:eastAsia="Arial" w:hAnsi="Arial"/>
                  <w:sz w:val="18"/>
                  <w:szCs w:val="18"/>
                  <w:color w:val="0000FF"/>
                  <w:w w:val="91"/>
                </w:rPr>
                <w:t>Current Report on Form 8-K filed November 29, 2016).</w:t>
              </w:r>
            </w:hyperlink>
          </w:p>
        </w:tc>
        <w:tc>
          <w:tcPr>
            <w:tcW w:w="53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4.14</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9400" w:type="dxa"/>
            <w:vAlign w:val="bottom"/>
            <w:gridSpan w:val="30"/>
          </w:tcPr>
          <w:p>
            <w:pPr>
              <w:spacing w:after="0"/>
              <w:rPr>
                <w:rFonts w:ascii="Arial" w:cs="Arial" w:eastAsia="Arial" w:hAnsi="Arial"/>
                <w:sz w:val="18"/>
                <w:szCs w:val="18"/>
                <w:color w:val="0000FF"/>
                <w:w w:val="97"/>
              </w:rPr>
            </w:pPr>
            <w:hyperlink r:id="rId195">
              <w:r>
                <w:rPr>
                  <w:rFonts w:ascii="Arial" w:cs="Arial" w:eastAsia="Arial" w:hAnsi="Arial"/>
                  <w:sz w:val="18"/>
                  <w:szCs w:val="18"/>
                  <w:color w:val="0000FF"/>
                  <w:w w:val="97"/>
                </w:rPr>
                <w:t>Thirty-First Supplemental Indenture (3.55% Senior Notes due 2029) dated September 16, 2019, by and among Plains All</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0" w:type="dxa"/>
            <w:vAlign w:val="bottom"/>
            <w:gridSpan w:val="30"/>
          </w:tcPr>
          <w:p>
            <w:pPr>
              <w:spacing w:after="0" w:line="156" w:lineRule="exact"/>
              <w:rPr>
                <w:rFonts w:ascii="Arial" w:cs="Arial" w:eastAsia="Arial" w:hAnsi="Arial"/>
                <w:sz w:val="18"/>
                <w:szCs w:val="18"/>
                <w:color w:val="0000FF"/>
                <w:w w:val="91"/>
              </w:rPr>
            </w:pPr>
            <w:hyperlink r:id="rId195">
              <w:r>
                <w:rPr>
                  <w:rFonts w:ascii="Arial" w:cs="Arial" w:eastAsia="Arial" w:hAnsi="Arial"/>
                  <w:sz w:val="18"/>
                  <w:szCs w:val="18"/>
                  <w:color w:val="0000FF"/>
                  <w:w w:val="91"/>
                </w:rPr>
                <w:t>American Pipeline, L.P., PAA Finance Corp. and U.S. Bank National Association, as trustee (incorporated by reference to Exhibit</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3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4.</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our Current Report on Form 8-K filed September 17, 2019).</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4.15</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9400" w:type="dxa"/>
            <w:vAlign w:val="bottom"/>
            <w:gridSpan w:val="30"/>
          </w:tcPr>
          <w:p>
            <w:pPr>
              <w:spacing w:after="0"/>
              <w:rPr>
                <w:rFonts w:ascii="Arial" w:cs="Arial" w:eastAsia="Arial" w:hAnsi="Arial"/>
                <w:sz w:val="18"/>
                <w:szCs w:val="18"/>
                <w:color w:val="0000FF"/>
                <w:w w:val="92"/>
              </w:rPr>
            </w:pPr>
            <w:hyperlink r:id="rId196">
              <w:r>
                <w:rPr>
                  <w:rFonts w:ascii="Arial" w:cs="Arial" w:eastAsia="Arial" w:hAnsi="Arial"/>
                  <w:sz w:val="18"/>
                  <w:szCs w:val="18"/>
                  <w:u w:val="single" w:color="auto"/>
                  <w:color w:val="0000FF"/>
                  <w:w w:val="92"/>
                </w:rPr>
                <w:t>Thirty-Second Supplemental Indenture (3.80% Senior Notes due 2030) dated June 11, 2020, by</w:t>
              </w:r>
              <w:r>
                <w:rPr>
                  <w:rFonts w:ascii="Arial" w:cs="Arial" w:eastAsia="Arial" w:hAnsi="Arial"/>
                  <w:sz w:val="18"/>
                  <w:szCs w:val="18"/>
                  <w:color w:val="0000FF"/>
                  <w:w w:val="92"/>
                </w:rPr>
                <w:t xml:space="preserve"> and among Plains All American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900" w:type="dxa"/>
            <w:vAlign w:val="bottom"/>
            <w:gridSpan w:val="11"/>
            <w:vMerge w:val="restart"/>
          </w:tcPr>
          <w:p>
            <w:pPr>
              <w:spacing w:after="0" w:line="176" w:lineRule="exact"/>
              <w:rPr>
                <w:rFonts w:ascii="Arial" w:cs="Arial" w:eastAsia="Arial" w:hAnsi="Arial"/>
                <w:sz w:val="18"/>
                <w:szCs w:val="18"/>
                <w:color w:val="0000FF"/>
                <w:w w:val="90"/>
              </w:rPr>
            </w:pPr>
            <w:hyperlink r:id="rId196">
              <w:r>
                <w:rPr>
                  <w:rFonts w:ascii="Arial" w:cs="Arial" w:eastAsia="Arial" w:hAnsi="Arial"/>
                  <w:sz w:val="18"/>
                  <w:szCs w:val="18"/>
                  <w:color w:val="0000FF"/>
                  <w:w w:val="90"/>
                </w:rPr>
                <w:t>Pipeline, L.P., PAA Finance Corp. and U.S. Bank National Association, as trustee (incorporated</w:t>
              </w:r>
            </w:hyperlink>
          </w:p>
        </w:tc>
        <w:tc>
          <w:tcPr>
            <w:tcW w:w="2320" w:type="dxa"/>
            <w:vAlign w:val="bottom"/>
            <w:gridSpan w:val="12"/>
            <w:shd w:val="clear" w:color="auto" w:fill="0000FF"/>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900" w:type="dxa"/>
            <w:vAlign w:val="bottom"/>
            <w:gridSpan w:val="11"/>
            <w:vMerge w:val="continue"/>
          </w:tcPr>
          <w:p>
            <w:pPr>
              <w:spacing w:after="0"/>
              <w:rPr>
                <w:sz w:val="13"/>
                <w:szCs w:val="13"/>
                <w:color w:val="auto"/>
              </w:rPr>
            </w:pPr>
          </w:p>
        </w:tc>
        <w:tc>
          <w:tcPr>
            <w:tcW w:w="2500" w:type="dxa"/>
            <w:vAlign w:val="bottom"/>
            <w:gridSpan w:val="19"/>
          </w:tcPr>
          <w:p>
            <w:pPr>
              <w:ind w:left="20"/>
              <w:spacing w:after="0" w:line="156" w:lineRule="exact"/>
              <w:rPr>
                <w:rFonts w:ascii="Arial" w:cs="Arial" w:eastAsia="Arial" w:hAnsi="Arial"/>
                <w:sz w:val="18"/>
                <w:szCs w:val="18"/>
                <w:color w:val="0000FF"/>
                <w:w w:val="94"/>
              </w:rPr>
            </w:pPr>
            <w:hyperlink r:id="rId196">
              <w:r>
                <w:rPr>
                  <w:rFonts w:ascii="Arial" w:cs="Arial" w:eastAsia="Arial" w:hAnsi="Arial"/>
                  <w:sz w:val="18"/>
                  <w:szCs w:val="18"/>
                  <w:color w:val="0000FF"/>
                  <w:w w:val="94"/>
                </w:rPr>
                <w:t>by reference to Exhibit 4.1 to our</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96">
              <w:r>
                <w:rPr>
                  <w:rFonts w:ascii="Arial" w:cs="Arial" w:eastAsia="Arial" w:hAnsi="Arial"/>
                  <w:sz w:val="18"/>
                  <w:szCs w:val="18"/>
                  <w:color w:val="0000FF"/>
                  <w:w w:val="90"/>
                </w:rPr>
                <w:t>Current Report on Form 8-K filed June 11, 2020).</w:t>
              </w:r>
            </w:hyperlink>
          </w:p>
        </w:tc>
        <w:tc>
          <w:tcPr>
            <w:tcW w:w="5740" w:type="dxa"/>
            <w:vAlign w:val="bottom"/>
            <w:tcBorders>
              <w:top w:val="single" w:sz="8" w:color="0000FF"/>
            </w:tcBorders>
            <w:gridSpan w:val="2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13" w:name="page114"/>
    <w:bookmarkEnd w:id="1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4.16</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5"/>
              </w:rPr>
            </w:pPr>
            <w:hyperlink r:id="rId198">
              <w:r>
                <w:rPr>
                  <w:rFonts w:ascii="Arial" w:cs="Arial" w:eastAsia="Arial" w:hAnsi="Arial"/>
                  <w:sz w:val="18"/>
                  <w:szCs w:val="18"/>
                  <w:color w:val="0000FF"/>
                  <w:w w:val="95"/>
                </w:rPr>
                <w:t>Registration Rights Agreement dated September 3, 2009 by and between Plains All American Pipeline, L.P. and Vulcan Gas</w:t>
              </w:r>
            </w:hyperlink>
          </w:p>
        </w:tc>
      </w:tr>
      <w:tr>
        <w:trPr>
          <w:trHeight w:val="224"/>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960" w:type="dxa"/>
            <w:vAlign w:val="bottom"/>
            <w:tcBorders>
              <w:top w:val="single" w:sz="8" w:color="0000FF"/>
            </w:tcBorders>
            <w:gridSpan w:val="10"/>
          </w:tcPr>
          <w:p>
            <w:pPr>
              <w:spacing w:after="0"/>
              <w:rPr>
                <w:rFonts w:ascii="Arial" w:cs="Arial" w:eastAsia="Arial" w:hAnsi="Arial"/>
                <w:sz w:val="18"/>
                <w:szCs w:val="18"/>
                <w:u w:val="single" w:color="auto"/>
                <w:color w:val="0000FF"/>
                <w:w w:val="93"/>
              </w:rPr>
            </w:pPr>
            <w:hyperlink r:id="rId198">
              <w:r>
                <w:rPr>
                  <w:rFonts w:ascii="Arial" w:cs="Arial" w:eastAsia="Arial" w:hAnsi="Arial"/>
                  <w:sz w:val="18"/>
                  <w:szCs w:val="18"/>
                  <w:u w:val="single" w:color="auto"/>
                  <w:color w:val="0000FF"/>
                  <w:w w:val="93"/>
                </w:rPr>
                <w:t>Storage LLC (incorporated by reference to Exhibit 4.1 to our Registration Statement on Form S-3, File No. 333-162477).</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4.17</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1"/>
              </w:rPr>
            </w:pPr>
            <w:hyperlink r:id="rId199">
              <w:r>
                <w:rPr>
                  <w:rFonts w:ascii="Arial" w:cs="Arial" w:eastAsia="Arial" w:hAnsi="Arial"/>
                  <w:sz w:val="18"/>
                  <w:szCs w:val="18"/>
                  <w:color w:val="0000FF"/>
                  <w:w w:val="91"/>
                </w:rPr>
                <w:t>Registration Rights Agreement dated as of January 28, 2016 among Plains All American Pipeline, L.P. and the Purchasers named</w:t>
              </w:r>
            </w:hyperlink>
          </w:p>
        </w:tc>
      </w:tr>
      <w:tr>
        <w:trPr>
          <w:trHeight w:val="224"/>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340" w:type="dxa"/>
            <w:vAlign w:val="bottom"/>
            <w:tcBorders>
              <w:top w:val="single" w:sz="8" w:color="0000FF"/>
            </w:tcBorders>
            <w:gridSpan w:val="23"/>
          </w:tcPr>
          <w:p>
            <w:pPr>
              <w:spacing w:after="0"/>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therein (incorporated by reference to Exhibit 4.1 to our Current Report on Form 8-K filed February 2, 2016).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4.18</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9"/>
              </w:rPr>
            </w:pPr>
            <w:hyperlink r:id="rId200">
              <w:r>
                <w:rPr>
                  <w:rFonts w:ascii="Arial" w:cs="Arial" w:eastAsia="Arial" w:hAnsi="Arial"/>
                  <w:sz w:val="18"/>
                  <w:szCs w:val="18"/>
                  <w:color w:val="0000FF"/>
                  <w:w w:val="99"/>
                </w:rPr>
                <w:t>Registration Rights Agreement by and among Plains All American Pipeline, L.P. and the Holders defined therein, dated</w:t>
              </w:r>
            </w:hyperlink>
          </w:p>
        </w:tc>
      </w:tr>
      <w:tr>
        <w:trPr>
          <w:trHeight w:val="224"/>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20" w:type="dxa"/>
            <w:vAlign w:val="bottom"/>
            <w:tcBorders>
              <w:top w:val="single" w:sz="8" w:color="0000FF"/>
            </w:tcBorders>
            <w:gridSpan w:val="5"/>
          </w:tcPr>
          <w:p>
            <w:pPr>
              <w:spacing w:after="0"/>
              <w:rPr>
                <w:rFonts w:ascii="Arial" w:cs="Arial" w:eastAsia="Arial" w:hAnsi="Arial"/>
                <w:sz w:val="18"/>
                <w:szCs w:val="18"/>
                <w:u w:val="single" w:color="auto"/>
                <w:color w:val="0000FF"/>
                <w:w w:val="92"/>
              </w:rPr>
            </w:pPr>
            <w:hyperlink r:id="rId200">
              <w:r>
                <w:rPr>
                  <w:rFonts w:ascii="Arial" w:cs="Arial" w:eastAsia="Arial" w:hAnsi="Arial"/>
                  <w:sz w:val="18"/>
                  <w:szCs w:val="18"/>
                  <w:u w:val="single" w:color="auto"/>
                  <w:color w:val="0000FF"/>
                  <w:w w:val="92"/>
                </w:rPr>
                <w:t>November 15, 2016 (incorporated by reference to Exhibit 10.4 to our Current Report on Form 8-K filed November 21,</w:t>
              </w:r>
            </w:hyperlink>
          </w:p>
        </w:tc>
        <w:tc>
          <w:tcPr>
            <w:tcW w:w="440" w:type="dxa"/>
            <w:vAlign w:val="bottom"/>
            <w:gridSpan w:val="7"/>
          </w:tcPr>
          <w:p>
            <w:pPr>
              <w:jc w:val="right"/>
              <w:spacing w:after="0"/>
              <w:rPr>
                <w:rFonts w:ascii="Arial" w:cs="Arial" w:eastAsia="Arial" w:hAnsi="Arial"/>
                <w:sz w:val="18"/>
                <w:szCs w:val="18"/>
                <w:u w:val="single" w:color="auto"/>
                <w:color w:val="0000FF"/>
                <w:w w:val="82"/>
              </w:rPr>
            </w:pPr>
            <w:hyperlink r:id="rId200">
              <w:r>
                <w:rPr>
                  <w:rFonts w:ascii="Arial" w:cs="Arial" w:eastAsia="Arial" w:hAnsi="Arial"/>
                  <w:sz w:val="18"/>
                  <w:szCs w:val="18"/>
                  <w:u w:val="single" w:color="auto"/>
                  <w:color w:val="0000FF"/>
                  <w:w w:val="82"/>
                </w:rPr>
                <w:t>2016).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4.19 †</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u w:val="single" w:color="auto"/>
                <w:color w:val="0000FF"/>
              </w:rPr>
            </w:pPr>
            <w:hyperlink w:anchor="page188">
              <w:r>
                <w:rPr>
                  <w:rFonts w:ascii="Arial" w:cs="Arial" w:eastAsia="Arial" w:hAnsi="Arial"/>
                  <w:sz w:val="18"/>
                  <w:szCs w:val="18"/>
                  <w:u w:val="single" w:color="auto"/>
                  <w:color w:val="0000FF"/>
                </w:rPr>
                <w:t>Description of Our Securities.</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5"/>
              </w:rPr>
            </w:pPr>
            <w:hyperlink r:id="rId201">
              <w:r>
                <w:rPr>
                  <w:rFonts w:ascii="Arial" w:cs="Arial" w:eastAsia="Arial" w:hAnsi="Arial"/>
                  <w:sz w:val="18"/>
                  <w:szCs w:val="18"/>
                  <w:color w:val="0000FF"/>
                  <w:w w:val="95"/>
                </w:rPr>
                <w:t>Credit Agreement dated as of August 19, 2011 among Plains All American Pipeline, L.P., as Borrower; certain subsidiaries of</w:t>
              </w:r>
            </w:hyperlink>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60" w:type="dxa"/>
            <w:vAlign w:val="bottom"/>
            <w:tcBorders>
              <w:top w:val="single" w:sz="8" w:color="0000FF"/>
            </w:tcBorders>
            <w:gridSpan w:val="12"/>
          </w:tcPr>
          <w:p>
            <w:pPr>
              <w:spacing w:after="0" w:line="156" w:lineRule="exact"/>
              <w:rPr>
                <w:rFonts w:ascii="Arial" w:cs="Arial" w:eastAsia="Arial" w:hAnsi="Arial"/>
                <w:sz w:val="18"/>
                <w:szCs w:val="18"/>
                <w:color w:val="0000FF"/>
                <w:w w:val="96"/>
              </w:rPr>
            </w:pPr>
            <w:hyperlink r:id="rId201">
              <w:r>
                <w:rPr>
                  <w:rFonts w:ascii="Arial" w:cs="Arial" w:eastAsia="Arial" w:hAnsi="Arial"/>
                  <w:sz w:val="18"/>
                  <w:szCs w:val="18"/>
                  <w:color w:val="0000FF"/>
                  <w:w w:val="96"/>
                </w:rPr>
                <w:t>Plains All American Pipeline, L.P. from time to time party thereto, as Designated Borrowers; Bank of America, N.A.,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60" w:type="dxa"/>
            <w:vAlign w:val="bottom"/>
            <w:gridSpan w:val="29"/>
          </w:tcPr>
          <w:p>
            <w:pPr>
              <w:spacing w:after="0" w:line="156" w:lineRule="exact"/>
              <w:rPr>
                <w:rFonts w:ascii="Arial" w:cs="Arial" w:eastAsia="Arial" w:hAnsi="Arial"/>
                <w:sz w:val="18"/>
                <w:szCs w:val="18"/>
                <w:color w:val="0000FF"/>
                <w:w w:val="95"/>
              </w:rPr>
            </w:pPr>
            <w:hyperlink r:id="rId201">
              <w:r>
                <w:rPr>
                  <w:rFonts w:ascii="Arial" w:cs="Arial" w:eastAsia="Arial" w:hAnsi="Arial"/>
                  <w:sz w:val="18"/>
                  <w:szCs w:val="18"/>
                  <w:color w:val="0000FF"/>
                  <w:w w:val="95"/>
                </w:rPr>
                <w:t>Administrative Agent; and the other Lenders party thereto (incorporated by reference to Exhibit 10.1 to our Current Report on</w:t>
              </w:r>
            </w:hyperlink>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201">
              <w:r>
                <w:rPr>
                  <w:rFonts w:ascii="Arial" w:cs="Arial" w:eastAsia="Arial" w:hAnsi="Arial"/>
                  <w:sz w:val="18"/>
                  <w:szCs w:val="18"/>
                  <w:color w:val="0000FF"/>
                  <w:w w:val="93"/>
                </w:rPr>
                <w:t>Form 8-K filed August 25, 2011).</w:t>
              </w:r>
            </w:hyperlink>
          </w:p>
        </w:tc>
        <w:tc>
          <w:tcPr>
            <w:tcW w:w="66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1"/>
              </w:rPr>
            </w:pPr>
            <w:hyperlink r:id="rId202">
              <w:r>
                <w:rPr>
                  <w:rFonts w:ascii="Arial" w:cs="Arial" w:eastAsia="Arial" w:hAnsi="Arial"/>
                  <w:sz w:val="18"/>
                  <w:szCs w:val="18"/>
                  <w:color w:val="0000FF"/>
                  <w:w w:val="91"/>
                </w:rPr>
                <w:t>First Amendment to Credit Agreement dated as of June 27, 2012, among Plains All American Pipeline, L.P. and Plains Midstream</w:t>
              </w:r>
            </w:hyperlink>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0" w:type="dxa"/>
            <w:vAlign w:val="bottom"/>
            <w:tcBorders>
              <w:top w:val="single" w:sz="8" w:color="0000FF"/>
            </w:tcBorders>
            <w:gridSpan w:val="26"/>
          </w:tcPr>
          <w:p>
            <w:pPr>
              <w:spacing w:after="0" w:line="156" w:lineRule="exact"/>
              <w:rPr>
                <w:rFonts w:ascii="Arial" w:cs="Arial" w:eastAsia="Arial" w:hAnsi="Arial"/>
                <w:sz w:val="18"/>
                <w:szCs w:val="18"/>
                <w:color w:val="0000FF"/>
                <w:w w:val="94"/>
              </w:rPr>
            </w:pPr>
            <w:hyperlink r:id="rId202">
              <w:r>
                <w:rPr>
                  <w:rFonts w:ascii="Arial" w:cs="Arial" w:eastAsia="Arial" w:hAnsi="Arial"/>
                  <w:sz w:val="18"/>
                  <w:szCs w:val="18"/>
                  <w:color w:val="0000FF"/>
                  <w:w w:val="94"/>
                </w:rPr>
                <w:t>Canada ULC, as Borrowers; Bank of America, N.A., as Administrative Agent, Swing Line Lender and L/C Issuer; Wells Fargo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16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Bank, National Association, as an L/C Issuer; and the other Lenders party thereto (incorporated by reference to Exhibit 10.2 to</w:t>
              </w:r>
            </w:hyperlink>
          </w:p>
        </w:tc>
        <w:tc>
          <w:tcPr>
            <w:tcW w:w="300" w:type="dxa"/>
            <w:vAlign w:val="bottom"/>
            <w:gridSpan w:val="13"/>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our</w:t>
              </w:r>
            </w:hyperlink>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Current Report on Form 8-K filed July 3, 2012).</w:t>
              </w:r>
            </w:hyperlink>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5"/>
              </w:rPr>
            </w:pPr>
            <w:hyperlink r:id="rId203">
              <w:r>
                <w:rPr>
                  <w:rFonts w:ascii="Arial" w:cs="Arial" w:eastAsia="Arial" w:hAnsi="Arial"/>
                  <w:sz w:val="18"/>
                  <w:szCs w:val="18"/>
                  <w:color w:val="0000FF"/>
                  <w:w w:val="95"/>
                </w:rPr>
                <w:t>Second Amendment to Credit Agreement dated as of August 16, 2013, among Plains All American Pipeline, L.P. and Plains</w:t>
              </w:r>
            </w:hyperlink>
          </w:p>
        </w:tc>
      </w:tr>
      <w:tr>
        <w:trPr>
          <w:trHeight w:val="20"/>
        </w:trPr>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60" w:type="dxa"/>
            <w:vAlign w:val="bottom"/>
            <w:gridSpan w:val="29"/>
          </w:tcPr>
          <w:p>
            <w:pPr>
              <w:spacing w:after="0" w:line="156" w:lineRule="exact"/>
              <w:rPr>
                <w:rFonts w:ascii="Arial" w:cs="Arial" w:eastAsia="Arial" w:hAnsi="Arial"/>
                <w:sz w:val="18"/>
                <w:szCs w:val="18"/>
                <w:color w:val="0000FF"/>
                <w:w w:val="96"/>
              </w:rPr>
            </w:pPr>
            <w:hyperlink r:id="rId203">
              <w:r>
                <w:rPr>
                  <w:rFonts w:ascii="Arial" w:cs="Arial" w:eastAsia="Arial" w:hAnsi="Arial"/>
                  <w:sz w:val="18"/>
                  <w:szCs w:val="18"/>
                  <w:color w:val="0000FF"/>
                  <w:w w:val="96"/>
                </w:rPr>
                <w:t>Midstream Canada ULC, as Borrowers; Bank of America, N.A., as Administrative Agent, Swing Line Lender and L/C Issuer;</w:t>
              </w:r>
            </w:hyperlink>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8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203">
              <w:r>
                <w:rPr>
                  <w:rFonts w:ascii="Arial" w:cs="Arial" w:eastAsia="Arial" w:hAnsi="Arial"/>
                  <w:sz w:val="18"/>
                  <w:szCs w:val="18"/>
                  <w:color w:val="0000FF"/>
                  <w:w w:val="92"/>
                </w:rPr>
                <w:t>Wells Fargo Bank, National Association, as an L/C Issuer; and the other Lenders party thereto (incorporated by reference to</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203">
              <w:r>
                <w:rPr>
                  <w:rFonts w:ascii="Arial" w:cs="Arial" w:eastAsia="Arial" w:hAnsi="Arial"/>
                  <w:sz w:val="18"/>
                  <w:szCs w:val="18"/>
                  <w:color w:val="0000FF"/>
                  <w:w w:val="92"/>
                </w:rPr>
                <w:t>Exhibit 10.2 to our Current Report on Form 8-K filed August 20, 2013).</w:t>
              </w:r>
            </w:hyperlink>
          </w:p>
        </w:tc>
        <w:tc>
          <w:tcPr>
            <w:tcW w:w="3740" w:type="dxa"/>
            <w:vAlign w:val="bottom"/>
            <w:tcBorders>
              <w:top w:val="single" w:sz="8" w:color="0000FF"/>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8820" w:type="dxa"/>
            <w:vAlign w:val="bottom"/>
            <w:tcBorders>
              <w:bottom w:val="single" w:sz="8" w:color="0000FF"/>
            </w:tcBorders>
            <w:gridSpan w:val="7"/>
          </w:tcPr>
          <w:p>
            <w:pPr>
              <w:spacing w:after="0"/>
              <w:rPr>
                <w:rFonts w:ascii="Arial" w:cs="Arial" w:eastAsia="Arial" w:hAnsi="Arial"/>
                <w:sz w:val="18"/>
                <w:szCs w:val="18"/>
                <w:color w:val="0000FF"/>
                <w:w w:val="91"/>
              </w:rPr>
            </w:pPr>
            <w:hyperlink r:id="rId204">
              <w:r>
                <w:rPr>
                  <w:rFonts w:ascii="Arial" w:cs="Arial" w:eastAsia="Arial" w:hAnsi="Arial"/>
                  <w:sz w:val="18"/>
                  <w:szCs w:val="18"/>
                  <w:color w:val="0000FF"/>
                  <w:w w:val="91"/>
                </w:rPr>
                <w:t>Third Amendment to Credit Agreement dated as of August 11, 2016, among Plains All American Pipeline, L.P. and Plains</w:t>
              </w:r>
            </w:hyperlink>
          </w:p>
        </w:tc>
        <w:tc>
          <w:tcPr>
            <w:tcW w:w="640" w:type="dxa"/>
            <w:vAlign w:val="bottom"/>
            <w:gridSpan w:val="22"/>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60" w:type="dxa"/>
            <w:vAlign w:val="bottom"/>
            <w:gridSpan w:val="29"/>
          </w:tcPr>
          <w:p>
            <w:pPr>
              <w:spacing w:after="0" w:line="156" w:lineRule="exact"/>
              <w:rPr>
                <w:rFonts w:ascii="Arial" w:cs="Arial" w:eastAsia="Arial" w:hAnsi="Arial"/>
                <w:sz w:val="18"/>
                <w:szCs w:val="18"/>
                <w:color w:val="0000FF"/>
                <w:w w:val="96"/>
              </w:rPr>
            </w:pPr>
            <w:hyperlink r:id="rId204">
              <w:r>
                <w:rPr>
                  <w:rFonts w:ascii="Arial" w:cs="Arial" w:eastAsia="Arial" w:hAnsi="Arial"/>
                  <w:sz w:val="18"/>
                  <w:szCs w:val="18"/>
                  <w:color w:val="0000FF"/>
                  <w:w w:val="96"/>
                </w:rPr>
                <w:t>Midstream Canada ULC, as Borrowers; Bank of America, N.A., as Administrative Agent, Swing Line Lender and L/C Issuer;</w:t>
              </w:r>
            </w:hyperlink>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8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204">
              <w:r>
                <w:rPr>
                  <w:rFonts w:ascii="Arial" w:cs="Arial" w:eastAsia="Arial" w:hAnsi="Arial"/>
                  <w:sz w:val="18"/>
                  <w:szCs w:val="18"/>
                  <w:color w:val="0000FF"/>
                  <w:w w:val="92"/>
                </w:rPr>
                <w:t>Wells Fargo Bank, National Association, as an L/C Issuer; and the other Lenders party thereto (incorporated by reference to</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204">
              <w:r>
                <w:rPr>
                  <w:rFonts w:ascii="Arial" w:cs="Arial" w:eastAsia="Arial" w:hAnsi="Arial"/>
                  <w:sz w:val="18"/>
                  <w:szCs w:val="18"/>
                  <w:color w:val="0000FF"/>
                  <w:w w:val="92"/>
                </w:rPr>
                <w:t>Exhibit 10.1 to our Current Report on Form 8-K filed August 17, 2016).</w:t>
              </w:r>
            </w:hyperlink>
          </w:p>
        </w:tc>
        <w:tc>
          <w:tcPr>
            <w:tcW w:w="3740" w:type="dxa"/>
            <w:vAlign w:val="bottom"/>
            <w:tcBorders>
              <w:top w:val="single" w:sz="8" w:color="0000FF"/>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2"/>
              </w:rPr>
            </w:pPr>
            <w:hyperlink r:id="rId205">
              <w:r>
                <w:rPr>
                  <w:rFonts w:ascii="Arial" w:cs="Arial" w:eastAsia="Arial" w:hAnsi="Arial"/>
                  <w:sz w:val="18"/>
                  <w:szCs w:val="18"/>
                  <w:color w:val="0000FF"/>
                  <w:w w:val="92"/>
                </w:rPr>
                <w:t>Third Amended and Restated Credit Agreement dated as of August 19, 2011 by and among Plains Marketing, L.P., as Borrower,</w:t>
              </w:r>
            </w:hyperlink>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6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205">
              <w:r>
                <w:rPr>
                  <w:rFonts w:ascii="Arial" w:cs="Arial" w:eastAsia="Arial" w:hAnsi="Arial"/>
                  <w:sz w:val="18"/>
                  <w:szCs w:val="18"/>
                  <w:color w:val="0000FF"/>
                  <w:w w:val="92"/>
                </w:rPr>
                <w:t>Plains All American Pipeline, L.P., as Guarantor, Bank of America, N.A., as Administrative Agent, and the other Lenders party</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4"/>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180" w:type="dxa"/>
            <w:vAlign w:val="bottom"/>
            <w:tcBorders>
              <w:top w:val="single" w:sz="8" w:color="0000FF"/>
            </w:tcBorders>
            <w:gridSpan w:val="17"/>
          </w:tcPr>
          <w:p>
            <w:pPr>
              <w:spacing w:after="0"/>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thereto (incorporated by reference to Exhibit 10.2 to our Current Report on Form 8-K filed August 25, 2011).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1"/>
              </w:rPr>
            </w:pPr>
            <w:hyperlink r:id="rId206">
              <w:r>
                <w:rPr>
                  <w:rFonts w:ascii="Arial" w:cs="Arial" w:eastAsia="Arial" w:hAnsi="Arial"/>
                  <w:sz w:val="18"/>
                  <w:szCs w:val="18"/>
                  <w:color w:val="0000FF"/>
                  <w:w w:val="91"/>
                </w:rPr>
                <w:t>First Amendment to Third Amended and Restated Credit Agreement dated as of June 27, 2012, among Plains Marketing, L.P. and</w:t>
              </w:r>
            </w:hyperlink>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380" w:type="dxa"/>
            <w:vAlign w:val="bottom"/>
            <w:tcBorders>
              <w:top w:val="single" w:sz="8" w:color="0000FF"/>
            </w:tcBorders>
            <w:gridSpan w:val="25"/>
          </w:tcPr>
          <w:p>
            <w:pPr>
              <w:spacing w:after="0" w:line="156" w:lineRule="exact"/>
              <w:rPr>
                <w:rFonts w:ascii="Arial" w:cs="Arial" w:eastAsia="Arial" w:hAnsi="Arial"/>
                <w:sz w:val="18"/>
                <w:szCs w:val="18"/>
                <w:color w:val="0000FF"/>
                <w:w w:val="96"/>
              </w:rPr>
            </w:pPr>
            <w:hyperlink r:id="rId206">
              <w:r>
                <w:rPr>
                  <w:rFonts w:ascii="Arial" w:cs="Arial" w:eastAsia="Arial" w:hAnsi="Arial"/>
                  <w:sz w:val="18"/>
                  <w:szCs w:val="18"/>
                  <w:color w:val="0000FF"/>
                  <w:w w:val="96"/>
                </w:rPr>
                <w:t>Plains Midstream Canada ULC, as Borrowers; Plains All American Pipeline, L.P., as Guarantor; Bank of America, N.A., as</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900" w:type="dxa"/>
            <w:vAlign w:val="bottom"/>
            <w:tcBorders>
              <w:top w:val="single" w:sz="8" w:color="0000FF"/>
            </w:tcBorders>
            <w:gridSpan w:val="8"/>
          </w:tcPr>
          <w:p>
            <w:pPr>
              <w:spacing w:after="0" w:line="156" w:lineRule="exact"/>
              <w:rPr>
                <w:rFonts w:ascii="Arial" w:cs="Arial" w:eastAsia="Arial" w:hAnsi="Arial"/>
                <w:sz w:val="18"/>
                <w:szCs w:val="18"/>
                <w:color w:val="0000FF"/>
                <w:w w:val="90"/>
              </w:rPr>
            </w:pPr>
            <w:hyperlink r:id="rId206">
              <w:r>
                <w:rPr>
                  <w:rFonts w:ascii="Arial" w:cs="Arial" w:eastAsia="Arial" w:hAnsi="Arial"/>
                  <w:sz w:val="18"/>
                  <w:szCs w:val="18"/>
                  <w:color w:val="0000FF"/>
                  <w:w w:val="90"/>
                </w:rPr>
                <w:t>Administrative Agent, Swing Line Lender and L/C Issuer; and the other Lenders and L/C Issuers party thereto (incorporated</w:t>
              </w:r>
            </w:hyperlink>
          </w:p>
        </w:tc>
        <w:tc>
          <w:tcPr>
            <w:tcW w:w="560" w:type="dxa"/>
            <w:vAlign w:val="bottom"/>
            <w:gridSpan w:val="21"/>
          </w:tcPr>
          <w:p>
            <w:pPr>
              <w:ind w:left="100"/>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by</w:t>
              </w:r>
            </w:hyperlink>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reference to Exhibit 10.1 to our Current Report on Form 8-K filed July 3,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gridSpan w:val="4"/>
            <w:shd w:val="clear" w:color="auto" w:fill="0000FF"/>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3"/>
              </w:rPr>
            </w:pPr>
            <w:hyperlink r:id="rId207">
              <w:r>
                <w:rPr>
                  <w:rFonts w:ascii="Arial" w:cs="Arial" w:eastAsia="Arial" w:hAnsi="Arial"/>
                  <w:sz w:val="18"/>
                  <w:szCs w:val="18"/>
                  <w:color w:val="0000FF"/>
                  <w:w w:val="93"/>
                </w:rPr>
                <w:t>Second Amendment to Third Amended and Restated Credit Agreement dated as of August 16, 2013, among Plains Marketing,</w:t>
              </w:r>
            </w:hyperlink>
          </w:p>
        </w:tc>
      </w:tr>
      <w:tr>
        <w:trPr>
          <w:trHeight w:val="20"/>
        </w:trPr>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20" w:type="dxa"/>
            <w:vAlign w:val="bottom"/>
            <w:gridSpan w:val="11"/>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60" w:type="dxa"/>
            <w:vAlign w:val="bottom"/>
            <w:gridSpan w:val="29"/>
          </w:tcPr>
          <w:p>
            <w:pPr>
              <w:spacing w:after="0" w:line="156" w:lineRule="exact"/>
              <w:rPr>
                <w:rFonts w:ascii="Arial" w:cs="Arial" w:eastAsia="Arial" w:hAnsi="Arial"/>
                <w:sz w:val="18"/>
                <w:szCs w:val="18"/>
                <w:color w:val="0000FF"/>
                <w:w w:val="92"/>
              </w:rPr>
            </w:pPr>
            <w:hyperlink r:id="rId207">
              <w:r>
                <w:rPr>
                  <w:rFonts w:ascii="Arial" w:cs="Arial" w:eastAsia="Arial" w:hAnsi="Arial"/>
                  <w:sz w:val="18"/>
                  <w:szCs w:val="18"/>
                  <w:color w:val="0000FF"/>
                  <w:w w:val="92"/>
                </w:rPr>
                <w:t>L.P. and Plains Midstream Canada ULC, as Borrowers; Plains All American Pipeline, L.P., as Guarantor; Bank of America, N.A.,</w:t>
              </w:r>
            </w:hyperlink>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36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207">
              <w:r>
                <w:rPr>
                  <w:rFonts w:ascii="Arial" w:cs="Arial" w:eastAsia="Arial" w:hAnsi="Arial"/>
                  <w:sz w:val="18"/>
                  <w:szCs w:val="18"/>
                  <w:color w:val="0000FF"/>
                  <w:w w:val="92"/>
                </w:rPr>
                <w:t>as Administrative Agent, Swing Line Lender and L/C Issuer; Wells Fargo Bank, National Association, as an L/C Issuer; and the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2"/>
        </w:trPr>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40" w:type="dxa"/>
            <w:vAlign w:val="bottom"/>
            <w:tcBorders>
              <w:top w:val="single" w:sz="8" w:color="0000FF"/>
            </w:tcBorders>
            <w:gridSpan w:val="20"/>
          </w:tcPr>
          <w:p>
            <w:pPr>
              <w:spacing w:after="0" w:line="142" w:lineRule="exact"/>
              <w:rPr>
                <w:rFonts w:ascii="Arial" w:cs="Arial" w:eastAsia="Arial" w:hAnsi="Arial"/>
                <w:sz w:val="16"/>
                <w:szCs w:val="16"/>
                <w:u w:val="single" w:color="auto"/>
                <w:color w:val="0000FF"/>
              </w:rPr>
            </w:pPr>
            <w:hyperlink r:id="rId207">
              <w:r>
                <w:rPr>
                  <w:rFonts w:ascii="Arial" w:cs="Arial" w:eastAsia="Arial" w:hAnsi="Arial"/>
                  <w:sz w:val="16"/>
                  <w:szCs w:val="16"/>
                  <w:u w:val="single" w:color="auto"/>
                  <w:color w:val="0000FF"/>
                </w:rPr>
                <w:t>other Lenders and L/C Issuers party thereto (incorporated by reference to Exhibit 10.1 to our Current Report on Form 8-K filed</w:t>
              </w:r>
            </w:hyperlink>
          </w:p>
        </w:tc>
        <w:tc>
          <w:tcPr>
            <w:tcW w:w="8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30"/>
        </w:trPr>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60" w:type="dxa"/>
            <w:vAlign w:val="bottom"/>
            <w:gridSpan w:val="29"/>
          </w:tcPr>
          <w:p>
            <w:pPr>
              <w:spacing w:after="0"/>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August 20, 2013).</w:t>
              </w:r>
            </w:hyperlink>
          </w:p>
        </w:tc>
      </w:tr>
      <w:tr>
        <w:trPr>
          <w:trHeight w:val="296"/>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2"/>
              </w:rPr>
            </w:pPr>
            <w:hyperlink r:id="rId208">
              <w:r>
                <w:rPr>
                  <w:rFonts w:ascii="Arial" w:cs="Arial" w:eastAsia="Arial" w:hAnsi="Arial"/>
                  <w:sz w:val="18"/>
                  <w:szCs w:val="18"/>
                  <w:color w:val="0000FF"/>
                  <w:w w:val="92"/>
                </w:rPr>
                <w:t>Third Amendment to Third Amended and Restated Credit Agreement dated as of August 11, 2016, among Plains Marketing, L.P.</w:t>
              </w:r>
            </w:hyperlink>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320" w:type="dxa"/>
            <w:vAlign w:val="bottom"/>
            <w:tcBorders>
              <w:top w:val="single" w:sz="8" w:color="0000FF"/>
            </w:tcBorders>
            <w:gridSpan w:val="22"/>
          </w:tcPr>
          <w:p>
            <w:pPr>
              <w:spacing w:after="0" w:line="156" w:lineRule="exact"/>
              <w:rPr>
                <w:rFonts w:ascii="Arial" w:cs="Arial" w:eastAsia="Arial" w:hAnsi="Arial"/>
                <w:sz w:val="18"/>
                <w:szCs w:val="18"/>
                <w:color w:val="0000FF"/>
                <w:w w:val="92"/>
              </w:rPr>
            </w:pPr>
            <w:hyperlink r:id="rId208">
              <w:r>
                <w:rPr>
                  <w:rFonts w:ascii="Arial" w:cs="Arial" w:eastAsia="Arial" w:hAnsi="Arial"/>
                  <w:sz w:val="18"/>
                  <w:szCs w:val="18"/>
                  <w:color w:val="0000FF"/>
                  <w:w w:val="92"/>
                </w:rPr>
                <w:t>and Plains Midstream Canada ULC, as Borrowers; Plains All American Pipeline, L.P., as Guarantor; Bank of America, N.A., as</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208">
              <w:r>
                <w:rPr>
                  <w:rFonts w:ascii="Arial" w:cs="Arial" w:eastAsia="Arial" w:hAnsi="Arial"/>
                  <w:sz w:val="18"/>
                  <w:szCs w:val="18"/>
                  <w:color w:val="0000FF"/>
                  <w:w w:val="91"/>
                </w:rPr>
                <w:t>Administrative Agent, Swing Line Lender and L/C Issuer; Wells Fargo Bank, National Association, as an L/C Issuer; and the</w:t>
              </w:r>
            </w:hyperlink>
          </w:p>
        </w:tc>
        <w:tc>
          <w:tcPr>
            <w:tcW w:w="200" w:type="dxa"/>
            <w:vAlign w:val="bottom"/>
            <w:tcBorders>
              <w:top w:val="single" w:sz="8" w:color="0000FF"/>
            </w:tcBorders>
            <w:gridSpan w:val="8"/>
          </w:tcPr>
          <w:p>
            <w:pPr>
              <w:spacing w:after="0"/>
              <w:rPr>
                <w:sz w:val="13"/>
                <w:szCs w:val="13"/>
                <w:color w:val="auto"/>
              </w:rPr>
            </w:pPr>
          </w:p>
        </w:tc>
        <w:tc>
          <w:tcPr>
            <w:tcW w:w="20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2"/>
        </w:trPr>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60" w:type="dxa"/>
            <w:vAlign w:val="bottom"/>
            <w:gridSpan w:val="29"/>
          </w:tcPr>
          <w:p>
            <w:pPr>
              <w:spacing w:after="0" w:line="142" w:lineRule="exact"/>
              <w:rPr>
                <w:rFonts w:ascii="Arial" w:cs="Arial" w:eastAsia="Arial" w:hAnsi="Arial"/>
                <w:sz w:val="16"/>
                <w:szCs w:val="16"/>
                <w:u w:val="single" w:color="auto"/>
                <w:color w:val="0000FF"/>
              </w:rPr>
            </w:pPr>
            <w:hyperlink r:id="rId208">
              <w:r>
                <w:rPr>
                  <w:rFonts w:ascii="Arial" w:cs="Arial" w:eastAsia="Arial" w:hAnsi="Arial"/>
                  <w:sz w:val="16"/>
                  <w:szCs w:val="16"/>
                  <w:u w:val="single" w:color="auto"/>
                  <w:color w:val="0000FF"/>
                </w:rPr>
                <w:t>other Lenders and L/C Issuers party thereto (incorporated by reference to Exhibit 10.3 to our Current Report on Form 8-K filed</w:t>
              </w:r>
            </w:hyperlink>
          </w:p>
        </w:tc>
      </w:tr>
      <w:tr>
        <w:trPr>
          <w:trHeight w:val="230"/>
        </w:trPr>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60" w:type="dxa"/>
            <w:vAlign w:val="bottom"/>
            <w:gridSpan w:val="29"/>
          </w:tcPr>
          <w:p>
            <w:pPr>
              <w:spacing w:after="0"/>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August 17, 2016).</w:t>
              </w:r>
            </w:hyperlink>
          </w:p>
        </w:tc>
      </w:tr>
      <w:tr>
        <w:trPr>
          <w:trHeight w:val="296"/>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1"/>
              </w:rPr>
            </w:pPr>
            <w:hyperlink r:id="rId209">
              <w:r>
                <w:rPr>
                  <w:rFonts w:ascii="Arial" w:cs="Arial" w:eastAsia="Arial" w:hAnsi="Arial"/>
                  <w:sz w:val="18"/>
                  <w:szCs w:val="18"/>
                  <w:color w:val="0000FF"/>
                  <w:w w:val="91"/>
                </w:rPr>
                <w:t>Fourth Amendment to Third Amended and Restated Credit Agreement dated as of August 16, 2017, among Plains Marketing, L.P.</w:t>
              </w:r>
            </w:hyperlink>
          </w:p>
        </w:tc>
      </w:tr>
      <w:tr>
        <w:trPr>
          <w:trHeight w:val="155"/>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2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209">
              <w:r>
                <w:rPr>
                  <w:rFonts w:ascii="Arial" w:cs="Arial" w:eastAsia="Arial" w:hAnsi="Arial"/>
                  <w:sz w:val="18"/>
                  <w:szCs w:val="18"/>
                  <w:color w:val="0000FF"/>
                  <w:w w:val="93"/>
                </w:rPr>
                <w:t>and Plains Midstream Canada ULC, as Borrowers; Plains All American Pipeline, L.P., as Guarantor; Bank of America, N.A., as</w:t>
              </w:r>
            </w:hyperlink>
          </w:p>
        </w:tc>
        <w:tc>
          <w:tcPr>
            <w:tcW w:w="40" w:type="dxa"/>
            <w:vAlign w:val="bottom"/>
            <w:gridSpan w:val="2"/>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20" w:type="dxa"/>
            <w:vAlign w:val="bottom"/>
            <w:tcBorders>
              <w:top w:val="single" w:sz="8" w:color="0000FF"/>
            </w:tcBorders>
            <w:gridSpan w:val="19"/>
          </w:tcPr>
          <w:p>
            <w:pPr>
              <w:spacing w:after="0" w:line="156" w:lineRule="exact"/>
              <w:rPr>
                <w:rFonts w:ascii="Arial" w:cs="Arial" w:eastAsia="Arial" w:hAnsi="Arial"/>
                <w:sz w:val="18"/>
                <w:szCs w:val="18"/>
                <w:color w:val="0000FF"/>
                <w:w w:val="93"/>
              </w:rPr>
            </w:pPr>
            <w:hyperlink r:id="rId209">
              <w:r>
                <w:rPr>
                  <w:rFonts w:ascii="Arial" w:cs="Arial" w:eastAsia="Arial" w:hAnsi="Arial"/>
                  <w:sz w:val="18"/>
                  <w:szCs w:val="18"/>
                  <w:color w:val="0000FF"/>
                  <w:w w:val="93"/>
                </w:rPr>
                <w:t>Administrative Agent, Swing Line Lender and L/C Issuer; Wells Fargo Bank, National Association, as an L/C Issuer; and the</w:t>
              </w:r>
            </w:hyperlink>
          </w:p>
        </w:tc>
        <w:tc>
          <w:tcPr>
            <w:tcW w:w="240" w:type="dxa"/>
            <w:vAlign w:val="bottom"/>
            <w:gridSpan w:val="10"/>
          </w:tcPr>
          <w:p>
            <w:pPr>
              <w:spacing w:after="0"/>
              <w:rPr>
                <w:sz w:val="13"/>
                <w:szCs w:val="13"/>
                <w:color w:val="auto"/>
              </w:rPr>
            </w:pPr>
          </w:p>
        </w:tc>
      </w:tr>
      <w:tr>
        <w:trPr>
          <w:trHeight w:val="142"/>
        </w:trPr>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20" w:type="dxa"/>
            <w:vAlign w:val="bottom"/>
            <w:tcBorders>
              <w:top w:val="single" w:sz="8" w:color="0000FF"/>
            </w:tcBorders>
            <w:gridSpan w:val="11"/>
          </w:tcPr>
          <w:p>
            <w:pPr>
              <w:spacing w:after="0" w:line="142" w:lineRule="exact"/>
              <w:rPr>
                <w:rFonts w:ascii="Arial" w:cs="Arial" w:eastAsia="Arial" w:hAnsi="Arial"/>
                <w:sz w:val="16"/>
                <w:szCs w:val="16"/>
                <w:u w:val="single" w:color="auto"/>
                <w:color w:val="0000FF"/>
              </w:rPr>
            </w:pPr>
            <w:hyperlink r:id="rId209">
              <w:r>
                <w:rPr>
                  <w:rFonts w:ascii="Arial" w:cs="Arial" w:eastAsia="Arial" w:hAnsi="Arial"/>
                  <w:sz w:val="16"/>
                  <w:szCs w:val="16"/>
                  <w:u w:val="single" w:color="auto"/>
                  <w:color w:val="0000FF"/>
                </w:rPr>
                <w:t>other Lenders and L/C Issuers party thereto (incorporated by reference to Exhibit 10.6 to our Quarterly Report on Form 10-Q</w:t>
              </w:r>
            </w:hyperlink>
          </w:p>
        </w:tc>
        <w:tc>
          <w:tcPr>
            <w:tcW w:w="440" w:type="dxa"/>
            <w:vAlign w:val="bottom"/>
            <w:gridSpan w:val="18"/>
          </w:tcPr>
          <w:p>
            <w:pPr>
              <w:ind w:left="40"/>
              <w:spacing w:after="0" w:line="142" w:lineRule="exact"/>
              <w:rPr>
                <w:rFonts w:ascii="Arial" w:cs="Arial" w:eastAsia="Arial" w:hAnsi="Arial"/>
                <w:sz w:val="16"/>
                <w:szCs w:val="16"/>
                <w:u w:val="single" w:color="auto"/>
                <w:color w:val="0000FF"/>
              </w:rPr>
            </w:pPr>
            <w:hyperlink r:id="rId209">
              <w:r>
                <w:rPr>
                  <w:rFonts w:ascii="Arial" w:cs="Arial" w:eastAsia="Arial" w:hAnsi="Arial"/>
                  <w:sz w:val="16"/>
                  <w:szCs w:val="16"/>
                  <w:u w:val="single" w:color="auto"/>
                  <w:color w:val="0000FF"/>
                </w:rPr>
                <w:t>for</w:t>
              </w:r>
            </w:hyperlink>
          </w:p>
        </w:tc>
      </w:tr>
      <w:tr>
        <w:trPr>
          <w:trHeight w:val="230"/>
        </w:trPr>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60" w:type="dxa"/>
            <w:vAlign w:val="bottom"/>
            <w:gridSpan w:val="29"/>
          </w:tcPr>
          <w:p>
            <w:pPr>
              <w:spacing w:after="0"/>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the quarter ended September 30, 2017).</w:t>
              </w:r>
            </w:hyperlink>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14" w:name="page115"/>
    <w:bookmarkEnd w:id="1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10260" w:type="dxa"/>
            <w:vAlign w:val="bottom"/>
            <w:gridSpan w:val="32"/>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211">
              <w:r>
                <w:rPr>
                  <w:rFonts w:ascii="Arial" w:cs="Arial" w:eastAsia="Arial" w:hAnsi="Arial"/>
                  <w:sz w:val="18"/>
                  <w:szCs w:val="18"/>
                  <w:color w:val="0000FF"/>
                </w:rPr>
                <w:t>Contribution and Assumption Agreement dated December 28, 2007, by and between Plains AAP, L.P. and PAA GP LLC</w:t>
              </w:r>
            </w:hyperlink>
          </w:p>
        </w:tc>
      </w:tr>
      <w:tr>
        <w:trPr>
          <w:trHeight w:val="224"/>
        </w:trPr>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8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(incorporated by reference to Exhibit 10.2 to our Current Report on Form 8-K filed January 4, 2008).</w:t>
              </w:r>
            </w:hyperlink>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10260" w:type="dxa"/>
            <w:vAlign w:val="bottom"/>
            <w:gridSpan w:val="32"/>
          </w:tcPr>
          <w:p>
            <w:pPr>
              <w:ind w:left="3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12">
              <w:r>
                <w:rPr>
                  <w:rFonts w:ascii="Arial" w:cs="Arial" w:eastAsia="Arial" w:hAnsi="Arial"/>
                  <w:sz w:val="18"/>
                  <w:szCs w:val="18"/>
                  <w:color w:val="0000FF"/>
                  <w:w w:val="94"/>
                </w:rPr>
                <w:t>Omnibus Agreement by and among PAA GP Holdings LLC, Plains GP Holdings, L.P., Plains All American GP LLC, Plains AAP,</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20" w:type="dxa"/>
            <w:vAlign w:val="bottom"/>
            <w:tcBorders>
              <w:top w:val="single" w:sz="8" w:color="0000FF"/>
            </w:tcBorders>
            <w:gridSpan w:val="29"/>
          </w:tcPr>
          <w:p>
            <w:pPr>
              <w:spacing w:after="0" w:line="156" w:lineRule="exact"/>
              <w:rPr>
                <w:rFonts w:ascii="Arial" w:cs="Arial" w:eastAsia="Arial" w:hAnsi="Arial"/>
                <w:sz w:val="18"/>
                <w:szCs w:val="18"/>
                <w:color w:val="0000FF"/>
                <w:w w:val="92"/>
              </w:rPr>
            </w:pPr>
            <w:hyperlink r:id="rId212">
              <w:r>
                <w:rPr>
                  <w:rFonts w:ascii="Arial" w:cs="Arial" w:eastAsia="Arial" w:hAnsi="Arial"/>
                  <w:sz w:val="18"/>
                  <w:szCs w:val="18"/>
                  <w:color w:val="0000FF"/>
                  <w:w w:val="92"/>
                </w:rPr>
                <w:t>L.P., PAA GP LLC, and Plains All American Pipeline, L.P., dated November 15, 2016 (incorporated by reference to Exhibit 10.1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3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to our Current Report on Form 8-K filed November 21,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10260" w:type="dxa"/>
            <w:vAlign w:val="bottom"/>
            <w:gridSpan w:val="32"/>
          </w:tcPr>
          <w:p>
            <w:pPr>
              <w:ind w:left="3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13">
              <w:r>
                <w:rPr>
                  <w:rFonts w:ascii="Arial" w:cs="Arial" w:eastAsia="Arial" w:hAnsi="Arial"/>
                  <w:sz w:val="18"/>
                  <w:szCs w:val="18"/>
                  <w:color w:val="0000FF"/>
                  <w:w w:val="96"/>
                </w:rPr>
                <w:t>Amended and Restated Administrative Agreement by and among PAA GP Holdings LLC, Plains GP Holdings, L.P., Plains All</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160" w:type="dxa"/>
            <w:vAlign w:val="bottom"/>
            <w:tcBorders>
              <w:top w:val="single" w:sz="8" w:color="0000FF"/>
            </w:tcBorders>
            <w:gridSpan w:val="17"/>
          </w:tcPr>
          <w:p>
            <w:pPr>
              <w:spacing w:after="0" w:line="156" w:lineRule="exact"/>
              <w:rPr>
                <w:rFonts w:ascii="Arial" w:cs="Arial" w:eastAsia="Arial" w:hAnsi="Arial"/>
                <w:sz w:val="18"/>
                <w:szCs w:val="18"/>
                <w:color w:val="0000FF"/>
                <w:w w:val="98"/>
              </w:rPr>
            </w:pPr>
            <w:hyperlink r:id="rId213">
              <w:r>
                <w:rPr>
                  <w:rFonts w:ascii="Arial" w:cs="Arial" w:eastAsia="Arial" w:hAnsi="Arial"/>
                  <w:sz w:val="18"/>
                  <w:szCs w:val="18"/>
                  <w:color w:val="0000FF"/>
                  <w:w w:val="98"/>
                </w:rPr>
                <w:t>American GP LLC, Plains AAP, L.P., PAA GP LLC, and Plains All American Pipeline, L.P., dated November 15,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4"/>
        </w:trPr>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580" w:type="dxa"/>
            <w:vAlign w:val="bottom"/>
            <w:tcBorders>
              <w:top w:val="single" w:sz="8" w:color="0000FF"/>
            </w:tcBorders>
            <w:gridSpan w:val="11"/>
          </w:tcPr>
          <w:p>
            <w:pPr>
              <w:spacing w:after="0"/>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(incorporated by reference to Exhibit 10.2 to our Current Report on Form 8-K filed November 21, 2016).</w:t>
              </w:r>
            </w:hyperlink>
          </w:p>
        </w:tc>
        <w:tc>
          <w:tcPr>
            <w:tcW w:w="2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10260" w:type="dxa"/>
            <w:vAlign w:val="bottom"/>
            <w:gridSpan w:val="32"/>
          </w:tcPr>
          <w:p>
            <w:pPr>
              <w:ind w:left="34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214">
              <w:r>
                <w:rPr>
                  <w:rFonts w:ascii="Arial" w:cs="Arial" w:eastAsia="Arial" w:hAnsi="Arial"/>
                  <w:sz w:val="18"/>
                  <w:szCs w:val="18"/>
                  <w:color w:val="0000FF"/>
                  <w:w w:val="98"/>
                </w:rPr>
                <w:t>Amended and Restated Employment Agreement between Plains All American GP LLC and Greg L. Armstrong dated as of</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60" w:type="dxa"/>
            <w:vAlign w:val="bottom"/>
            <w:tcBorders>
              <w:top w:val="single" w:sz="8" w:color="0000FF"/>
            </w:tcBorders>
            <w:gridSpan w:val="13"/>
          </w:tcPr>
          <w:p>
            <w:pPr>
              <w:spacing w:after="0" w:line="156" w:lineRule="exact"/>
              <w:rPr>
                <w:rFonts w:ascii="Arial" w:cs="Arial" w:eastAsia="Arial" w:hAnsi="Arial"/>
                <w:sz w:val="18"/>
                <w:szCs w:val="18"/>
                <w:color w:val="0000FF"/>
                <w:w w:val="95"/>
              </w:rPr>
            </w:pPr>
            <w:hyperlink r:id="rId214">
              <w:r>
                <w:rPr>
                  <w:rFonts w:ascii="Arial" w:cs="Arial" w:eastAsia="Arial" w:hAnsi="Arial"/>
                  <w:sz w:val="18"/>
                  <w:szCs w:val="18"/>
                  <w:color w:val="0000FF"/>
                  <w:w w:val="95"/>
                </w:rPr>
                <w:t>June 30, 2001 (incorporated by reference to Exhibit 10.1 to our Quarterly Report on Form 10-Q for the quarter ended</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214">
              <w:r>
                <w:rPr>
                  <w:rFonts w:ascii="Arial" w:cs="Arial" w:eastAsia="Arial" w:hAnsi="Arial"/>
                  <w:sz w:val="18"/>
                  <w:szCs w:val="18"/>
                  <w:color w:val="0000FF"/>
                  <w:w w:val="88"/>
                </w:rPr>
                <w:t>September 30, 2001).</w:t>
              </w:r>
            </w:hyperlink>
          </w:p>
        </w:tc>
        <w:tc>
          <w:tcPr>
            <w:tcW w:w="6880" w:type="dxa"/>
            <w:vAlign w:val="bottom"/>
            <w:tcBorders>
              <w:top w:val="single" w:sz="8" w:color="0000FF"/>
            </w:tcBorders>
            <w:gridSpan w:val="7"/>
          </w:tcPr>
          <w:p>
            <w:pPr>
              <w:spacing w:after="0"/>
              <w:rPr>
                <w:sz w:val="13"/>
                <w:szCs w:val="13"/>
                <w:color w:val="auto"/>
              </w:rPr>
            </w:pPr>
          </w:p>
        </w:tc>
        <w:tc>
          <w:tcPr>
            <w:tcW w:w="5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10260" w:type="dxa"/>
            <w:vAlign w:val="bottom"/>
            <w:gridSpan w:val="32"/>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215">
              <w:r>
                <w:rPr>
                  <w:rFonts w:ascii="Arial" w:cs="Arial" w:eastAsia="Arial" w:hAnsi="Arial"/>
                  <w:sz w:val="18"/>
                  <w:szCs w:val="18"/>
                  <w:color w:val="0000FF"/>
                </w:rPr>
                <w:t>First Amendment to Amended and Restated Employment Agreement dated December 4, 2008 between Plains All</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0" w:type="dxa"/>
            <w:vAlign w:val="bottom"/>
            <w:tcBorders>
              <w:top w:val="single" w:sz="8" w:color="0000FF"/>
            </w:tcBorders>
            <w:gridSpan w:val="9"/>
          </w:tcPr>
          <w:p>
            <w:pPr>
              <w:spacing w:after="0" w:line="156" w:lineRule="exact"/>
              <w:rPr>
                <w:rFonts w:ascii="Arial" w:cs="Arial" w:eastAsia="Arial" w:hAnsi="Arial"/>
                <w:sz w:val="18"/>
                <w:szCs w:val="18"/>
                <w:color w:val="0000FF"/>
                <w:w w:val="93"/>
              </w:rPr>
            </w:pPr>
            <w:hyperlink r:id="rId215">
              <w:r>
                <w:rPr>
                  <w:rFonts w:ascii="Arial" w:cs="Arial" w:eastAsia="Arial" w:hAnsi="Arial"/>
                  <w:sz w:val="18"/>
                  <w:szCs w:val="18"/>
                  <w:color w:val="0000FF"/>
                  <w:w w:val="93"/>
                </w:rPr>
                <w:t>American GP LLC and Greg L. Armstrong (incorporated by reference to Exhibit 10.49 to our Annual Report on</w:t>
              </w:r>
            </w:hyperlink>
          </w:p>
        </w:tc>
        <w:tc>
          <w:tcPr>
            <w:tcW w:w="1260" w:type="dxa"/>
            <w:vAlign w:val="bottom"/>
            <w:gridSpan w:val="22"/>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Form 10-K for</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1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the year ended December 31,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260" w:type="dxa"/>
            <w:vAlign w:val="bottom"/>
            <w:gridSpan w:val="32"/>
          </w:tcPr>
          <w:p>
            <w:pPr>
              <w:ind w:left="3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16">
              <w:r>
                <w:rPr>
                  <w:rFonts w:ascii="Arial" w:cs="Arial" w:eastAsia="Arial" w:hAnsi="Arial"/>
                  <w:sz w:val="18"/>
                  <w:szCs w:val="18"/>
                  <w:color w:val="0000FF"/>
                  <w:w w:val="95"/>
                </w:rPr>
                <w:t>Waiver Agreement dated as of December 23, 2010 between Plains All American GP LLC and Greg L. Armstrong (incorporated</w:t>
              </w:r>
            </w:hyperlink>
          </w:p>
        </w:tc>
      </w:tr>
      <w:tr>
        <w:trPr>
          <w:trHeight w:val="224"/>
        </w:trPr>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20" w:type="dxa"/>
            <w:vAlign w:val="bottom"/>
            <w:tcBorders>
              <w:top w:val="single" w:sz="8" w:color="0000FF"/>
            </w:tcBorders>
            <w:gridSpan w:val="20"/>
          </w:tcPr>
          <w:p>
            <w:pPr>
              <w:spacing w:after="0"/>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by reference to Exhibit 10.31 to our Annual Report on Form 10-K for the year ended December 31, 2010).</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10260" w:type="dxa"/>
            <w:vAlign w:val="bottom"/>
            <w:gridSpan w:val="32"/>
          </w:tcPr>
          <w:p>
            <w:pPr>
              <w:ind w:left="3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217">
              <w:r>
                <w:rPr>
                  <w:rFonts w:ascii="Arial" w:cs="Arial" w:eastAsia="Arial" w:hAnsi="Arial"/>
                  <w:sz w:val="18"/>
                  <w:szCs w:val="18"/>
                  <w:color w:val="0000FF"/>
                  <w:w w:val="92"/>
                </w:rPr>
                <w:t>Waiver Agreement dated October 21, 2013 to the Amended and Restated Employment Agreement dated June 30, 2001 of Greg L.</w:t>
              </w:r>
            </w:hyperlink>
          </w:p>
        </w:tc>
      </w:tr>
      <w:tr>
        <w:trPr>
          <w:trHeight w:val="224"/>
        </w:trPr>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0" w:type="dxa"/>
            <w:vAlign w:val="bottom"/>
            <w:tcBorders>
              <w:top w:val="single" w:sz="8" w:color="0000FF"/>
            </w:tcBorders>
            <w:gridSpan w:val="28"/>
          </w:tcPr>
          <w:p>
            <w:pPr>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Armstrong (incorporated by reference to Exhibit 10.2 to our Current Report on Form 8-K filed October 25, 2013).</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10260" w:type="dxa"/>
            <w:vAlign w:val="bottom"/>
            <w:gridSpan w:val="32"/>
          </w:tcPr>
          <w:p>
            <w:pPr>
              <w:ind w:left="3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18">
              <w:r>
                <w:rPr>
                  <w:rFonts w:ascii="Arial" w:cs="Arial" w:eastAsia="Arial" w:hAnsi="Arial"/>
                  <w:sz w:val="18"/>
                  <w:szCs w:val="18"/>
                  <w:color w:val="0000FF"/>
                  <w:w w:val="94"/>
                </w:rPr>
                <w:t>Second Amended and Restated Employment Agreement dated effective October 1, 2018 between Plains All American GP LLC</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218">
              <w:r>
                <w:rPr>
                  <w:rFonts w:ascii="Arial" w:cs="Arial" w:eastAsia="Arial" w:hAnsi="Arial"/>
                  <w:sz w:val="18"/>
                  <w:szCs w:val="18"/>
                  <w:color w:val="0000FF"/>
                  <w:w w:val="92"/>
                </w:rPr>
                <w:t>and Greg L. Armstrong (incorporated by reference to Exhibit 10.6 to our Quarterly Report on Form 10-Q for the quarter ended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218">
              <w:r>
                <w:rPr>
                  <w:rFonts w:ascii="Arial" w:cs="Arial" w:eastAsia="Arial" w:hAnsi="Arial"/>
                  <w:sz w:val="18"/>
                  <w:szCs w:val="18"/>
                  <w:color w:val="0000FF"/>
                  <w:w w:val="88"/>
                </w:rPr>
                <w:t>September 30, 2018).</w:t>
              </w:r>
            </w:hyperlink>
          </w:p>
        </w:tc>
        <w:tc>
          <w:tcPr>
            <w:tcW w:w="7580" w:type="dxa"/>
            <w:vAlign w:val="bottom"/>
            <w:tcBorders>
              <w:top w:val="single" w:sz="8" w:color="0000FF"/>
            </w:tcBorders>
            <w:gridSpan w:val="1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10260" w:type="dxa"/>
            <w:vAlign w:val="bottom"/>
            <w:gridSpan w:val="32"/>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19">
              <w:r>
                <w:rPr>
                  <w:rFonts w:ascii="Arial" w:cs="Arial" w:eastAsia="Arial" w:hAnsi="Arial"/>
                  <w:sz w:val="18"/>
                  <w:szCs w:val="18"/>
                  <w:color w:val="0000FF"/>
                  <w:w w:val="93"/>
                </w:rPr>
                <w:t>Third Amended and Restated Employment Agreement dated effective January 1, 2020 between Plains All American GP LLC and</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1"/>
              </w:rPr>
            </w:pPr>
            <w:hyperlink r:id="rId219">
              <w:r>
                <w:rPr>
                  <w:rFonts w:ascii="Arial" w:cs="Arial" w:eastAsia="Arial" w:hAnsi="Arial"/>
                  <w:sz w:val="18"/>
                  <w:szCs w:val="18"/>
                  <w:color w:val="0000FF"/>
                  <w:w w:val="91"/>
                </w:rPr>
                <w:t>Greg L. Armstrong (incorporated by reference to Exhibit 10.31 to our Annual Report on Form 10-K for the year ended December</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Borders>
              <w:bottom w:val="single" w:sz="8" w:color="0000FF"/>
            </w:tcBorders>
            <w:gridSpan w:val="2"/>
          </w:tcPr>
          <w:p>
            <w:pPr>
              <w:spacing w:after="0" w:line="156" w:lineRule="exact"/>
              <w:rPr>
                <w:rFonts w:ascii="Arial" w:cs="Arial" w:eastAsia="Arial" w:hAnsi="Arial"/>
                <w:sz w:val="18"/>
                <w:szCs w:val="18"/>
                <w:color w:val="0000FF"/>
                <w:w w:val="87"/>
              </w:rPr>
            </w:pPr>
            <w:hyperlink r:id="rId219">
              <w:r>
                <w:rPr>
                  <w:rFonts w:ascii="Arial" w:cs="Arial" w:eastAsia="Arial" w:hAnsi="Arial"/>
                  <w:sz w:val="18"/>
                  <w:szCs w:val="18"/>
                  <w:color w:val="0000FF"/>
                  <w:w w:val="87"/>
                </w:rPr>
                <w:t>31, 2019.</w:t>
              </w:r>
            </w:hyperlink>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7"/>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10260" w:type="dxa"/>
            <w:vAlign w:val="bottom"/>
            <w:gridSpan w:val="32"/>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20">
              <w:r>
                <w:rPr>
                  <w:rFonts w:ascii="Arial" w:cs="Arial" w:eastAsia="Arial" w:hAnsi="Arial"/>
                  <w:sz w:val="18"/>
                  <w:szCs w:val="18"/>
                  <w:color w:val="0000FF"/>
                  <w:w w:val="93"/>
                </w:rPr>
                <w:t>Amended and Restated Employment Agreement between Plains All American GP LLC and Harry N. Pefanis dated as of June 30,</w:t>
              </w:r>
            </w:hyperlink>
          </w:p>
        </w:tc>
      </w:tr>
      <w:tr>
        <w:trPr>
          <w:trHeight w:val="224"/>
        </w:trPr>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340" w:type="dxa"/>
            <w:vAlign w:val="bottom"/>
            <w:tcBorders>
              <w:top w:val="single" w:sz="8" w:color="0000FF"/>
            </w:tcBorders>
            <w:gridSpan w:val="25"/>
          </w:tcPr>
          <w:p>
            <w:pPr>
              <w:spacing w:after="0"/>
              <w:rPr>
                <w:rFonts w:ascii="Arial" w:cs="Arial" w:eastAsia="Arial" w:hAnsi="Arial"/>
                <w:sz w:val="18"/>
                <w:szCs w:val="18"/>
                <w:u w:val="single" w:color="auto"/>
                <w:color w:val="0000FF"/>
                <w:w w:val="90"/>
              </w:rPr>
            </w:pPr>
            <w:hyperlink r:id="rId220">
              <w:r>
                <w:rPr>
                  <w:rFonts w:ascii="Arial" w:cs="Arial" w:eastAsia="Arial" w:hAnsi="Arial"/>
                  <w:sz w:val="18"/>
                  <w:szCs w:val="18"/>
                  <w:u w:val="single" w:color="auto"/>
                  <w:color w:val="0000FF"/>
                  <w:w w:val="90"/>
                </w:rPr>
                <w:t>2001 (incorporated by reference to Exhibit 10.2 to our Quarterly Report on Form 10-Q for the quarter ended September 30, 2001)</w:t>
              </w:r>
            </w:hyperlink>
          </w:p>
        </w:tc>
        <w:tc>
          <w:tcPr>
            <w:tcW w:w="100" w:type="dxa"/>
            <w:vAlign w:val="bottom"/>
            <w:gridSpan w:val="5"/>
          </w:tcPr>
          <w:p>
            <w:pPr>
              <w:jc w:val="right"/>
              <w:ind w:right="40"/>
              <w:spacing w:after="0"/>
              <w:rPr>
                <w:rFonts w:ascii="Arial" w:cs="Arial" w:eastAsia="Arial" w:hAnsi="Arial"/>
                <w:sz w:val="18"/>
                <w:szCs w:val="18"/>
                <w:u w:val="single" w:color="auto"/>
                <w:color w:val="0000FF"/>
                <w:w w:val="78"/>
              </w:rPr>
            </w:pPr>
            <w:hyperlink r:id="rId220">
              <w:r>
                <w:rPr>
                  <w:rFonts w:ascii="Arial" w:cs="Arial" w:eastAsia="Arial" w:hAnsi="Arial"/>
                  <w:sz w:val="18"/>
                  <w:szCs w:val="18"/>
                  <w:u w:val="single" w:color="auto"/>
                  <w:color w:val="0000FF"/>
                  <w:w w:val="78"/>
                </w:rPr>
                <w:t>.</w:t>
              </w:r>
            </w:hyperlink>
          </w:p>
        </w:tc>
        <w:tc>
          <w:tcPr>
            <w:tcW w:w="20" w:type="dxa"/>
            <w:vAlign w:val="bottom"/>
          </w:tcPr>
          <w:p>
            <w:pPr>
              <w:spacing w:after="0"/>
              <w:rPr>
                <w:sz w:val="19"/>
                <w:szCs w:val="19"/>
                <w:color w:val="auto"/>
              </w:rPr>
            </w:pPr>
          </w:p>
        </w:tc>
      </w:tr>
      <w:tr>
        <w:trPr>
          <w:trHeight w:val="269"/>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10260" w:type="dxa"/>
            <w:vAlign w:val="bottom"/>
            <w:gridSpan w:val="32"/>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221">
              <w:r>
                <w:rPr>
                  <w:rFonts w:ascii="Arial" w:cs="Arial" w:eastAsia="Arial" w:hAnsi="Arial"/>
                  <w:sz w:val="18"/>
                  <w:szCs w:val="18"/>
                  <w:color w:val="0000FF"/>
                </w:rPr>
                <w:t>First Amendment to Amended and Restated Employment Agreement dated December 4, 2008 between Plains All</w:t>
              </w:r>
            </w:hyperlink>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438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60" w:type="dxa"/>
            <w:vAlign w:val="bottom"/>
            <w:gridSpan w:val="31"/>
          </w:tcPr>
          <w:p>
            <w:pPr>
              <w:spacing w:after="0" w:line="156" w:lineRule="exact"/>
              <w:rPr>
                <w:rFonts w:ascii="Arial" w:cs="Arial" w:eastAsia="Arial" w:hAnsi="Arial"/>
                <w:sz w:val="18"/>
                <w:szCs w:val="18"/>
                <w:color w:val="0000FF"/>
                <w:w w:val="93"/>
              </w:rPr>
            </w:pPr>
            <w:hyperlink r:id="rId221">
              <w:r>
                <w:rPr>
                  <w:rFonts w:ascii="Arial" w:cs="Arial" w:eastAsia="Arial" w:hAnsi="Arial"/>
                  <w:sz w:val="18"/>
                  <w:szCs w:val="18"/>
                  <w:color w:val="0000FF"/>
                  <w:w w:val="93"/>
                </w:rPr>
                <w:t>American GP LLC and Harry N. Pefanis (incorporated by reference to Exhibit 10.50 to our Annual Report on Form 10-K for the</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221">
              <w:r>
                <w:rPr>
                  <w:rFonts w:ascii="Arial" w:cs="Arial" w:eastAsia="Arial" w:hAnsi="Arial"/>
                  <w:sz w:val="18"/>
                  <w:szCs w:val="18"/>
                  <w:color w:val="0000FF"/>
                  <w:w w:val="88"/>
                </w:rPr>
                <w:t>year ended December 31, 2008).</w:t>
              </w:r>
            </w:hyperlink>
          </w:p>
        </w:tc>
        <w:tc>
          <w:tcPr>
            <w:tcW w:w="6920" w:type="dxa"/>
            <w:vAlign w:val="bottom"/>
            <w:tcBorders>
              <w:top w:val="single" w:sz="8" w:color="0000FF"/>
            </w:tcBorders>
            <w:gridSpan w:val="19"/>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10260" w:type="dxa"/>
            <w:vAlign w:val="bottom"/>
            <w:gridSpan w:val="32"/>
          </w:tcPr>
          <w:p>
            <w:pPr>
              <w:ind w:left="3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22">
              <w:r>
                <w:rPr>
                  <w:rFonts w:ascii="Arial" w:cs="Arial" w:eastAsia="Arial" w:hAnsi="Arial"/>
                  <w:sz w:val="18"/>
                  <w:szCs w:val="18"/>
                  <w:color w:val="0000FF"/>
                  <w:w w:val="96"/>
                </w:rPr>
                <w:t>Amendment No. 2 dated August 15, 2019 to Harry Pefanis Amended and Restated Employment Agreement (incorporated by</w:t>
              </w:r>
            </w:hyperlink>
          </w:p>
        </w:tc>
      </w:tr>
      <w:tr>
        <w:trPr>
          <w:trHeight w:val="224"/>
        </w:trPr>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20" w:type="dxa"/>
            <w:vAlign w:val="bottom"/>
            <w:tcBorders>
              <w:top w:val="single" w:sz="8" w:color="0000FF"/>
            </w:tcBorders>
            <w:gridSpan w:val="14"/>
          </w:tcPr>
          <w:p>
            <w:pPr>
              <w:spacing w:after="0"/>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reference to Exhibit 10.1 to our Quarterly Report on Form 10-Q for the quarter ended September 30, 2019).</w:t>
              </w:r>
            </w:hyperlink>
          </w:p>
        </w:tc>
        <w:tc>
          <w:tcPr>
            <w:tcW w:w="20" w:type="dxa"/>
            <w:vAlign w:val="bottom"/>
          </w:tcPr>
          <w:p>
            <w:pPr>
              <w:spacing w:after="0"/>
              <w:rPr>
                <w:sz w:val="19"/>
                <w:szCs w:val="19"/>
                <w:color w:val="auto"/>
              </w:rPr>
            </w:pPr>
          </w:p>
        </w:tc>
        <w:tc>
          <w:tcPr>
            <w:tcW w:w="20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5"/>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10260" w:type="dxa"/>
            <w:vAlign w:val="bottom"/>
            <w:gridSpan w:val="32"/>
          </w:tcPr>
          <w:p>
            <w:pPr>
              <w:ind w:left="3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23">
              <w:r>
                <w:rPr>
                  <w:rFonts w:ascii="Arial" w:cs="Arial" w:eastAsia="Arial" w:hAnsi="Arial"/>
                  <w:sz w:val="18"/>
                  <w:szCs w:val="18"/>
                  <w:color w:val="0000FF"/>
                  <w:w w:val="94"/>
                </w:rPr>
                <w:t>Waiver Agreement dated as of December 23, 2010 between Plains All American GP LLC and Harry N. Pefanis (incorporated by</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223">
              <w:r>
                <w:rPr>
                  <w:rFonts w:ascii="Arial" w:cs="Arial" w:eastAsia="Arial" w:hAnsi="Arial"/>
                  <w:sz w:val="18"/>
                  <w:szCs w:val="18"/>
                  <w:color w:val="0000FF"/>
                  <w:w w:val="91"/>
                </w:rPr>
                <w:t>reference to Exhibit 10.32 to our Annual Report on Form 10-K for the year ended December 31, 2010).</w:t>
              </w:r>
            </w:hyperlink>
          </w:p>
        </w:tc>
        <w:tc>
          <w:tcPr>
            <w:tcW w:w="1800" w:type="dxa"/>
            <w:vAlign w:val="bottom"/>
            <w:tcBorders>
              <w:top w:val="single" w:sz="8" w:color="0000FF"/>
            </w:tcBorders>
            <w:gridSpan w:val="14"/>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10.23**</w:t>
            </w:r>
          </w:p>
        </w:tc>
        <w:tc>
          <w:tcPr>
            <w:tcW w:w="10260" w:type="dxa"/>
            <w:vAlign w:val="bottom"/>
            <w:gridSpan w:val="32"/>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24">
              <w:r>
                <w:rPr>
                  <w:rFonts w:ascii="Arial" w:cs="Arial" w:eastAsia="Arial" w:hAnsi="Arial"/>
                  <w:sz w:val="18"/>
                  <w:szCs w:val="18"/>
                  <w:color w:val="0000FF"/>
                  <w:w w:val="93"/>
                </w:rPr>
                <w:t>Waiver Agreement dated October 21, 2013 to the Amended and Restated Employment Agreement dated June 30, 2001 of Harry</w:t>
              </w:r>
            </w:hyperlink>
          </w:p>
        </w:tc>
      </w:tr>
      <w:tr>
        <w:trPr>
          <w:trHeight w:val="224"/>
        </w:trPr>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40" w:type="dxa"/>
            <w:vAlign w:val="bottom"/>
            <w:tcBorders>
              <w:top w:val="single" w:sz="8" w:color="0000FF"/>
            </w:tcBorders>
            <w:gridSpan w:val="21"/>
          </w:tcPr>
          <w:p>
            <w:pPr>
              <w:spacing w:after="0"/>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N. Pefanis (incorporated by reference to Exhibit 10.3 to our Current Report on Form 8-K filed October 25, 2013).</w:t>
              </w:r>
            </w:hyperlink>
          </w:p>
        </w:tc>
        <w:tc>
          <w:tcPr>
            <w:tcW w:w="140" w:type="dxa"/>
            <w:vAlign w:val="bottom"/>
            <w:gridSpan w:val="6"/>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940" w:type="dxa"/>
            <w:vAlign w:val="bottom"/>
          </w:tcPr>
          <w:p>
            <w:pPr>
              <w:spacing w:after="0"/>
              <w:rPr>
                <w:sz w:val="20"/>
                <w:szCs w:val="20"/>
                <w:color w:val="auto"/>
              </w:rPr>
            </w:pPr>
            <w:r>
              <w:rPr>
                <w:rFonts w:ascii="Arial" w:cs="Arial" w:eastAsia="Arial" w:hAnsi="Arial"/>
                <w:sz w:val="18"/>
                <w:szCs w:val="18"/>
                <w:color w:val="auto"/>
              </w:rPr>
              <w:t>10.24**</w:t>
            </w:r>
          </w:p>
        </w:tc>
        <w:tc>
          <w:tcPr>
            <w:tcW w:w="10260" w:type="dxa"/>
            <w:vAlign w:val="bottom"/>
            <w:gridSpan w:val="32"/>
          </w:tcPr>
          <w:p>
            <w:pPr>
              <w:ind w:left="3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25">
              <w:r>
                <w:rPr>
                  <w:rFonts w:ascii="Arial" w:cs="Arial" w:eastAsia="Arial" w:hAnsi="Arial"/>
                  <w:sz w:val="18"/>
                  <w:szCs w:val="18"/>
                  <w:color w:val="0000FF"/>
                  <w:w w:val="94"/>
                </w:rPr>
                <w:t>Employment Agreement between Plains All American GP LLC and Willie Chiang dated July 10, 2015 (incorporated by reference</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225">
              <w:r>
                <w:rPr>
                  <w:rFonts w:ascii="Arial" w:cs="Arial" w:eastAsia="Arial" w:hAnsi="Arial"/>
                  <w:sz w:val="18"/>
                  <w:szCs w:val="18"/>
                  <w:color w:val="0000FF"/>
                  <w:w w:val="91"/>
                </w:rPr>
                <w:t>to Exhibit 10.53 to our Annual Report on Form 10-K for the year ended December 31, 2015).</w:t>
              </w:r>
            </w:hyperlink>
          </w:p>
        </w:tc>
        <w:tc>
          <w:tcPr>
            <w:tcW w:w="264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10.25**</w:t>
            </w:r>
          </w:p>
        </w:tc>
        <w:tc>
          <w:tcPr>
            <w:tcW w:w="10260" w:type="dxa"/>
            <w:vAlign w:val="bottom"/>
            <w:gridSpan w:val="32"/>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26">
              <w:r>
                <w:rPr>
                  <w:rFonts w:ascii="Arial" w:cs="Arial" w:eastAsia="Arial" w:hAnsi="Arial"/>
                  <w:sz w:val="18"/>
                  <w:szCs w:val="18"/>
                  <w:color w:val="0000FF"/>
                  <w:w w:val="93"/>
                </w:rPr>
                <w:t>Amended and Restated Employment Agreement dated effective October 1, 2018 between Plains All American GP LLC and Willie</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40" w:type="dxa"/>
            <w:vAlign w:val="bottom"/>
            <w:tcBorders>
              <w:top w:val="single" w:sz="8" w:color="0000FF"/>
            </w:tcBorders>
            <w:gridSpan w:val="30"/>
          </w:tcPr>
          <w:p>
            <w:pPr>
              <w:spacing w:after="0" w:line="156" w:lineRule="exact"/>
              <w:rPr>
                <w:rFonts w:ascii="Arial" w:cs="Arial" w:eastAsia="Arial" w:hAnsi="Arial"/>
                <w:sz w:val="18"/>
                <w:szCs w:val="18"/>
                <w:color w:val="0000FF"/>
                <w:w w:val="94"/>
              </w:rPr>
            </w:pPr>
            <w:hyperlink r:id="rId226">
              <w:r>
                <w:rPr>
                  <w:rFonts w:ascii="Arial" w:cs="Arial" w:eastAsia="Arial" w:hAnsi="Arial"/>
                  <w:sz w:val="18"/>
                  <w:szCs w:val="18"/>
                  <w:color w:val="0000FF"/>
                  <w:w w:val="94"/>
                </w:rPr>
                <w:t>Chiang (incorporated by reference to Exhibit 10.7 to our Quarterly Report on Form 10-Q for the quarter ended September 30,</w:t>
              </w:r>
            </w:hyperlink>
          </w:p>
        </w:tc>
        <w:tc>
          <w:tcPr>
            <w:tcW w:w="2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226">
              <w:r>
                <w:rPr>
                  <w:rFonts w:ascii="Arial" w:cs="Arial" w:eastAsia="Arial" w:hAnsi="Arial"/>
                  <w:sz w:val="18"/>
                  <w:szCs w:val="18"/>
                  <w:color w:val="0000FF"/>
                  <w:w w:val="90"/>
                </w:rPr>
                <w:t>2018).</w:t>
              </w:r>
            </w:hyperlink>
          </w:p>
        </w:tc>
        <w:tc>
          <w:tcPr>
            <w:tcW w:w="2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15" w:name="page116"/>
    <w:bookmarkEnd w:id="1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10.26**</w:t>
            </w:r>
          </w:p>
        </w:tc>
        <w:tc>
          <w:tcPr>
            <w:tcW w:w="10240" w:type="dxa"/>
            <w:vAlign w:val="bottom"/>
            <w:gridSpan w:val="37"/>
          </w:tcPr>
          <w:p>
            <w:pPr>
              <w:ind w:left="3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28">
              <w:r>
                <w:rPr>
                  <w:rFonts w:ascii="Arial" w:cs="Arial" w:eastAsia="Arial" w:hAnsi="Arial"/>
                  <w:sz w:val="18"/>
                  <w:szCs w:val="18"/>
                  <w:color w:val="0000FF"/>
                  <w:w w:val="95"/>
                </w:rPr>
                <w:t>First Amendment to Plains AAP, L.P. Class B Restricted Units Agreement dated August 25, 2016 (Willie Chiang) (incorporated</w:t>
              </w:r>
            </w:hyperlink>
          </w:p>
        </w:tc>
      </w:tr>
      <w:tr>
        <w:trPr>
          <w:trHeight w:val="224"/>
        </w:trPr>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20" w:type="dxa"/>
            <w:vAlign w:val="bottom"/>
            <w:tcBorders>
              <w:top w:val="single" w:sz="8" w:color="0000FF"/>
            </w:tcBorders>
            <w:gridSpan w:val="27"/>
          </w:tcPr>
          <w:p>
            <w:pPr>
              <w:spacing w:after="0"/>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by reference to Exhibit 10.8 to our Quarterly Report on Form 10-Q for the quarter ended September 30, 2016).</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10.27**</w:t>
            </w:r>
          </w:p>
        </w:tc>
        <w:tc>
          <w:tcPr>
            <w:tcW w:w="10240" w:type="dxa"/>
            <w:vAlign w:val="bottom"/>
            <w:gridSpan w:val="37"/>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29">
              <w:r>
                <w:rPr>
                  <w:rFonts w:ascii="Arial" w:cs="Arial" w:eastAsia="Arial" w:hAnsi="Arial"/>
                  <w:sz w:val="18"/>
                  <w:szCs w:val="18"/>
                  <w:color w:val="0000FF"/>
                  <w:w w:val="93"/>
                </w:rPr>
                <w:t>Second Amendment dated March 22, 2018 to Plains AAP, L.P. Class B Restricted Units Agreement (Willie Chiang) (incorporated</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229">
              <w:r>
                <w:rPr>
                  <w:rFonts w:ascii="Arial" w:cs="Arial" w:eastAsia="Arial" w:hAnsi="Arial"/>
                  <w:sz w:val="18"/>
                  <w:szCs w:val="18"/>
                  <w:color w:val="0000FF"/>
                  <w:w w:val="91"/>
                </w:rPr>
                <w:t>by reference to Exhibit 10.1 to our Quarterly Report on Form 10-Q for the quarter ended March 31, 2018).</w:t>
              </w:r>
            </w:hyperlink>
          </w:p>
        </w:tc>
        <w:tc>
          <w:tcPr>
            <w:tcW w:w="17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10.28**</w:t>
            </w:r>
          </w:p>
        </w:tc>
        <w:tc>
          <w:tcPr>
            <w:tcW w:w="10240" w:type="dxa"/>
            <w:vAlign w:val="bottom"/>
            <w:gridSpan w:val="37"/>
          </w:tcPr>
          <w:p>
            <w:pPr>
              <w:ind w:left="3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30">
              <w:r>
                <w:rPr>
                  <w:rFonts w:ascii="Arial" w:cs="Arial" w:eastAsia="Arial" w:hAnsi="Arial"/>
                  <w:sz w:val="18"/>
                  <w:szCs w:val="18"/>
                  <w:color w:val="0000FF"/>
                  <w:w w:val="96"/>
                </w:rPr>
                <w:t>LTIP Grant Letter dated August 16, 2018 (Willie Chiang) incorporated by reference to Exhibit 10.8 to our Quarterly Report on</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230">
              <w:r>
                <w:rPr>
                  <w:rFonts w:ascii="Arial" w:cs="Arial" w:eastAsia="Arial" w:hAnsi="Arial"/>
                  <w:sz w:val="18"/>
                  <w:szCs w:val="18"/>
                  <w:color w:val="0000FF"/>
                  <w:w w:val="89"/>
                </w:rPr>
                <w:t>Form 10-Q for the quarter ended September 30, 2018).</w:t>
              </w:r>
            </w:hyperlink>
          </w:p>
        </w:tc>
        <w:tc>
          <w:tcPr>
            <w:tcW w:w="518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10.29**</w:t>
            </w:r>
          </w:p>
        </w:tc>
        <w:tc>
          <w:tcPr>
            <w:tcW w:w="10240" w:type="dxa"/>
            <w:vAlign w:val="bottom"/>
            <w:gridSpan w:val="37"/>
          </w:tcPr>
          <w:p>
            <w:pPr>
              <w:ind w:left="3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31">
              <w:r>
                <w:rPr>
                  <w:rFonts w:ascii="Arial" w:cs="Arial" w:eastAsia="Arial" w:hAnsi="Arial"/>
                  <w:sz w:val="18"/>
                  <w:szCs w:val="18"/>
                  <w:color w:val="0000FF"/>
                  <w:w w:val="96"/>
                </w:rPr>
                <w:t>Plains All American 2013 Long-Term Incentive Plan (incorporated by reference to Exhibit A to our Definitive Proxy Statement</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231">
              <w:r>
                <w:rPr>
                  <w:rFonts w:ascii="Arial" w:cs="Arial" w:eastAsia="Arial" w:hAnsi="Arial"/>
                  <w:sz w:val="18"/>
                  <w:szCs w:val="18"/>
                  <w:color w:val="0000FF"/>
                  <w:w w:val="91"/>
                </w:rPr>
                <w:t>filed on October 3, 2013).</w:t>
              </w:r>
            </w:hyperlink>
          </w:p>
        </w:tc>
        <w:tc>
          <w:tcPr>
            <w:tcW w:w="73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10.30**</w:t>
            </w:r>
          </w:p>
        </w:tc>
        <w:tc>
          <w:tcPr>
            <w:tcW w:w="10240" w:type="dxa"/>
            <w:vAlign w:val="bottom"/>
            <w:gridSpan w:val="37"/>
          </w:tcPr>
          <w:p>
            <w:pPr>
              <w:ind w:left="34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232">
              <w:r>
                <w:rPr>
                  <w:rFonts w:ascii="Arial" w:cs="Arial" w:eastAsia="Arial" w:hAnsi="Arial"/>
                  <w:sz w:val="18"/>
                  <w:szCs w:val="18"/>
                  <w:color w:val="0000FF"/>
                  <w:w w:val="97"/>
                </w:rPr>
                <w:t>Plains All American PNG Successor Long-Term Incentive Plan (incorporated by reference to Exhibit 4.4 to our Registration</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232">
              <w:r>
                <w:rPr>
                  <w:rFonts w:ascii="Arial" w:cs="Arial" w:eastAsia="Arial" w:hAnsi="Arial"/>
                  <w:sz w:val="18"/>
                  <w:szCs w:val="18"/>
                  <w:color w:val="0000FF"/>
                  <w:w w:val="90"/>
                </w:rPr>
                <w:t>Statement on Form S-8 (333-193139) filed December 31, 2013).</w:t>
              </w:r>
            </w:hyperlink>
          </w:p>
        </w:tc>
        <w:tc>
          <w:tcPr>
            <w:tcW w:w="43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10.31**</w:t>
            </w:r>
          </w:p>
        </w:tc>
        <w:tc>
          <w:tcPr>
            <w:tcW w:w="10240" w:type="dxa"/>
            <w:vAlign w:val="bottom"/>
            <w:gridSpan w:val="37"/>
          </w:tcPr>
          <w:p>
            <w:pPr>
              <w:ind w:left="34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233">
              <w:r>
                <w:rPr>
                  <w:rFonts w:ascii="Arial" w:cs="Arial" w:eastAsia="Arial" w:hAnsi="Arial"/>
                  <w:sz w:val="18"/>
                  <w:szCs w:val="18"/>
                  <w:color w:val="0000FF"/>
                  <w:w w:val="97"/>
                </w:rPr>
                <w:t>PAA Natural Gas Storage, L.P. 2010 Long-Term Incentive Plan (incorporated by reference to Exhibit 10.2 to PNG’s Current</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9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33">
              <w:r>
                <w:rPr>
                  <w:rFonts w:ascii="Arial" w:cs="Arial" w:eastAsia="Arial" w:hAnsi="Arial"/>
                  <w:sz w:val="18"/>
                  <w:szCs w:val="18"/>
                  <w:color w:val="0000FF"/>
                </w:rPr>
                <w:t>Report on Form 8-K filed May 11, 2010).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10.32**</w:t>
            </w:r>
          </w:p>
        </w:tc>
        <w:tc>
          <w:tcPr>
            <w:tcW w:w="10240" w:type="dxa"/>
            <w:vAlign w:val="bottom"/>
            <w:gridSpan w:val="37"/>
          </w:tcPr>
          <w:p>
            <w:pPr>
              <w:ind w:left="34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234">
              <w:r>
                <w:rPr>
                  <w:rFonts w:ascii="Arial" w:cs="Arial" w:eastAsia="Arial" w:hAnsi="Arial"/>
                  <w:sz w:val="18"/>
                  <w:szCs w:val="18"/>
                  <w:color w:val="0000FF"/>
                  <w:w w:val="97"/>
                </w:rPr>
                <w:t>Plains GP Holdings, L.P. Long Term Incentive Plan, (incorporated by reference to Exhibit 10.3 to PAGP’s Current Report on</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Form 8-K filed October 25,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10.33**</w:t>
            </w:r>
          </w:p>
        </w:tc>
        <w:tc>
          <w:tcPr>
            <w:tcW w:w="10240" w:type="dxa"/>
            <w:vAlign w:val="bottom"/>
            <w:gridSpan w:val="37"/>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35">
              <w:r>
                <w:rPr>
                  <w:rFonts w:ascii="Arial" w:cs="Arial" w:eastAsia="Arial" w:hAnsi="Arial"/>
                  <w:sz w:val="18"/>
                  <w:szCs w:val="18"/>
                  <w:color w:val="0000FF"/>
                  <w:w w:val="93"/>
                </w:rPr>
                <w:t>Form of Plains AAP, L.P. Class B Restricted Units Agreement (incorporated by reference to Exhibit 10.1 to our Current Report on</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235">
              <w:r>
                <w:rPr>
                  <w:rFonts w:ascii="Arial" w:cs="Arial" w:eastAsia="Arial" w:hAnsi="Arial"/>
                  <w:sz w:val="18"/>
                  <w:szCs w:val="18"/>
                  <w:color w:val="0000FF"/>
                  <w:w w:val="92"/>
                </w:rPr>
                <w:t>Form 8-K filed January 4, 2008).</w:t>
              </w:r>
            </w:hyperlink>
          </w:p>
        </w:tc>
        <w:tc>
          <w:tcPr>
            <w:tcW w:w="700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10.34**</w:t>
            </w:r>
          </w:p>
        </w:tc>
        <w:tc>
          <w:tcPr>
            <w:tcW w:w="10240" w:type="dxa"/>
            <w:vAlign w:val="bottom"/>
            <w:gridSpan w:val="37"/>
          </w:tcPr>
          <w:p>
            <w:pPr>
              <w:ind w:left="34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236">
              <w:r>
                <w:rPr>
                  <w:rFonts w:ascii="Arial" w:cs="Arial" w:eastAsia="Arial" w:hAnsi="Arial"/>
                  <w:sz w:val="18"/>
                  <w:szCs w:val="18"/>
                  <w:color w:val="0000FF"/>
                  <w:w w:val="97"/>
                </w:rPr>
                <w:t>Form of Amendment to the Plains AAP, L.P. Class B Restricted Units Agreement, dated October 18, 2013 (incorporated by</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236">
              <w:r>
                <w:rPr>
                  <w:rFonts w:ascii="Arial" w:cs="Arial" w:eastAsia="Arial" w:hAnsi="Arial"/>
                  <w:sz w:val="18"/>
                  <w:szCs w:val="18"/>
                  <w:color w:val="0000FF"/>
                  <w:w w:val="91"/>
                </w:rPr>
                <w:t>reference to Exhibit 10.4 to our Current Report on Form 8-K filed October 25, 2013).</w:t>
              </w:r>
            </w:hyperlink>
          </w:p>
        </w:tc>
        <w:tc>
          <w:tcPr>
            <w:tcW w:w="272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10.35**</w:t>
            </w:r>
          </w:p>
        </w:tc>
        <w:tc>
          <w:tcPr>
            <w:tcW w:w="10240" w:type="dxa"/>
            <w:vAlign w:val="bottom"/>
            <w:gridSpan w:val="37"/>
          </w:tcPr>
          <w:p>
            <w:pPr>
              <w:ind w:left="3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237">
              <w:r>
                <w:rPr>
                  <w:rFonts w:ascii="Arial" w:cs="Arial" w:eastAsia="Arial" w:hAnsi="Arial"/>
                  <w:sz w:val="18"/>
                  <w:szCs w:val="18"/>
                  <w:color w:val="0000FF"/>
                  <w:w w:val="92"/>
                </w:rPr>
                <w:t>Form of Amendment to Plains AAP, L.P. Class B Restricted Units Agreement dated August 25, 2016 (incorporated by reference to</w:t>
              </w:r>
            </w:hyperlink>
          </w:p>
        </w:tc>
      </w:tr>
      <w:tr>
        <w:trPr>
          <w:trHeight w:val="224"/>
        </w:trPr>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20" w:type="dxa"/>
            <w:vAlign w:val="bottom"/>
            <w:tcBorders>
              <w:top w:val="single" w:sz="8" w:color="0000FF"/>
            </w:tcBorders>
            <w:gridSpan w:val="35"/>
          </w:tcPr>
          <w:p>
            <w:pPr>
              <w:spacing w:after="0"/>
              <w:rPr>
                <w:rFonts w:ascii="Arial" w:cs="Arial" w:eastAsia="Arial" w:hAnsi="Arial"/>
                <w:sz w:val="18"/>
                <w:szCs w:val="18"/>
                <w:u w:val="single" w:color="auto"/>
                <w:color w:val="0000FF"/>
                <w:w w:val="99"/>
              </w:rPr>
            </w:pPr>
            <w:hyperlink r:id="rId237">
              <w:r>
                <w:rPr>
                  <w:rFonts w:ascii="Arial" w:cs="Arial" w:eastAsia="Arial" w:hAnsi="Arial"/>
                  <w:sz w:val="18"/>
                  <w:szCs w:val="18"/>
                  <w:u w:val="single" w:color="auto"/>
                  <w:color w:val="0000FF"/>
                  <w:w w:val="99"/>
                </w:rPr>
                <w:t>Exhibit 10.6 to our Quarterly Report on Form 10-Q for the quarter ended September 30, 2016 filed November 8, 2016).</w:t>
              </w:r>
            </w:hyperlink>
          </w:p>
        </w:tc>
        <w:tc>
          <w:tcPr>
            <w:tcW w:w="20" w:type="dxa"/>
            <w:vAlign w:val="bottom"/>
          </w:tcPr>
          <w:p>
            <w:pPr>
              <w:spacing w:after="0"/>
              <w:rPr>
                <w:sz w:val="19"/>
                <w:szCs w:val="19"/>
                <w:color w:val="auto"/>
              </w:rPr>
            </w:pPr>
          </w:p>
        </w:tc>
      </w:tr>
      <w:tr>
        <w:trPr>
          <w:trHeight w:val="269"/>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10.36**</w:t>
            </w:r>
          </w:p>
        </w:tc>
        <w:tc>
          <w:tcPr>
            <w:tcW w:w="10240" w:type="dxa"/>
            <w:vAlign w:val="bottom"/>
            <w:gridSpan w:val="37"/>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38">
              <w:r>
                <w:rPr>
                  <w:rFonts w:ascii="Arial" w:cs="Arial" w:eastAsia="Arial" w:hAnsi="Arial"/>
                  <w:sz w:val="18"/>
                  <w:szCs w:val="18"/>
                  <w:color w:val="0000FF"/>
                  <w:w w:val="93"/>
                </w:rPr>
                <w:t>Form of First Amendment dated March 22, 2018 to Amended and Restated Plains AAP, L.P. Class B Restricted Units Agreement</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1"/>
              </w:rPr>
            </w:pPr>
            <w:hyperlink r:id="rId238">
              <w:r>
                <w:rPr>
                  <w:rFonts w:ascii="Arial" w:cs="Arial" w:eastAsia="Arial" w:hAnsi="Arial"/>
                  <w:sz w:val="18"/>
                  <w:szCs w:val="18"/>
                  <w:color w:val="0000FF"/>
                  <w:w w:val="91"/>
                </w:rPr>
                <w:t>dated August 25, 2016 (Officers) (incorporated by reference to Exhibit 10.2 to our Quarterly Report on Form 10-Q for the quarter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40" w:type="dxa"/>
            <w:vAlign w:val="bottom"/>
            <w:tcBorders>
              <w:bottom w:val="single" w:sz="8" w:color="0000FF"/>
            </w:tcBorders>
            <w:gridSpan w:val="3"/>
          </w:tcPr>
          <w:p>
            <w:pPr>
              <w:spacing w:after="0" w:line="156" w:lineRule="exact"/>
              <w:rPr>
                <w:rFonts w:ascii="Arial" w:cs="Arial" w:eastAsia="Arial" w:hAnsi="Arial"/>
                <w:sz w:val="18"/>
                <w:szCs w:val="18"/>
                <w:color w:val="0000FF"/>
                <w:w w:val="89"/>
              </w:rPr>
            </w:pPr>
            <w:hyperlink r:id="rId238">
              <w:r>
                <w:rPr>
                  <w:rFonts w:ascii="Arial" w:cs="Arial" w:eastAsia="Arial" w:hAnsi="Arial"/>
                  <w:sz w:val="18"/>
                  <w:szCs w:val="18"/>
                  <w:color w:val="0000FF"/>
                  <w:w w:val="89"/>
                </w:rPr>
                <w:t>ended March 31, 2018).</w:t>
              </w:r>
            </w:hyperlink>
          </w:p>
        </w:tc>
        <w:tc>
          <w:tcPr>
            <w:tcW w:w="7620" w:type="dxa"/>
            <w:vAlign w:val="bottom"/>
            <w:gridSpan w:val="29"/>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10.37**</w:t>
            </w:r>
          </w:p>
        </w:tc>
        <w:tc>
          <w:tcPr>
            <w:tcW w:w="10240" w:type="dxa"/>
            <w:vAlign w:val="bottom"/>
            <w:gridSpan w:val="37"/>
          </w:tcPr>
          <w:p>
            <w:pPr>
              <w:ind w:left="3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39">
              <w:r>
                <w:rPr>
                  <w:rFonts w:ascii="Arial" w:cs="Arial" w:eastAsia="Arial" w:hAnsi="Arial"/>
                  <w:sz w:val="18"/>
                  <w:szCs w:val="18"/>
                  <w:color w:val="0000FF"/>
                  <w:w w:val="94"/>
                </w:rPr>
                <w:t>Form of PAA LTIP Grant Letter for Officers (August 2016) (incorporated by reference to Exhibit 10.5 to our Quarterly Report on</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239">
              <w:r>
                <w:rPr>
                  <w:rFonts w:ascii="Arial" w:cs="Arial" w:eastAsia="Arial" w:hAnsi="Arial"/>
                  <w:sz w:val="18"/>
                  <w:szCs w:val="18"/>
                  <w:color w:val="0000FF"/>
                  <w:w w:val="89"/>
                </w:rPr>
                <w:t>Form 10-Q for the quarter ended September 30, 2016).</w:t>
              </w:r>
            </w:hyperlink>
          </w:p>
        </w:tc>
        <w:tc>
          <w:tcPr>
            <w:tcW w:w="5380" w:type="dxa"/>
            <w:vAlign w:val="bottom"/>
            <w:tcBorders>
              <w:top w:val="single" w:sz="8" w:color="0000FF"/>
            </w:tcBorders>
            <w:gridSpan w:val="2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10.38**</w:t>
            </w:r>
          </w:p>
        </w:tc>
        <w:tc>
          <w:tcPr>
            <w:tcW w:w="10240" w:type="dxa"/>
            <w:vAlign w:val="bottom"/>
            <w:gridSpan w:val="37"/>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240">
              <w:r>
                <w:rPr>
                  <w:rFonts w:ascii="Arial" w:cs="Arial" w:eastAsia="Arial" w:hAnsi="Arial"/>
                  <w:sz w:val="18"/>
                  <w:szCs w:val="18"/>
                  <w:color w:val="0000FF"/>
                </w:rPr>
                <w:t>Form of Amendment dated March 22, 2018 to PAA LTIP Grant Letter dated August 25, 2016 (Officers) (incorporated by</w:t>
              </w:r>
            </w:hyperlink>
          </w:p>
        </w:tc>
      </w:tr>
      <w:tr>
        <w:trPr>
          <w:trHeight w:val="224"/>
        </w:trPr>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72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240">
              <w:r>
                <w:rPr>
                  <w:rFonts w:ascii="Arial" w:cs="Arial" w:eastAsia="Arial" w:hAnsi="Arial"/>
                  <w:sz w:val="18"/>
                  <w:szCs w:val="18"/>
                  <w:u w:val="single" w:color="auto"/>
                  <w:color w:val="0000FF"/>
                </w:rPr>
                <w:t>reference to Exhibit 10.4 to our Quarterly Report on Form 10-Q for the quarter ended March 31, 2018).</w:t>
              </w:r>
            </w:hyperlink>
          </w:p>
        </w:tc>
        <w:tc>
          <w:tcPr>
            <w:tcW w:w="22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7"/>
          </w:tcPr>
          <w:p>
            <w:pPr>
              <w:spacing w:after="0"/>
              <w:rPr>
                <w:sz w:val="19"/>
                <w:szCs w:val="19"/>
                <w:color w:val="auto"/>
              </w:rPr>
            </w:pPr>
          </w:p>
        </w:tc>
      </w:tr>
      <w:tr>
        <w:trPr>
          <w:trHeight w:val="269"/>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10.39**</w:t>
            </w:r>
          </w:p>
        </w:tc>
        <w:tc>
          <w:tcPr>
            <w:tcW w:w="10240" w:type="dxa"/>
            <w:vAlign w:val="bottom"/>
            <w:gridSpan w:val="37"/>
          </w:tcPr>
          <w:p>
            <w:pPr>
              <w:ind w:left="3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41">
              <w:r>
                <w:rPr>
                  <w:rFonts w:ascii="Arial" w:cs="Arial" w:eastAsia="Arial" w:hAnsi="Arial"/>
                  <w:sz w:val="18"/>
                  <w:szCs w:val="18"/>
                  <w:color w:val="0000FF"/>
                  <w:w w:val="95"/>
                </w:rPr>
                <w:t>Form of PAA LTIP Grant Letter for Officers (March 2018) (incorporated by reference to Exhibit 10.5 to our Quarterly Report on</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241">
              <w:r>
                <w:rPr>
                  <w:rFonts w:ascii="Arial" w:cs="Arial" w:eastAsia="Arial" w:hAnsi="Arial"/>
                  <w:sz w:val="18"/>
                  <w:szCs w:val="18"/>
                  <w:color w:val="0000FF"/>
                  <w:w w:val="90"/>
                </w:rPr>
                <w:t>Form 10-Q for the quarter ended March 31, 2018).</w:t>
              </w:r>
            </w:hyperlink>
          </w:p>
        </w:tc>
        <w:tc>
          <w:tcPr>
            <w:tcW w:w="5620" w:type="dxa"/>
            <w:vAlign w:val="bottom"/>
            <w:tcBorders>
              <w:top w:val="single" w:sz="8" w:color="0000FF"/>
            </w:tcBorders>
            <w:gridSpan w:val="21"/>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10.40**</w:t>
            </w:r>
          </w:p>
        </w:tc>
        <w:tc>
          <w:tcPr>
            <w:tcW w:w="10240" w:type="dxa"/>
            <w:vAlign w:val="bottom"/>
            <w:gridSpan w:val="37"/>
          </w:tcPr>
          <w:p>
            <w:pPr>
              <w:ind w:left="34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242">
              <w:r>
                <w:rPr>
                  <w:rFonts w:ascii="Arial" w:cs="Arial" w:eastAsia="Arial" w:hAnsi="Arial"/>
                  <w:sz w:val="18"/>
                  <w:szCs w:val="18"/>
                  <w:color w:val="0000FF"/>
                  <w:w w:val="98"/>
                </w:rPr>
                <w:t>Form of Director LTIP Grant Letter (February 2017) - Director Grant - Designated Directors and Audit Committee Members</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242">
              <w:r>
                <w:rPr>
                  <w:rFonts w:ascii="Arial" w:cs="Arial" w:eastAsia="Arial" w:hAnsi="Arial"/>
                  <w:sz w:val="18"/>
                  <w:szCs w:val="18"/>
                  <w:color w:val="0000FF"/>
                  <w:w w:val="91"/>
                </w:rPr>
                <w:t>(PAA Plan) (incorporated by reference to Exhibit 10.1 to our Quarterly Report on Form 10-Q for the quarter ended March 31,</w:t>
              </w:r>
            </w:hyperlink>
          </w:p>
        </w:tc>
        <w:tc>
          <w:tcPr>
            <w:tcW w:w="4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8"/>
          </w:tcPr>
          <w:p>
            <w:pPr>
              <w:spacing w:after="0"/>
              <w:rPr>
                <w:sz w:val="13"/>
                <w:szCs w:val="13"/>
                <w:color w:val="auto"/>
              </w:rPr>
            </w:pPr>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Borders>
              <w:bottom w:val="single" w:sz="8" w:color="0000FF"/>
            </w:tcBorders>
          </w:tcPr>
          <w:p>
            <w:pPr>
              <w:spacing w:after="0" w:line="156" w:lineRule="exact"/>
              <w:rPr>
                <w:rFonts w:ascii="Arial" w:cs="Arial" w:eastAsia="Arial" w:hAnsi="Arial"/>
                <w:sz w:val="18"/>
                <w:szCs w:val="18"/>
                <w:color w:val="0000FF"/>
                <w:w w:val="90"/>
              </w:rPr>
            </w:pPr>
            <w:hyperlink r:id="rId242">
              <w:r>
                <w:rPr>
                  <w:rFonts w:ascii="Arial" w:cs="Arial" w:eastAsia="Arial" w:hAnsi="Arial"/>
                  <w:sz w:val="18"/>
                  <w:szCs w:val="18"/>
                  <w:color w:val="0000FF"/>
                  <w:w w:val="90"/>
                </w:rPr>
                <w:t>2017).</w:t>
              </w:r>
            </w:hyperlink>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10.41**</w:t>
            </w:r>
          </w:p>
        </w:tc>
        <w:tc>
          <w:tcPr>
            <w:tcW w:w="10240" w:type="dxa"/>
            <w:vAlign w:val="bottom"/>
            <w:gridSpan w:val="37"/>
          </w:tcPr>
          <w:p>
            <w:pPr>
              <w:ind w:left="3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43">
              <w:r>
                <w:rPr>
                  <w:rFonts w:ascii="Arial" w:cs="Arial" w:eastAsia="Arial" w:hAnsi="Arial"/>
                  <w:sz w:val="18"/>
                  <w:szCs w:val="18"/>
                  <w:color w:val="0000FF"/>
                  <w:w w:val="96"/>
                </w:rPr>
                <w:t>Form of Director LTIP Grant Letter (February 2017) - Audit Committee Supplement (PAA Plan) (incorporated by reference to</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243">
              <w:r>
                <w:rPr>
                  <w:rFonts w:ascii="Arial" w:cs="Arial" w:eastAsia="Arial" w:hAnsi="Arial"/>
                  <w:sz w:val="18"/>
                  <w:szCs w:val="18"/>
                  <w:color w:val="0000FF"/>
                  <w:w w:val="91"/>
                </w:rPr>
                <w:t>Exhibit 10.2 to our Quarterly Report on Form 10-Q for the quarter ended March 31, 2017).</w:t>
              </w:r>
            </w:hyperlink>
          </w:p>
        </w:tc>
        <w:tc>
          <w:tcPr>
            <w:tcW w:w="2560" w:type="dxa"/>
            <w:vAlign w:val="bottom"/>
            <w:tcBorders>
              <w:top w:val="single" w:sz="8" w:color="0000FF"/>
            </w:tcBorders>
            <w:gridSpan w:val="11"/>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8"/>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10.42**</w:t>
            </w:r>
          </w:p>
        </w:tc>
        <w:tc>
          <w:tcPr>
            <w:tcW w:w="10240" w:type="dxa"/>
            <w:vAlign w:val="bottom"/>
            <w:gridSpan w:val="37"/>
          </w:tcPr>
          <w:p>
            <w:pPr>
              <w:ind w:left="34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244">
              <w:r>
                <w:rPr>
                  <w:rFonts w:ascii="Arial" w:cs="Arial" w:eastAsia="Arial" w:hAnsi="Arial"/>
                  <w:sz w:val="18"/>
                  <w:szCs w:val="18"/>
                  <w:color w:val="0000FF"/>
                  <w:w w:val="98"/>
                </w:rPr>
                <w:t>Form of Director LTIP Grant Letter (February 2017) - Independent Director Grant (PAA Plan) (incorporated by reference to</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244">
              <w:r>
                <w:rPr>
                  <w:rFonts w:ascii="Arial" w:cs="Arial" w:eastAsia="Arial" w:hAnsi="Arial"/>
                  <w:sz w:val="18"/>
                  <w:szCs w:val="18"/>
                  <w:color w:val="0000FF"/>
                  <w:w w:val="91"/>
                </w:rPr>
                <w:t>Exhibit 10.3 to our Quarterly Report on Form 10-Q for the quarter ended March 31, 2017).</w:t>
              </w:r>
            </w:hyperlink>
          </w:p>
        </w:tc>
        <w:tc>
          <w:tcPr>
            <w:tcW w:w="2380" w:type="dxa"/>
            <w:vAlign w:val="bottom"/>
            <w:tcBorders>
              <w:top w:val="single" w:sz="8" w:color="0000FF"/>
            </w:tcBorders>
            <w:gridSpan w:val="5"/>
          </w:tcPr>
          <w:p>
            <w:pPr>
              <w:spacing w:after="0"/>
              <w:rPr>
                <w:sz w:val="13"/>
                <w:szCs w:val="13"/>
                <w:color w:val="auto"/>
              </w:rPr>
            </w:pPr>
          </w:p>
        </w:tc>
        <w:tc>
          <w:tcPr>
            <w:tcW w:w="26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8"/>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10.43**</w:t>
            </w:r>
          </w:p>
        </w:tc>
        <w:tc>
          <w:tcPr>
            <w:tcW w:w="10240" w:type="dxa"/>
            <w:vAlign w:val="bottom"/>
            <w:gridSpan w:val="37"/>
          </w:tcPr>
          <w:p>
            <w:pPr>
              <w:ind w:left="34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245">
              <w:r>
                <w:rPr>
                  <w:rFonts w:ascii="Arial" w:cs="Arial" w:eastAsia="Arial" w:hAnsi="Arial"/>
                  <w:sz w:val="18"/>
                  <w:szCs w:val="18"/>
                  <w:color w:val="0000FF"/>
                  <w:w w:val="98"/>
                </w:rPr>
                <w:t>Form of Director LTIP Grant Letter (February 2017) - Director Grant - Designated Directors and Audit Committee Members</w:t>
              </w:r>
            </w:hyperlink>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140" w:type="dxa"/>
            <w:vAlign w:val="bottom"/>
            <w:gridSpan w:val="11"/>
            <w:shd w:val="clear" w:color="auto" w:fill="0000FF"/>
          </w:tcPr>
          <w:p>
            <w:pPr>
              <w:spacing w:after="0" w:line="20" w:lineRule="exact"/>
              <w:rPr>
                <w:sz w:val="1"/>
                <w:szCs w:val="1"/>
                <w:color w:val="auto"/>
              </w:rPr>
            </w:pPr>
          </w:p>
        </w:tc>
        <w:tc>
          <w:tcPr>
            <w:tcW w:w="2140" w:type="dxa"/>
            <w:vAlign w:val="bottom"/>
            <w:gridSpan w:val="8"/>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40" w:type="dxa"/>
            <w:vAlign w:val="bottom"/>
            <w:gridSpan w:val="36"/>
          </w:tcPr>
          <w:p>
            <w:pPr>
              <w:spacing w:after="0" w:line="156" w:lineRule="exact"/>
              <w:rPr>
                <w:rFonts w:ascii="Arial" w:cs="Arial" w:eastAsia="Arial" w:hAnsi="Arial"/>
                <w:sz w:val="18"/>
                <w:szCs w:val="18"/>
                <w:color w:val="0000FF"/>
                <w:w w:val="93"/>
              </w:rPr>
            </w:pPr>
            <w:hyperlink r:id="rId245">
              <w:r>
                <w:rPr>
                  <w:rFonts w:ascii="Arial" w:cs="Arial" w:eastAsia="Arial" w:hAnsi="Arial"/>
                  <w:sz w:val="18"/>
                  <w:szCs w:val="18"/>
                  <w:color w:val="0000FF"/>
                  <w:w w:val="93"/>
                </w:rPr>
                <w:t>(PAGP Plan) (incorporated by reference to Exhibit 10.1 to PAGP’s Quarterly Report on Form 10-Q for the quarter ended March</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245">
              <w:r>
                <w:rPr>
                  <w:rFonts w:ascii="Arial" w:cs="Arial" w:eastAsia="Arial" w:hAnsi="Arial"/>
                  <w:sz w:val="18"/>
                  <w:szCs w:val="18"/>
                  <w:color w:val="0000FF"/>
                  <w:w w:val="88"/>
                </w:rPr>
                <w:t>31, 2017).</w:t>
              </w:r>
            </w:hyperlink>
          </w:p>
        </w:tc>
        <w:tc>
          <w:tcPr>
            <w:tcW w:w="10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8"/>
              </w:rPr>
              <w:t>10.44**</w:t>
            </w:r>
          </w:p>
        </w:tc>
        <w:tc>
          <w:tcPr>
            <w:tcW w:w="10240" w:type="dxa"/>
            <w:vAlign w:val="bottom"/>
            <w:gridSpan w:val="37"/>
          </w:tcPr>
          <w:p>
            <w:pPr>
              <w:ind w:left="3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46">
              <w:r>
                <w:rPr>
                  <w:rFonts w:ascii="Arial" w:cs="Arial" w:eastAsia="Arial" w:hAnsi="Arial"/>
                  <w:sz w:val="18"/>
                  <w:szCs w:val="18"/>
                  <w:color w:val="0000FF"/>
                  <w:w w:val="95"/>
                </w:rPr>
                <w:t>Form of Director LTIP Grant Letter (February 2017) - Audit Committee Supplement (PAGP Plan) (incorporated by reference to</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246">
              <w:r>
                <w:rPr>
                  <w:rFonts w:ascii="Arial" w:cs="Arial" w:eastAsia="Arial" w:hAnsi="Arial"/>
                  <w:sz w:val="18"/>
                  <w:szCs w:val="18"/>
                  <w:color w:val="0000FF"/>
                  <w:w w:val="91"/>
                </w:rPr>
                <w:t>Exhibit 10.2 to PAGP’s Quarterly Report on Form 10-Q for the quarter ended March 31, 2017).</w:t>
              </w:r>
            </w:hyperlink>
          </w:p>
        </w:tc>
        <w:tc>
          <w:tcPr>
            <w:tcW w:w="2360" w:type="dxa"/>
            <w:vAlign w:val="bottom"/>
            <w:tcBorders>
              <w:top w:val="single" w:sz="8" w:color="0000FF"/>
            </w:tcBorders>
            <w:gridSpan w:val="15"/>
          </w:tcPr>
          <w:p>
            <w:pPr>
              <w:spacing w:after="0"/>
              <w:rPr>
                <w:sz w:val="13"/>
                <w:szCs w:val="13"/>
                <w:color w:val="auto"/>
              </w:rPr>
            </w:pPr>
          </w:p>
        </w:tc>
        <w:tc>
          <w:tcPr>
            <w:tcW w:w="200" w:type="dxa"/>
            <w:vAlign w:val="bottom"/>
            <w:gridSpan w:val="8"/>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16" w:name="page117"/>
    <w:bookmarkEnd w:id="1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color w:val="auto"/>
              </w:rPr>
              <w:t>10.45**</w:t>
            </w:r>
          </w:p>
        </w:tc>
        <w:tc>
          <w:tcPr>
            <w:tcW w:w="10160" w:type="dxa"/>
            <w:vAlign w:val="bottom"/>
            <w:gridSpan w:val="16"/>
          </w:tcPr>
          <w:p>
            <w:pPr>
              <w:ind w:left="26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48">
              <w:r>
                <w:rPr>
                  <w:rFonts w:ascii="Arial" w:cs="Arial" w:eastAsia="Arial" w:hAnsi="Arial"/>
                  <w:sz w:val="18"/>
                  <w:szCs w:val="18"/>
                  <w:color w:val="0000FF"/>
                  <w:w w:val="96"/>
                </w:rPr>
                <w:t>Form of Director LTIP Grant Letter (February 2017) - Independent Director Grant (PAGP Plan) (incorporated by reference to</w:t>
              </w:r>
            </w:hyperlink>
          </w:p>
        </w:tc>
      </w:tr>
      <w:tr>
        <w:trPr>
          <w:trHeight w:val="156"/>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248">
              <w:r>
                <w:rPr>
                  <w:rFonts w:ascii="Arial" w:cs="Arial" w:eastAsia="Arial" w:hAnsi="Arial"/>
                  <w:sz w:val="18"/>
                  <w:szCs w:val="18"/>
                  <w:color w:val="0000FF"/>
                  <w:w w:val="91"/>
                </w:rPr>
                <w:t>Exhibit 10.3 to PAGP’s Quarterly Report on Form 10-Q for the quarter ended March 31, 2017).</w:t>
              </w:r>
            </w:hyperlink>
          </w:p>
        </w:tc>
        <w:tc>
          <w:tcPr>
            <w:tcW w:w="216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10.46**</w:t>
            </w:r>
          </w:p>
        </w:tc>
        <w:tc>
          <w:tcPr>
            <w:tcW w:w="10160" w:type="dxa"/>
            <w:vAlign w:val="bottom"/>
            <w:gridSpan w:val="16"/>
          </w:tcPr>
          <w:p>
            <w:pPr>
              <w:ind w:left="2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49">
              <w:r>
                <w:rPr>
                  <w:rFonts w:ascii="Arial" w:cs="Arial" w:eastAsia="Arial" w:hAnsi="Arial"/>
                  <w:sz w:val="18"/>
                  <w:szCs w:val="18"/>
                  <w:color w:val="0000FF"/>
                  <w:w w:val="94"/>
                </w:rPr>
                <w:t>Form of Director LTIP Grant Letter (August 2018) (incorporated by reference to Exhibit 10.66 to our Annual Report on Form 10-</w:t>
              </w:r>
            </w:hyperlink>
          </w:p>
        </w:tc>
      </w:tr>
      <w:tr>
        <w:trPr>
          <w:trHeight w:val="155"/>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249">
              <w:r>
                <w:rPr>
                  <w:rFonts w:ascii="Arial" w:cs="Arial" w:eastAsia="Arial" w:hAnsi="Arial"/>
                  <w:sz w:val="18"/>
                  <w:szCs w:val="18"/>
                  <w:color w:val="0000FF"/>
                  <w:w w:val="89"/>
                </w:rPr>
                <w:t>K for the year ended December 31, 2018).</w:t>
              </w:r>
            </w:hyperlink>
          </w:p>
        </w:tc>
        <w:tc>
          <w:tcPr>
            <w:tcW w:w="628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10.47**</w:t>
            </w:r>
          </w:p>
        </w:tc>
        <w:tc>
          <w:tcPr>
            <w:tcW w:w="10160" w:type="dxa"/>
            <w:vAlign w:val="bottom"/>
            <w:gridSpan w:val="16"/>
          </w:tcPr>
          <w:p>
            <w:pPr>
              <w:ind w:left="2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50">
              <w:r>
                <w:rPr>
                  <w:rFonts w:ascii="Arial" w:cs="Arial" w:eastAsia="Arial" w:hAnsi="Arial"/>
                  <w:sz w:val="18"/>
                  <w:szCs w:val="18"/>
                  <w:color w:val="0000FF"/>
                  <w:w w:val="94"/>
                </w:rPr>
                <w:t>Director LTIP Grant Letter (December 2018) (incorporated by reference to Exhibit 10.67 to our Annual Report on Form 10-K for</w:t>
              </w:r>
            </w:hyperlink>
          </w:p>
        </w:tc>
      </w:tr>
      <w:tr>
        <w:trPr>
          <w:trHeight w:val="155"/>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3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250">
              <w:r>
                <w:rPr>
                  <w:rFonts w:ascii="Arial" w:cs="Arial" w:eastAsia="Arial" w:hAnsi="Arial"/>
                  <w:sz w:val="18"/>
                  <w:szCs w:val="18"/>
                  <w:color w:val="0000FF"/>
                </w:rPr>
                <w:t>the year ended December 31, 2018).</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10.48**</w:t>
            </w:r>
          </w:p>
        </w:tc>
        <w:tc>
          <w:tcPr>
            <w:tcW w:w="10160" w:type="dxa"/>
            <w:vAlign w:val="bottom"/>
            <w:gridSpan w:val="16"/>
          </w:tcPr>
          <w:p>
            <w:pPr>
              <w:ind w:left="2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51">
              <w:r>
                <w:rPr>
                  <w:rFonts w:ascii="Arial" w:cs="Arial" w:eastAsia="Arial" w:hAnsi="Arial"/>
                  <w:sz w:val="18"/>
                  <w:szCs w:val="18"/>
                  <w:color w:val="0000FF"/>
                  <w:w w:val="93"/>
                </w:rPr>
                <w:t>Form of LTIP Grant Letter dated August 15, 2019 (Officers) (incorporated by reference to Exhibit 10.2 to our Quarterly Report on</w:t>
              </w:r>
            </w:hyperlink>
          </w:p>
        </w:tc>
      </w:tr>
      <w:tr>
        <w:trPr>
          <w:trHeight w:val="156"/>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251">
              <w:r>
                <w:rPr>
                  <w:rFonts w:ascii="Arial" w:cs="Arial" w:eastAsia="Arial" w:hAnsi="Arial"/>
                  <w:sz w:val="18"/>
                  <w:szCs w:val="18"/>
                  <w:color w:val="0000FF"/>
                  <w:w w:val="89"/>
                </w:rPr>
                <w:t>Form 10-Q for the quarter ended September 30, 2019).</w:t>
              </w:r>
            </w:hyperlink>
          </w:p>
        </w:tc>
        <w:tc>
          <w:tcPr>
            <w:tcW w:w="54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10.49**</w:t>
            </w:r>
          </w:p>
        </w:tc>
        <w:tc>
          <w:tcPr>
            <w:tcW w:w="10160" w:type="dxa"/>
            <w:vAlign w:val="bottom"/>
            <w:gridSpan w:val="16"/>
          </w:tcPr>
          <w:p>
            <w:pPr>
              <w:ind w:left="2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52">
              <w:r>
                <w:rPr>
                  <w:rFonts w:ascii="Arial" w:cs="Arial" w:eastAsia="Arial" w:hAnsi="Arial"/>
                  <w:sz w:val="18"/>
                  <w:szCs w:val="18"/>
                  <w:color w:val="0000FF"/>
                  <w:w w:val="95"/>
                </w:rPr>
                <w:t>Form of LTIP Grant Letter dated August 15, 2019 (Directors) (incorporated by reference to exhibit 10.3 to our Quarterly Report</w:t>
              </w:r>
            </w:hyperlink>
          </w:p>
        </w:tc>
      </w:tr>
      <w:tr>
        <w:trPr>
          <w:trHeight w:val="156"/>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252">
              <w:r>
                <w:rPr>
                  <w:rFonts w:ascii="Arial" w:cs="Arial" w:eastAsia="Arial" w:hAnsi="Arial"/>
                  <w:sz w:val="18"/>
                  <w:szCs w:val="18"/>
                  <w:color w:val="0000FF"/>
                  <w:w w:val="89"/>
                </w:rPr>
                <w:t>on Form 10-Q for the quarter ended September 30, 2019).</w:t>
              </w:r>
            </w:hyperlink>
          </w:p>
        </w:tc>
        <w:tc>
          <w:tcPr>
            <w:tcW w:w="50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10.50**</w:t>
            </w:r>
          </w:p>
        </w:tc>
        <w:tc>
          <w:tcPr>
            <w:tcW w:w="10160" w:type="dxa"/>
            <w:vAlign w:val="bottom"/>
            <w:gridSpan w:val="16"/>
          </w:tcPr>
          <w:p>
            <w:pPr>
              <w:ind w:left="2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53">
              <w:r>
                <w:rPr>
                  <w:rFonts w:ascii="Arial" w:cs="Arial" w:eastAsia="Arial" w:hAnsi="Arial"/>
                  <w:sz w:val="18"/>
                  <w:szCs w:val="18"/>
                  <w:u w:val="single" w:color="auto"/>
                  <w:color w:val="0000FF"/>
                  <w:w w:val="93"/>
                </w:rPr>
                <w:t>Director LTIP Grant Letter (January 2020)</w:t>
              </w:r>
              <w:r>
                <w:rPr>
                  <w:rFonts w:ascii="Arial" w:cs="Arial" w:eastAsia="Arial" w:hAnsi="Arial"/>
                  <w:sz w:val="18"/>
                  <w:szCs w:val="18"/>
                  <w:u w:val="single" w:color="auto"/>
                  <w:color w:val="auto"/>
                  <w:w w:val="93"/>
                </w:rPr>
                <w:t xml:space="preserve"> </w:t>
              </w:r>
              <w:r>
                <w:rPr>
                  <w:rFonts w:ascii="Arial" w:cs="Arial" w:eastAsia="Arial" w:hAnsi="Arial"/>
                  <w:sz w:val="18"/>
                  <w:szCs w:val="18"/>
                  <w:u w:val="single" w:color="auto"/>
                  <w:color w:val="0000FF"/>
                  <w:w w:val="93"/>
                </w:rPr>
                <w:t>(incorporated by reference to Exhibit 10.72 to our Annual Report on Form 10-K for the</w:t>
              </w:r>
            </w:hyperlink>
          </w:p>
        </w:tc>
      </w:tr>
      <w:tr>
        <w:trPr>
          <w:trHeight w:val="156"/>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60" w:type="dxa"/>
            <w:vAlign w:val="bottom"/>
            <w:gridSpan w:val="4"/>
          </w:tcPr>
          <w:p>
            <w:pPr>
              <w:spacing w:after="0" w:line="156" w:lineRule="exact"/>
              <w:rPr>
                <w:rFonts w:ascii="Arial" w:cs="Arial" w:eastAsia="Arial" w:hAnsi="Arial"/>
                <w:sz w:val="18"/>
                <w:szCs w:val="18"/>
                <w:color w:val="0000FF"/>
              </w:rPr>
            </w:pPr>
            <w:hyperlink r:id="rId253">
              <w:r>
                <w:rPr>
                  <w:rFonts w:ascii="Arial" w:cs="Arial" w:eastAsia="Arial" w:hAnsi="Arial"/>
                  <w:sz w:val="18"/>
                  <w:szCs w:val="18"/>
                  <w:color w:val="0000FF"/>
                </w:rPr>
                <w:t>year ended December 31, 2019).</w:t>
              </w:r>
            </w:hyperlink>
          </w:p>
        </w:tc>
        <w:tc>
          <w:tcPr>
            <w:tcW w:w="6160" w:type="dxa"/>
            <w:vAlign w:val="bottom"/>
            <w:tcBorders>
              <w:top w:val="single" w:sz="8" w:color="0000FF"/>
            </w:tcBorders>
            <w:gridSpan w:val="6"/>
          </w:tcPr>
          <w:p>
            <w:pPr>
              <w:spacing w:after="0"/>
              <w:rPr>
                <w:sz w:val="13"/>
                <w:szCs w:val="13"/>
                <w:color w:val="auto"/>
              </w:rPr>
            </w:pPr>
          </w:p>
        </w:tc>
        <w:tc>
          <w:tcPr>
            <w:tcW w:w="1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10.51**</w:t>
            </w:r>
          </w:p>
        </w:tc>
        <w:tc>
          <w:tcPr>
            <w:tcW w:w="10160" w:type="dxa"/>
            <w:vAlign w:val="bottom"/>
            <w:gridSpan w:val="16"/>
          </w:tcPr>
          <w:p>
            <w:pPr>
              <w:ind w:left="2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54">
              <w:r>
                <w:rPr>
                  <w:rFonts w:ascii="Arial" w:cs="Arial" w:eastAsia="Arial" w:hAnsi="Arial"/>
                  <w:sz w:val="18"/>
                  <w:szCs w:val="18"/>
                  <w:color w:val="0000FF"/>
                  <w:w w:val="93"/>
                </w:rPr>
                <w:t>Form of LTIP Grant Letter dated August 13, 2020 (Officers) (incorporated by reference to Exhibit 10.1 to our Quarterly Report on</w:t>
              </w:r>
            </w:hyperlink>
          </w:p>
        </w:tc>
      </w:tr>
      <w:tr>
        <w:trPr>
          <w:trHeight w:val="155"/>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254">
              <w:r>
                <w:rPr>
                  <w:rFonts w:ascii="Arial" w:cs="Arial" w:eastAsia="Arial" w:hAnsi="Arial"/>
                  <w:sz w:val="18"/>
                  <w:szCs w:val="18"/>
                  <w:color w:val="0000FF"/>
                  <w:w w:val="89"/>
                </w:rPr>
                <w:t>Form 10-Q for the quarter ended September 30, 2020).</w:t>
              </w:r>
            </w:hyperlink>
          </w:p>
        </w:tc>
        <w:tc>
          <w:tcPr>
            <w:tcW w:w="544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10.52**</w:t>
            </w:r>
          </w:p>
        </w:tc>
        <w:tc>
          <w:tcPr>
            <w:tcW w:w="10160" w:type="dxa"/>
            <w:vAlign w:val="bottom"/>
            <w:gridSpan w:val="16"/>
          </w:tcPr>
          <w:p>
            <w:pPr>
              <w:ind w:left="2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55">
              <w:r>
                <w:rPr>
                  <w:rFonts w:ascii="Arial" w:cs="Arial" w:eastAsia="Arial" w:hAnsi="Arial"/>
                  <w:sz w:val="18"/>
                  <w:szCs w:val="18"/>
                  <w:color w:val="0000FF"/>
                  <w:w w:val="95"/>
                </w:rPr>
                <w:t>Form of LTIP Grant Letter dated August 13, 2020 (Directors) (incorporated by reference to Exhibit 10.1 to our Quarterly Report</w:t>
              </w:r>
            </w:hyperlink>
          </w:p>
        </w:tc>
      </w:tr>
      <w:tr>
        <w:trPr>
          <w:trHeight w:val="156"/>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255">
              <w:r>
                <w:rPr>
                  <w:rFonts w:ascii="Arial" w:cs="Arial" w:eastAsia="Arial" w:hAnsi="Arial"/>
                  <w:sz w:val="18"/>
                  <w:szCs w:val="18"/>
                  <w:color w:val="0000FF"/>
                  <w:w w:val="89"/>
                </w:rPr>
                <w:t>on Form 10-Q for the quarter ended September 30, 2020).</w:t>
              </w:r>
            </w:hyperlink>
          </w:p>
        </w:tc>
        <w:tc>
          <w:tcPr>
            <w:tcW w:w="5060" w:type="dxa"/>
            <w:vAlign w:val="bottom"/>
            <w:tcBorders>
              <w:top w:val="single" w:sz="8" w:color="0000FF"/>
            </w:tcBorders>
            <w:gridSpan w:val="4"/>
          </w:tcPr>
          <w:p>
            <w:pPr>
              <w:spacing w:after="0"/>
              <w:rPr>
                <w:sz w:val="13"/>
                <w:szCs w:val="13"/>
                <w:color w:val="auto"/>
              </w:rPr>
            </w:pPr>
          </w:p>
        </w:tc>
        <w:tc>
          <w:tcPr>
            <w:tcW w:w="200" w:type="dxa"/>
            <w:vAlign w:val="bottom"/>
            <w:gridSpan w:val="5"/>
          </w:tcPr>
          <w:p>
            <w:pPr>
              <w:spacing w:after="0"/>
              <w:rPr>
                <w:sz w:val="13"/>
                <w:szCs w:val="13"/>
                <w:color w:val="auto"/>
              </w:rPr>
            </w:pPr>
          </w:p>
        </w:tc>
      </w:tr>
      <w:tr>
        <w:trPr>
          <w:trHeight w:val="358"/>
        </w:trPr>
        <w:tc>
          <w:tcPr>
            <w:tcW w:w="1020" w:type="dxa"/>
            <w:vAlign w:val="bottom"/>
            <w:gridSpan w:val="2"/>
          </w:tcPr>
          <w:p>
            <w:pPr>
              <w:spacing w:after="0"/>
              <w:rPr>
                <w:sz w:val="20"/>
                <w:szCs w:val="20"/>
                <w:color w:val="auto"/>
              </w:rPr>
            </w:pPr>
            <w:r>
              <w:rPr>
                <w:rFonts w:ascii="Arial" w:cs="Arial" w:eastAsia="Arial" w:hAnsi="Arial"/>
                <w:sz w:val="18"/>
                <w:szCs w:val="18"/>
                <w:color w:val="auto"/>
              </w:rPr>
              <w:t>10.53** †</w:t>
            </w:r>
          </w:p>
        </w:tc>
        <w:tc>
          <w:tcPr>
            <w:tcW w:w="10160" w:type="dxa"/>
            <w:vAlign w:val="bottom"/>
            <w:gridSpan w:val="16"/>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96">
              <w:r>
                <w:rPr>
                  <w:rFonts w:ascii="Arial" w:cs="Arial" w:eastAsia="Arial" w:hAnsi="Arial"/>
                  <w:sz w:val="18"/>
                  <w:szCs w:val="18"/>
                  <w:u w:val="single" w:color="auto"/>
                  <w:color w:val="0000FF"/>
                </w:rPr>
                <w:t>Form of Special Retention LTIP Grant Letter dated November 20, 2019.</w:t>
              </w:r>
            </w:hyperlink>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10.54** †</w:t>
            </w:r>
          </w:p>
        </w:tc>
        <w:tc>
          <w:tcPr>
            <w:tcW w:w="10160" w:type="dxa"/>
            <w:vAlign w:val="bottom"/>
            <w:gridSpan w:val="16"/>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03">
              <w:r>
                <w:rPr>
                  <w:rFonts w:ascii="Arial" w:cs="Arial" w:eastAsia="Arial" w:hAnsi="Arial"/>
                  <w:sz w:val="18"/>
                  <w:szCs w:val="18"/>
                  <w:u w:val="single" w:color="auto"/>
                  <w:color w:val="0000FF"/>
                </w:rPr>
                <w:t>Form of LTIP Grant Letter dated December 21, 2017 (Goebel).</w:t>
              </w:r>
            </w:hyperlink>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10.55** †</w:t>
            </w:r>
          </w:p>
        </w:tc>
        <w:tc>
          <w:tcPr>
            <w:tcW w:w="10160" w:type="dxa"/>
            <w:vAlign w:val="bottom"/>
            <w:gridSpan w:val="16"/>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08">
              <w:r>
                <w:rPr>
                  <w:rFonts w:ascii="Arial" w:cs="Arial" w:eastAsia="Arial" w:hAnsi="Arial"/>
                  <w:sz w:val="18"/>
                  <w:szCs w:val="18"/>
                  <w:u w:val="single" w:color="auto"/>
                  <w:color w:val="0000FF"/>
                </w:rPr>
                <w:t>Form of LTIP Grant Letter dated May 1, 2018 (Chandler).</w:t>
              </w:r>
            </w:hyperlink>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10.56** †</w:t>
            </w:r>
          </w:p>
        </w:tc>
        <w:tc>
          <w:tcPr>
            <w:tcW w:w="10160" w:type="dxa"/>
            <w:vAlign w:val="bottom"/>
            <w:gridSpan w:val="16"/>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14">
              <w:r>
                <w:rPr>
                  <w:rFonts w:ascii="Arial" w:cs="Arial" w:eastAsia="Arial" w:hAnsi="Arial"/>
                  <w:sz w:val="18"/>
                  <w:szCs w:val="18"/>
                  <w:u w:val="single" w:color="auto"/>
                  <w:color w:val="0000FF"/>
                </w:rPr>
                <w:t>Form of LTIP Grant Letter dated May 1, 2018 (Chandler).</w:t>
              </w:r>
            </w:hyperlink>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w w:val="96"/>
              </w:rPr>
              <w:t>21.1</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16"/>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19">
              <w:r>
                <w:rPr>
                  <w:rFonts w:ascii="Arial" w:cs="Arial" w:eastAsia="Arial" w:hAnsi="Arial"/>
                  <w:sz w:val="18"/>
                  <w:szCs w:val="18"/>
                  <w:u w:val="single" w:color="auto"/>
                  <w:color w:val="0000FF"/>
                </w:rPr>
                <w:t>List of Subsidiaries of Plains All American Pipeline, L.P.</w:t>
              </w:r>
            </w:hyperlink>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w w:val="96"/>
              </w:rPr>
              <w:t>23.1</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16"/>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21">
              <w:r>
                <w:rPr>
                  <w:rFonts w:ascii="Arial" w:cs="Arial" w:eastAsia="Arial" w:hAnsi="Arial"/>
                  <w:sz w:val="18"/>
                  <w:szCs w:val="18"/>
                  <w:u w:val="single" w:color="auto"/>
                  <w:color w:val="0000FF"/>
                </w:rPr>
                <w:t>Consent of PricewaterhouseCoopers LLP.</w:t>
              </w:r>
            </w:hyperlink>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w w:val="96"/>
              </w:rPr>
              <w:t>31.1</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16"/>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22">
              <w:r>
                <w:rPr>
                  <w:rFonts w:ascii="Arial" w:cs="Arial" w:eastAsia="Arial" w:hAnsi="Arial"/>
                  <w:sz w:val="18"/>
                  <w:szCs w:val="18"/>
                  <w:u w:val="single" w:color="auto"/>
                  <w:color w:val="0000FF"/>
                </w:rPr>
                <w:t>Certification of Principal Executive Officer pursuant to Exchange Act Rules 13a-14(a) and 15d-14(a).</w:t>
              </w:r>
            </w:hyperlink>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w w:val="96"/>
              </w:rPr>
              <w:t>31.2</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16"/>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23">
              <w:r>
                <w:rPr>
                  <w:rFonts w:ascii="Arial" w:cs="Arial" w:eastAsia="Arial" w:hAnsi="Arial"/>
                  <w:sz w:val="18"/>
                  <w:szCs w:val="18"/>
                  <w:u w:val="single" w:color="auto"/>
                  <w:color w:val="0000FF"/>
                </w:rPr>
                <w:t>Certification of Principal Financial Officer pursuant to Exchange Act Rules 13a-14(a) and 15d-14(a).</w:t>
              </w:r>
            </w:hyperlink>
          </w:p>
        </w:tc>
      </w:tr>
      <w:tr>
        <w:trPr>
          <w:trHeight w:val="337"/>
        </w:trPr>
        <w:tc>
          <w:tcPr>
            <w:tcW w:w="360" w:type="dxa"/>
            <w:vAlign w:val="bottom"/>
          </w:tcPr>
          <w:p>
            <w:pPr>
              <w:spacing w:after="0"/>
              <w:rPr>
                <w:sz w:val="20"/>
                <w:szCs w:val="20"/>
                <w:color w:val="auto"/>
              </w:rPr>
            </w:pPr>
            <w:r>
              <w:rPr>
                <w:rFonts w:ascii="Arial" w:cs="Arial" w:eastAsia="Arial" w:hAnsi="Arial"/>
                <w:sz w:val="18"/>
                <w:szCs w:val="18"/>
                <w:color w:val="auto"/>
                <w:w w:val="96"/>
              </w:rPr>
              <w:t>32.1</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16"/>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24">
              <w:r>
                <w:rPr>
                  <w:rFonts w:ascii="Arial" w:cs="Arial" w:eastAsia="Arial" w:hAnsi="Arial"/>
                  <w:sz w:val="18"/>
                  <w:szCs w:val="18"/>
                  <w:u w:val="single" w:color="auto"/>
                  <w:color w:val="0000FF"/>
                </w:rPr>
                <w:t>Certification of Principal Executive Officer pursuant to 18 U.S.C. 1350.</w:t>
              </w:r>
            </w:hyperlink>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w w:val="96"/>
              </w:rPr>
              <w:t>32.2</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16"/>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25">
              <w:r>
                <w:rPr>
                  <w:rFonts w:ascii="Arial" w:cs="Arial" w:eastAsia="Arial" w:hAnsi="Arial"/>
                  <w:sz w:val="18"/>
                  <w:szCs w:val="18"/>
                  <w:u w:val="single" w:color="auto"/>
                  <w:color w:val="0000FF"/>
                </w:rPr>
                <w:t>Certification of Principal Financial Officer pursuant to 18 U.S.C. 1350.</w:t>
              </w:r>
            </w:hyperlink>
          </w:p>
        </w:tc>
      </w:tr>
      <w:tr>
        <w:trPr>
          <w:trHeight w:val="283"/>
        </w:trPr>
        <w:tc>
          <w:tcPr>
            <w:tcW w:w="360" w:type="dxa"/>
            <w:vAlign w:val="bottom"/>
          </w:tcPr>
          <w:p>
            <w:pPr>
              <w:spacing w:after="0"/>
              <w:rPr>
                <w:sz w:val="20"/>
                <w:szCs w:val="20"/>
                <w:color w:val="auto"/>
              </w:rPr>
            </w:pPr>
            <w:r>
              <w:rPr>
                <w:rFonts w:ascii="Arial" w:cs="Arial" w:eastAsia="Arial" w:hAnsi="Arial"/>
                <w:sz w:val="18"/>
                <w:szCs w:val="18"/>
                <w:color w:val="auto"/>
                <w:w w:val="96"/>
              </w:rPr>
              <w:t>101.</w:t>
            </w:r>
          </w:p>
        </w:tc>
        <w:tc>
          <w:tcPr>
            <w:tcW w:w="660" w:type="dxa"/>
            <w:vAlign w:val="bottom"/>
          </w:tcPr>
          <w:p>
            <w:pPr>
              <w:spacing w:after="0"/>
              <w:rPr>
                <w:sz w:val="20"/>
                <w:szCs w:val="20"/>
                <w:color w:val="auto"/>
              </w:rPr>
            </w:pPr>
            <w:r>
              <w:rPr>
                <w:rFonts w:ascii="Arial" w:cs="Arial" w:eastAsia="Arial" w:hAnsi="Arial"/>
                <w:sz w:val="18"/>
                <w:szCs w:val="18"/>
                <w:color w:val="auto"/>
              </w:rPr>
              <w:t>INS†</w:t>
            </w:r>
          </w:p>
        </w:tc>
        <w:tc>
          <w:tcPr>
            <w:tcW w:w="10160" w:type="dxa"/>
            <w:vAlign w:val="bottom"/>
            <w:gridSpan w:val="16"/>
          </w:tcPr>
          <w:p>
            <w:pPr>
              <w:ind w:left="260"/>
              <w:spacing w:after="0"/>
              <w:rPr>
                <w:sz w:val="20"/>
                <w:szCs w:val="20"/>
                <w:color w:val="auto"/>
              </w:rPr>
            </w:pPr>
            <w:r>
              <w:rPr>
                <w:rFonts w:ascii="Arial" w:cs="Arial" w:eastAsia="Arial" w:hAnsi="Arial"/>
                <w:sz w:val="18"/>
                <w:szCs w:val="18"/>
                <w:color w:val="auto"/>
                <w:w w:val="98"/>
              </w:rPr>
              <w:t>—   XBRL Instance Document - the instance document does not appear in the Interactive Data File because its XBRL tags are</w:t>
            </w:r>
          </w:p>
        </w:tc>
      </w:tr>
      <w:tr>
        <w:trPr>
          <w:trHeight w:val="230"/>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20" w:type="dxa"/>
            <w:vAlign w:val="bottom"/>
            <w:gridSpan w:val="1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16"/>
          </w:tcPr>
          <w:p>
            <w:pPr>
              <w:ind w:left="260"/>
              <w:spacing w:after="0"/>
              <w:rPr>
                <w:sz w:val="20"/>
                <w:szCs w:val="20"/>
                <w:color w:val="auto"/>
              </w:rPr>
            </w:pPr>
            <w:r>
              <w:rPr>
                <w:rFonts w:ascii="Arial" w:cs="Arial" w:eastAsia="Arial" w:hAnsi="Arial"/>
                <w:sz w:val="18"/>
                <w:szCs w:val="18"/>
                <w:color w:val="auto"/>
              </w:rPr>
              <w:t>—   Inline XBRL Taxonomy Extension Schema Document</w:t>
            </w: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16"/>
          </w:tcPr>
          <w:p>
            <w:pPr>
              <w:ind w:left="26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16"/>
          </w:tcPr>
          <w:p>
            <w:pPr>
              <w:ind w:left="26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16"/>
          </w:tcPr>
          <w:p>
            <w:pPr>
              <w:ind w:left="26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16"/>
          </w:tcPr>
          <w:p>
            <w:pPr>
              <w:ind w:left="26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w w:val="84"/>
              </w:rPr>
              <w:t>104†</w:t>
            </w:r>
          </w:p>
        </w:tc>
        <w:tc>
          <w:tcPr>
            <w:tcW w:w="660" w:type="dxa"/>
            <w:vAlign w:val="bottom"/>
          </w:tcPr>
          <w:p>
            <w:pPr>
              <w:spacing w:after="0"/>
              <w:rPr>
                <w:sz w:val="24"/>
                <w:szCs w:val="24"/>
                <w:color w:val="auto"/>
              </w:rPr>
            </w:pPr>
          </w:p>
        </w:tc>
        <w:tc>
          <w:tcPr>
            <w:tcW w:w="10160" w:type="dxa"/>
            <w:vAlign w:val="bottom"/>
            <w:gridSpan w:val="16"/>
          </w:tcPr>
          <w:p>
            <w:pPr>
              <w:ind w:left="26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0" w:hanging="192"/>
        <w:spacing w:after="0"/>
        <w:tabs>
          <w:tab w:leader="none" w:pos="200" w:val="left"/>
        </w:tabs>
        <w:numPr>
          <w:ilvl w:val="0"/>
          <w:numId w:val="74"/>
        </w:numPr>
        <w:rPr>
          <w:rFonts w:ascii="Arial" w:cs="Arial" w:eastAsia="Arial" w:hAnsi="Arial"/>
          <w:sz w:val="13"/>
          <w:szCs w:val="13"/>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3"/>
          <w:szCs w:val="13"/>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660" w:hanging="652"/>
        <w:spacing w:after="0" w:line="277" w:lineRule="auto"/>
        <w:tabs>
          <w:tab w:leader="none" w:pos="282"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7" w:name="page118"/>
    <w:bookmarkEnd w:id="1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118" w:name="page119"/>
    <w:bookmarkEnd w:id="1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PLAINS ALL AMERICAN PIPELINE, L.P.</w:t>
      </w:r>
    </w:p>
    <w:p>
      <w:pPr>
        <w:spacing w:after="0" w:line="243"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PAA GP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its general partner</w:t>
      </w:r>
    </w:p>
    <w:p>
      <w:pPr>
        <w:spacing w:after="0" w:line="278"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its sole member</w:t>
      </w:r>
    </w:p>
    <w:p>
      <w:pPr>
        <w:spacing w:after="0" w:line="278"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its general partner</w:t>
      </w:r>
    </w:p>
    <w:p>
      <w:pPr>
        <w:spacing w:after="0" w:line="278"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2918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Willie Chiang,</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279"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2918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6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Al Swanson,</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 All</w:t>
      </w:r>
    </w:p>
    <w:p>
      <w:pPr>
        <w:spacing w:after="0" w:line="7"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American GP LLC</w:t>
      </w:r>
    </w:p>
    <w:p>
      <w:pPr>
        <w:spacing w:after="0" w:line="7"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279"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2918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Chris Herbold,</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6"/>
          <w:szCs w:val="16"/>
          <w:b w:val="1"/>
          <w:bCs w:val="1"/>
          <w:i w:val="1"/>
          <w:iCs w:val="1"/>
          <w:color w:val="auto"/>
        </w:rPr>
        <w:t>Senior Vice President and Chief Accounting Officer of Plains All</w:t>
      </w:r>
    </w:p>
    <w:p>
      <w:pPr>
        <w:spacing w:after="0" w:line="7"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American GP LLC</w:t>
      </w:r>
    </w:p>
    <w:p>
      <w:pPr>
        <w:spacing w:after="0" w:line="7"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19" w:name="page120"/>
    <w:bookmarkEnd w:id="1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00"/>
          </w:cols>
          <w:pgMar w:left="320" w:top="130" w:right="379" w:bottom="1440" w:gutter="0" w:footer="0" w:header="0"/>
        </w:sect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913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3">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31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6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Willie Chiang</w:t>
      </w: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7913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6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Harry N. Pefanis</w:t>
      </w: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7913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6">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Al Swanson</w:t>
      </w: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7913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7">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Chris Herbold</w:t>
      </w: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8">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Greg L. Armstrong</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9">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Victor Burk</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Kevin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70">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Kevin McCarthy</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1">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Gary R. Petersen</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2">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Alexandra D. Pruner</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3">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John T. Raymond</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7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Bobby S. Shackouls</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913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7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Christopher M. Temple</w:t>
      </w:r>
    </w:p>
    <w:p>
      <w:pPr>
        <w:spacing w:after="0" w:line="293"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/s/ Lawrence M. Ziemba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7913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6">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Lawrence M. Ziemba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auto"/>
            </w:tcBorders>
          </w:tcPr>
          <w:p>
            <w:pPr>
              <w:ind w:left="30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18"/>
        </w:trPr>
        <w:tc>
          <w:tcPr>
            <w:tcW w:w="6500" w:type="dxa"/>
            <w:vAlign w:val="bottom"/>
            <w:gridSpan w:val="2"/>
          </w:tcPr>
          <w:p>
            <w:pPr>
              <w:ind w:left="20"/>
              <w:spacing w:after="0"/>
              <w:rPr>
                <w:sz w:val="20"/>
                <w:szCs w:val="20"/>
                <w:color w:val="auto"/>
              </w:rPr>
            </w:pPr>
            <w:r>
              <w:rPr>
                <w:rFonts w:ascii="Arial" w:cs="Arial" w:eastAsia="Arial" w:hAnsi="Arial"/>
                <w:sz w:val="18"/>
                <w:szCs w:val="18"/>
                <w:color w:val="auto"/>
                <w:w w:val="94"/>
              </w:rPr>
              <w:t>Chairman of the Board of PAA GP Holdings LLC and Chief Executive Officer of Plains</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230"/>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All American GP LLC (Principal Executive Officer)</w:t>
            </w:r>
          </w:p>
        </w:tc>
        <w:tc>
          <w:tcPr>
            <w:tcW w:w="1760" w:type="dxa"/>
            <w:vAlign w:val="bottom"/>
          </w:tcPr>
          <w:p>
            <w:pPr>
              <w:spacing w:after="0"/>
              <w:rPr>
                <w:sz w:val="20"/>
                <w:szCs w:val="20"/>
                <w:color w:val="auto"/>
              </w:rPr>
            </w:pPr>
          </w:p>
        </w:tc>
      </w:tr>
      <w:tr>
        <w:trPr>
          <w:trHeight w:val="526"/>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 and President and Chief Commercial Officer of</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230"/>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Plains All American GP LLC</w:t>
            </w:r>
          </w:p>
        </w:tc>
        <w:tc>
          <w:tcPr>
            <w:tcW w:w="1760" w:type="dxa"/>
            <w:vAlign w:val="bottom"/>
          </w:tcPr>
          <w:p>
            <w:pPr>
              <w:spacing w:after="0"/>
              <w:rPr>
                <w:sz w:val="20"/>
                <w:szCs w:val="20"/>
                <w:color w:val="auto"/>
              </w:rPr>
            </w:pPr>
          </w:p>
        </w:tc>
      </w:tr>
      <w:tr>
        <w:trPr>
          <w:trHeight w:val="526"/>
        </w:trPr>
        <w:tc>
          <w:tcPr>
            <w:tcW w:w="6500" w:type="dxa"/>
            <w:vAlign w:val="bottom"/>
            <w:gridSpan w:val="2"/>
          </w:tcPr>
          <w:p>
            <w:pPr>
              <w:ind w:left="20"/>
              <w:spacing w:after="0"/>
              <w:rPr>
                <w:sz w:val="20"/>
                <w:szCs w:val="20"/>
                <w:color w:val="auto"/>
              </w:rPr>
            </w:pPr>
            <w:r>
              <w:rPr>
                <w:rFonts w:ascii="Arial" w:cs="Arial" w:eastAsia="Arial" w:hAnsi="Arial"/>
                <w:sz w:val="18"/>
                <w:szCs w:val="18"/>
                <w:color w:val="auto"/>
                <w:w w:val="97"/>
              </w:rPr>
              <w:t>Executive Vice President and Chief Financial Officer of Plains All American GP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230"/>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1760" w:type="dxa"/>
            <w:vAlign w:val="bottom"/>
          </w:tcPr>
          <w:p>
            <w:pPr>
              <w:spacing w:after="0"/>
              <w:rPr>
                <w:sz w:val="20"/>
                <w:szCs w:val="20"/>
                <w:color w:val="auto"/>
              </w:rPr>
            </w:pPr>
          </w:p>
        </w:tc>
      </w:tr>
      <w:tr>
        <w:trPr>
          <w:trHeight w:val="526"/>
        </w:trPr>
        <w:tc>
          <w:tcPr>
            <w:tcW w:w="6500" w:type="dxa"/>
            <w:vAlign w:val="bottom"/>
            <w:gridSpan w:val="2"/>
          </w:tcPr>
          <w:p>
            <w:pPr>
              <w:ind w:left="20"/>
              <w:spacing w:after="0"/>
              <w:rPr>
                <w:sz w:val="20"/>
                <w:szCs w:val="20"/>
                <w:color w:val="auto"/>
              </w:rPr>
            </w:pPr>
            <w:r>
              <w:rPr>
                <w:rFonts w:ascii="Arial" w:cs="Arial" w:eastAsia="Arial" w:hAnsi="Arial"/>
                <w:sz w:val="18"/>
                <w:szCs w:val="18"/>
                <w:color w:val="auto"/>
                <w:w w:val="98"/>
              </w:rPr>
              <w:t>Senior Vice President and Chief Accounting Officer of Plains All American GP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230"/>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1760" w:type="dxa"/>
            <w:vAlign w:val="bottom"/>
          </w:tcPr>
          <w:p>
            <w:pPr>
              <w:spacing w:after="0"/>
              <w:rPr>
                <w:sz w:val="20"/>
                <w:szCs w:val="20"/>
                <w:color w:val="auto"/>
              </w:rPr>
            </w:pPr>
          </w:p>
        </w:tc>
      </w:tr>
      <w:tr>
        <w:trPr>
          <w:trHeight w:val="580"/>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8"/>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9"/>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8"/>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8"/>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9"/>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8"/>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8"/>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74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bl>
    <w:p>
      <w:pPr>
        <w:spacing w:after="0" w:line="419" w:lineRule="exact"/>
        <w:rPr>
          <w:sz w:val="20"/>
          <w:szCs w:val="20"/>
          <w:color w:val="auto"/>
        </w:rPr>
      </w:pPr>
    </w:p>
    <w:p>
      <w:pPr>
        <w:sectPr>
          <w:pgSz w:w="11900" w:h="16838" w:orient="portrait"/>
          <w:cols w:equalWidth="0" w:num="2">
            <w:col w:w="2360" w:space="580"/>
            <w:col w:w="8260"/>
          </w:cols>
          <w:pgMar w:left="320" w:top="13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120" w:name="page121"/>
    <w:bookmarkEnd w:id="1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0240" w:type="dxa"/>
            <w:vAlign w:val="bottom"/>
            <w:gridSpan w:val="6"/>
          </w:tcPr>
          <w:p>
            <w:pPr>
              <w:spacing w:after="0"/>
              <w:rPr>
                <w:sz w:val="20"/>
                <w:szCs w:val="20"/>
                <w:color w:val="auto"/>
              </w:rPr>
            </w:pPr>
            <w:r>
              <w:rPr>
                <w:rFonts w:ascii="Arial" w:cs="Arial" w:eastAsia="Arial" w:hAnsi="Arial"/>
                <w:sz w:val="18"/>
                <w:szCs w:val="18"/>
                <w:color w:val="auto"/>
              </w:rPr>
              <w:t>Consolidated Financial Statements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240" w:type="dxa"/>
            <w:vAlign w:val="bottom"/>
            <w:gridSpan w:val="6"/>
          </w:tcPr>
          <w:p>
            <w:pPr>
              <w:spacing w:after="0" w:line="190" w:lineRule="exact"/>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Management’s Report on Internal Control Over Financial Reporting</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0000FF"/>
            </w:tcBorders>
            <w:gridSpan w:val="2"/>
          </w:tcPr>
          <w:p>
            <w:pPr>
              <w:jc w:val="right"/>
              <w:ind w:right="20"/>
              <w:spacing w:after="0" w:line="190" w:lineRule="exact"/>
              <w:rPr>
                <w:rFonts w:ascii="Arial" w:cs="Arial" w:eastAsia="Arial" w:hAnsi="Arial"/>
                <w:sz w:val="18"/>
                <w:szCs w:val="18"/>
                <w:color w:val="0000FF"/>
                <w:w w:val="81"/>
              </w:rPr>
            </w:pPr>
            <w:hyperlink w:anchor="page121">
              <w:r>
                <w:rPr>
                  <w:rFonts w:ascii="Arial" w:cs="Arial" w:eastAsia="Arial" w:hAnsi="Arial"/>
                  <w:sz w:val="18"/>
                  <w:szCs w:val="18"/>
                  <w:color w:val="0000FF"/>
                  <w:w w:val="81"/>
                </w:rPr>
                <w:t>F-2</w:t>
              </w:r>
            </w:hyperlink>
          </w:p>
        </w:tc>
        <w:tc>
          <w:tcPr>
            <w:tcW w:w="0" w:type="dxa"/>
            <w:vAlign w:val="bottom"/>
          </w:tcPr>
          <w:p>
            <w:pPr>
              <w:spacing w:after="0"/>
              <w:rPr>
                <w:sz w:val="1"/>
                <w:szCs w:val="1"/>
                <w:color w:val="auto"/>
              </w:rPr>
            </w:pPr>
          </w:p>
        </w:tc>
      </w:tr>
      <w:tr>
        <w:trPr>
          <w:trHeight w:val="209"/>
        </w:trPr>
        <w:tc>
          <w:tcPr>
            <w:tcW w:w="10240" w:type="dxa"/>
            <w:vAlign w:val="bottom"/>
            <w:gridSpan w:val="6"/>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Report of Independent Registered Public Accounting Firm</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0000FF"/>
            </w:tcBorders>
            <w:gridSpan w:val="2"/>
          </w:tcPr>
          <w:p>
            <w:pPr>
              <w:jc w:val="right"/>
              <w:ind w:right="20"/>
              <w:spacing w:after="0"/>
              <w:rPr>
                <w:rFonts w:ascii="Arial" w:cs="Arial" w:eastAsia="Arial" w:hAnsi="Arial"/>
                <w:sz w:val="18"/>
                <w:szCs w:val="18"/>
                <w:color w:val="0000FF"/>
                <w:w w:val="81"/>
              </w:rPr>
            </w:pPr>
            <w:hyperlink w:anchor="page122">
              <w:r>
                <w:rPr>
                  <w:rFonts w:ascii="Arial" w:cs="Arial" w:eastAsia="Arial" w:hAnsi="Arial"/>
                  <w:sz w:val="18"/>
                  <w:szCs w:val="18"/>
                  <w:color w:val="0000FF"/>
                  <w:w w:val="81"/>
                </w:rPr>
                <w:t>F-3</w:t>
              </w:r>
            </w:hyperlink>
          </w:p>
        </w:tc>
        <w:tc>
          <w:tcPr>
            <w:tcW w:w="0" w:type="dxa"/>
            <w:vAlign w:val="bottom"/>
          </w:tcPr>
          <w:p>
            <w:pPr>
              <w:spacing w:after="0"/>
              <w:rPr>
                <w:sz w:val="1"/>
                <w:szCs w:val="1"/>
                <w:color w:val="auto"/>
              </w:rPr>
            </w:pPr>
          </w:p>
        </w:tc>
      </w:tr>
      <w:tr>
        <w:trPr>
          <w:trHeight w:val="209"/>
        </w:trPr>
        <w:tc>
          <w:tcPr>
            <w:tcW w:w="10240" w:type="dxa"/>
            <w:vAlign w:val="bottom"/>
            <w:gridSpan w:val="6"/>
          </w:tcPr>
          <w:p>
            <w:pPr>
              <w:spacing w:after="0"/>
              <w:rPr>
                <w:rFonts w:ascii="Arial" w:cs="Arial" w:eastAsia="Arial" w:hAnsi="Arial"/>
                <w:sz w:val="18"/>
                <w:szCs w:val="18"/>
                <w:color w:val="0000FF"/>
              </w:rPr>
            </w:pPr>
            <w:hyperlink w:anchor="page126">
              <w:r>
                <w:rPr>
                  <w:rFonts w:ascii="Arial" w:cs="Arial" w:eastAsia="Arial" w:hAnsi="Arial"/>
                  <w:sz w:val="18"/>
                  <w:szCs w:val="18"/>
                  <w:u w:val="single" w:color="auto"/>
                  <w:color w:val="0000FF"/>
                </w:rPr>
                <w:t>Consolidated Balance Sheets as of December 31,</w:t>
              </w:r>
              <w:r>
                <w:rPr>
                  <w:rFonts w:ascii="Arial" w:cs="Arial" w:eastAsia="Arial" w:hAnsi="Arial"/>
                  <w:sz w:val="18"/>
                  <w:szCs w:val="18"/>
                  <w:color w:val="0000FF"/>
                </w:rPr>
                <w:t xml:space="preserve"> 2020 and 2019</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rFonts w:ascii="Arial" w:cs="Arial" w:eastAsia="Arial" w:hAnsi="Arial"/>
                <w:sz w:val="18"/>
                <w:szCs w:val="18"/>
                <w:color w:val="0000FF"/>
                <w:w w:val="81"/>
              </w:rPr>
            </w:pPr>
            <w:hyperlink w:anchor="page126">
              <w:r>
                <w:rPr>
                  <w:rFonts w:ascii="Arial" w:cs="Arial" w:eastAsia="Arial" w:hAnsi="Arial"/>
                  <w:sz w:val="18"/>
                  <w:szCs w:val="18"/>
                  <w:color w:val="0000FF"/>
                  <w:w w:val="81"/>
                </w:rPr>
                <w:t>F-6</w:t>
              </w:r>
            </w:hyperlink>
          </w:p>
        </w:tc>
        <w:tc>
          <w:tcPr>
            <w:tcW w:w="0" w:type="dxa"/>
            <w:vAlign w:val="bottom"/>
          </w:tcPr>
          <w:p>
            <w:pPr>
              <w:spacing w:after="0"/>
              <w:rPr>
                <w:sz w:val="1"/>
                <w:szCs w:val="1"/>
                <w:color w:val="auto"/>
              </w:rPr>
            </w:pPr>
          </w:p>
        </w:tc>
      </w:tr>
      <w:tr>
        <w:trPr>
          <w:trHeight w:val="20"/>
        </w:trPr>
        <w:tc>
          <w:tcPr>
            <w:tcW w:w="3760" w:type="dxa"/>
            <w:vAlign w:val="bottom"/>
            <w:gridSpan w:val="3"/>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40" w:type="dxa"/>
            <w:vAlign w:val="bottom"/>
            <w:gridSpan w:val="6"/>
          </w:tcPr>
          <w:p>
            <w:pPr>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Consolidated Statements of Operations for the years ended December 31, 2020, 2019 and 2018</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0000FF"/>
            </w:tcBorders>
            <w:gridSpan w:val="2"/>
          </w:tcPr>
          <w:p>
            <w:pPr>
              <w:jc w:val="right"/>
              <w:ind w:right="20"/>
              <w:spacing w:after="0"/>
              <w:rPr>
                <w:rFonts w:ascii="Arial" w:cs="Arial" w:eastAsia="Arial" w:hAnsi="Arial"/>
                <w:sz w:val="18"/>
                <w:szCs w:val="18"/>
                <w:color w:val="0000FF"/>
                <w:w w:val="81"/>
              </w:rPr>
            </w:pPr>
            <w:hyperlink w:anchor="page126">
              <w:r>
                <w:rPr>
                  <w:rFonts w:ascii="Arial" w:cs="Arial" w:eastAsia="Arial" w:hAnsi="Arial"/>
                  <w:sz w:val="18"/>
                  <w:szCs w:val="18"/>
                  <w:color w:val="0000FF"/>
                  <w:w w:val="81"/>
                </w:rPr>
                <w:t>F-7</w:t>
              </w:r>
            </w:hyperlink>
          </w:p>
        </w:tc>
        <w:tc>
          <w:tcPr>
            <w:tcW w:w="0" w:type="dxa"/>
            <w:vAlign w:val="bottom"/>
          </w:tcPr>
          <w:p>
            <w:pPr>
              <w:spacing w:after="0"/>
              <w:rPr>
                <w:sz w:val="1"/>
                <w:szCs w:val="1"/>
                <w:color w:val="auto"/>
              </w:rPr>
            </w:pPr>
          </w:p>
        </w:tc>
      </w:tr>
      <w:tr>
        <w:trPr>
          <w:trHeight w:val="209"/>
        </w:trPr>
        <w:tc>
          <w:tcPr>
            <w:tcW w:w="10240" w:type="dxa"/>
            <w:vAlign w:val="bottom"/>
            <w:gridSpan w:val="6"/>
          </w:tcPr>
          <w:p>
            <w:pPr>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Consolidated Statements of Comprehensive Income/(Loss) for the years ended December 31, 2020, 2019 and 2018</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rFonts w:ascii="Arial" w:cs="Arial" w:eastAsia="Arial" w:hAnsi="Arial"/>
                <w:sz w:val="18"/>
                <w:szCs w:val="18"/>
                <w:color w:val="0000FF"/>
                <w:w w:val="81"/>
              </w:rPr>
            </w:pPr>
            <w:hyperlink w:anchor="page127">
              <w:r>
                <w:rPr>
                  <w:rFonts w:ascii="Arial" w:cs="Arial" w:eastAsia="Arial" w:hAnsi="Arial"/>
                  <w:sz w:val="18"/>
                  <w:szCs w:val="18"/>
                  <w:color w:val="0000FF"/>
                  <w:w w:val="81"/>
                </w:rPr>
                <w:t>F-8</w:t>
              </w:r>
            </w:hyperlink>
          </w:p>
        </w:tc>
        <w:tc>
          <w:tcPr>
            <w:tcW w:w="0" w:type="dxa"/>
            <w:vAlign w:val="bottom"/>
          </w:tcPr>
          <w:p>
            <w:pPr>
              <w:spacing w:after="0"/>
              <w:rPr>
                <w:sz w:val="1"/>
                <w:szCs w:val="1"/>
                <w:color w:val="auto"/>
              </w:rPr>
            </w:pPr>
          </w:p>
        </w:tc>
      </w:tr>
      <w:tr>
        <w:trPr>
          <w:trHeight w:val="20"/>
        </w:trPr>
        <w:tc>
          <w:tcPr>
            <w:tcW w:w="10240" w:type="dxa"/>
            <w:vAlign w:val="bottom"/>
            <w:gridSpan w:val="6"/>
            <w:vMerge w:val="restart"/>
          </w:tcPr>
          <w:p>
            <w:pPr>
              <w:spacing w:after="0"/>
              <w:rPr>
                <w:rFonts w:ascii="Arial" w:cs="Arial" w:eastAsia="Arial" w:hAnsi="Arial"/>
                <w:sz w:val="18"/>
                <w:szCs w:val="18"/>
                <w:color w:val="0000FF"/>
                <w:w w:val="90"/>
              </w:rPr>
            </w:pPr>
            <w:hyperlink w:anchor="page128">
              <w:r>
                <w:rPr>
                  <w:rFonts w:ascii="Arial" w:cs="Arial" w:eastAsia="Arial" w:hAnsi="Arial"/>
                  <w:sz w:val="18"/>
                  <w:szCs w:val="18"/>
                  <w:color w:val="0000FF"/>
                  <w:w w:val="90"/>
                </w:rPr>
                <w:t>Consolidated Statements of Changes in Accumulated Other Comprehensive Income/(Loss) for the years ended December 31, 2020, 2019 and</w:t>
              </w:r>
            </w:hyperlink>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40" w:type="dxa"/>
            <w:vAlign w:val="bottom"/>
            <w:gridSpan w:val="6"/>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restart"/>
          </w:tcPr>
          <w:p>
            <w:pPr>
              <w:jc w:val="right"/>
              <w:ind w:right="20"/>
              <w:spacing w:after="0"/>
              <w:rPr>
                <w:rFonts w:ascii="Arial" w:cs="Arial" w:eastAsia="Arial" w:hAnsi="Arial"/>
                <w:sz w:val="18"/>
                <w:szCs w:val="18"/>
                <w:color w:val="0000FF"/>
                <w:w w:val="81"/>
              </w:rPr>
            </w:pPr>
            <w:hyperlink w:anchor="page128">
              <w:r>
                <w:rPr>
                  <w:rFonts w:ascii="Arial" w:cs="Arial" w:eastAsia="Arial" w:hAnsi="Arial"/>
                  <w:sz w:val="18"/>
                  <w:szCs w:val="18"/>
                  <w:color w:val="0000FF"/>
                  <w:w w:val="81"/>
                </w:rPr>
                <w:t>F-8</w:t>
              </w:r>
            </w:hyperlink>
          </w:p>
        </w:tc>
        <w:tc>
          <w:tcPr>
            <w:tcW w:w="0" w:type="dxa"/>
            <w:vAlign w:val="bottom"/>
          </w:tcPr>
          <w:p>
            <w:pPr>
              <w:spacing w:after="0"/>
              <w:rPr>
                <w:sz w:val="1"/>
                <w:szCs w:val="1"/>
                <w:color w:val="auto"/>
              </w:rPr>
            </w:pPr>
          </w:p>
        </w:tc>
      </w:tr>
      <w:tr>
        <w:trPr>
          <w:trHeight w:val="156"/>
        </w:trPr>
        <w:tc>
          <w:tcPr>
            <w:tcW w:w="360" w:type="dxa"/>
            <w:vAlign w:val="bottom"/>
            <w:tcBorders>
              <w:top w:val="single" w:sz="8" w:color="0000FF"/>
            </w:tcBorders>
            <w:gridSpan w:val="2"/>
          </w:tcPr>
          <w:p>
            <w:pPr>
              <w:spacing w:after="0" w:line="156" w:lineRule="exact"/>
              <w:rPr>
                <w:rFonts w:ascii="Arial" w:cs="Arial" w:eastAsia="Arial" w:hAnsi="Arial"/>
                <w:sz w:val="18"/>
                <w:szCs w:val="18"/>
                <w:color w:val="0000FF"/>
                <w:w w:val="84"/>
              </w:rPr>
            </w:pPr>
            <w:hyperlink w:anchor="page128">
              <w:r>
                <w:rPr>
                  <w:rFonts w:ascii="Arial" w:cs="Arial" w:eastAsia="Arial" w:hAnsi="Arial"/>
                  <w:sz w:val="18"/>
                  <w:szCs w:val="18"/>
                  <w:color w:val="0000FF"/>
                  <w:w w:val="84"/>
                </w:rPr>
                <w:t>2018</w:t>
              </w:r>
            </w:hyperlink>
          </w:p>
        </w:tc>
        <w:tc>
          <w:tcPr>
            <w:tcW w:w="34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55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FF"/>
          </w:tcPr>
          <w:p>
            <w:pPr>
              <w:spacing w:after="0" w:line="20" w:lineRule="exact"/>
              <w:rPr>
                <w:sz w:val="1"/>
                <w:szCs w:val="1"/>
                <w:color w:val="auto"/>
              </w:rPr>
            </w:pPr>
          </w:p>
        </w:tc>
        <w:tc>
          <w:tcPr>
            <w:tcW w:w="98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40" w:type="dxa"/>
            <w:vAlign w:val="bottom"/>
            <w:gridSpan w:val="6"/>
          </w:tcPr>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Consolidated Statements of Cash Flows for the years ended December 31, 2020, 2019 and 2018</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0000FF"/>
            </w:tcBorders>
            <w:gridSpan w:val="2"/>
          </w:tcPr>
          <w:p>
            <w:pPr>
              <w:jc w:val="right"/>
              <w:ind w:right="20"/>
              <w:spacing w:after="0"/>
              <w:rPr>
                <w:rFonts w:ascii="Arial" w:cs="Arial" w:eastAsia="Arial" w:hAnsi="Arial"/>
                <w:sz w:val="18"/>
                <w:szCs w:val="18"/>
                <w:color w:val="0000FF"/>
                <w:w w:val="81"/>
              </w:rPr>
            </w:pPr>
            <w:hyperlink w:anchor="page128">
              <w:r>
                <w:rPr>
                  <w:rFonts w:ascii="Arial" w:cs="Arial" w:eastAsia="Arial" w:hAnsi="Arial"/>
                  <w:sz w:val="18"/>
                  <w:szCs w:val="18"/>
                  <w:color w:val="0000FF"/>
                  <w:w w:val="81"/>
                </w:rPr>
                <w:t>F-9</w:t>
              </w:r>
            </w:hyperlink>
          </w:p>
        </w:tc>
        <w:tc>
          <w:tcPr>
            <w:tcW w:w="0" w:type="dxa"/>
            <w:vAlign w:val="bottom"/>
          </w:tcPr>
          <w:p>
            <w:pPr>
              <w:spacing w:after="0"/>
              <w:rPr>
                <w:sz w:val="1"/>
                <w:szCs w:val="1"/>
                <w:color w:val="auto"/>
              </w:rPr>
            </w:pPr>
          </w:p>
        </w:tc>
      </w:tr>
      <w:tr>
        <w:trPr>
          <w:trHeight w:val="210"/>
        </w:trPr>
        <w:tc>
          <w:tcPr>
            <w:tcW w:w="10240" w:type="dxa"/>
            <w:vAlign w:val="bottom"/>
            <w:gridSpan w:val="6"/>
          </w:tcPr>
          <w:p>
            <w:pPr>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Consolidated Statements of Changes in Partners’ Capital for the years ended December 31, 2020, 2019 and 2018</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29">
              <w:r>
                <w:rPr>
                  <w:rFonts w:ascii="Arial" w:cs="Arial" w:eastAsia="Arial" w:hAnsi="Arial"/>
                  <w:sz w:val="18"/>
                  <w:szCs w:val="18"/>
                  <w:color w:val="0000FF"/>
                  <w:w w:val="86"/>
                </w:rPr>
                <w:t>F-10</w:t>
              </w:r>
            </w:hyperlink>
          </w:p>
        </w:tc>
        <w:tc>
          <w:tcPr>
            <w:tcW w:w="0" w:type="dxa"/>
            <w:vAlign w:val="bottom"/>
          </w:tcPr>
          <w:p>
            <w:pPr>
              <w:spacing w:after="0"/>
              <w:rPr>
                <w:sz w:val="1"/>
                <w:szCs w:val="1"/>
                <w:color w:val="auto"/>
              </w:rPr>
            </w:pPr>
          </w:p>
        </w:tc>
      </w:tr>
      <w:tr>
        <w:trPr>
          <w:trHeight w:val="209"/>
        </w:trPr>
        <w:tc>
          <w:tcPr>
            <w:tcW w:w="10240" w:type="dxa"/>
            <w:vAlign w:val="bottom"/>
            <w:gridSpan w:val="6"/>
          </w:tcPr>
          <w:p>
            <w:pPr>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Notes to the Consolidated Financial Statements:</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30">
              <w:r>
                <w:rPr>
                  <w:rFonts w:ascii="Arial" w:cs="Arial" w:eastAsia="Arial" w:hAnsi="Arial"/>
                  <w:sz w:val="18"/>
                  <w:szCs w:val="18"/>
                  <w:color w:val="0000FF"/>
                  <w:w w:val="86"/>
                </w:rPr>
                <w:t>F-11</w:t>
              </w:r>
            </w:hyperlink>
          </w:p>
        </w:tc>
        <w:tc>
          <w:tcPr>
            <w:tcW w:w="0" w:type="dxa"/>
            <w:vAlign w:val="bottom"/>
          </w:tcPr>
          <w:p>
            <w:pPr>
              <w:spacing w:after="0"/>
              <w:rPr>
                <w:sz w:val="1"/>
                <w:szCs w:val="1"/>
                <w:color w:val="auto"/>
              </w:rPr>
            </w:pPr>
          </w:p>
        </w:tc>
      </w:tr>
      <w:tr>
        <w:trPr>
          <w:trHeight w:val="210"/>
        </w:trPr>
        <w:tc>
          <w:tcPr>
            <w:tcW w:w="280" w:type="dxa"/>
            <w:vAlign w:val="bottom"/>
          </w:tcPr>
          <w:p>
            <w:pPr>
              <w:ind w:left="120"/>
              <w:spacing w:after="0"/>
              <w:rPr>
                <w:rFonts w:ascii="Arial" w:cs="Arial" w:eastAsia="Arial" w:hAnsi="Arial"/>
                <w:sz w:val="18"/>
                <w:szCs w:val="18"/>
                <w:u w:val="single" w:color="auto"/>
                <w:color w:val="0000FF"/>
                <w:w w:val="92"/>
              </w:rPr>
            </w:pPr>
            <w:hyperlink w:anchor="page131">
              <w:r>
                <w:rPr>
                  <w:rFonts w:ascii="Arial" w:cs="Arial" w:eastAsia="Arial" w:hAnsi="Arial"/>
                  <w:sz w:val="18"/>
                  <w:szCs w:val="18"/>
                  <w:u w:val="single" w:color="auto"/>
                  <w:color w:val="0000FF"/>
                  <w:w w:val="92"/>
                </w:rPr>
                <w:t>1.</w:t>
              </w:r>
            </w:hyperlink>
          </w:p>
        </w:tc>
        <w:tc>
          <w:tcPr>
            <w:tcW w:w="9960" w:type="dxa"/>
            <w:vAlign w:val="bottom"/>
            <w:gridSpan w:val="5"/>
          </w:tcPr>
          <w:p>
            <w:pPr>
              <w:ind w:left="20"/>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Organization and Basis of Consolidation and Presentation</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31">
              <w:r>
                <w:rPr>
                  <w:rFonts w:ascii="Arial" w:cs="Arial" w:eastAsia="Arial" w:hAnsi="Arial"/>
                  <w:sz w:val="18"/>
                  <w:szCs w:val="18"/>
                  <w:color w:val="0000FF"/>
                  <w:w w:val="86"/>
                </w:rPr>
                <w:t>F-11</w:t>
              </w:r>
            </w:hyperlink>
          </w:p>
        </w:tc>
        <w:tc>
          <w:tcPr>
            <w:tcW w:w="0" w:type="dxa"/>
            <w:vAlign w:val="bottom"/>
          </w:tcPr>
          <w:p>
            <w:pPr>
              <w:spacing w:after="0"/>
              <w:rPr>
                <w:sz w:val="1"/>
                <w:szCs w:val="1"/>
                <w:color w:val="auto"/>
              </w:rPr>
            </w:pPr>
          </w:p>
        </w:tc>
      </w:tr>
      <w:tr>
        <w:trPr>
          <w:trHeight w:val="209"/>
        </w:trPr>
        <w:tc>
          <w:tcPr>
            <w:tcW w:w="280" w:type="dxa"/>
            <w:vAlign w:val="bottom"/>
          </w:tcPr>
          <w:p>
            <w:pPr>
              <w:ind w:left="120"/>
              <w:spacing w:after="0"/>
              <w:rPr>
                <w:rFonts w:ascii="Arial" w:cs="Arial" w:eastAsia="Arial" w:hAnsi="Arial"/>
                <w:sz w:val="18"/>
                <w:szCs w:val="18"/>
                <w:u w:val="single" w:color="auto"/>
                <w:color w:val="0000FF"/>
                <w:w w:val="92"/>
              </w:rPr>
            </w:pPr>
            <w:hyperlink w:anchor="page133">
              <w:r>
                <w:rPr>
                  <w:rFonts w:ascii="Arial" w:cs="Arial" w:eastAsia="Arial" w:hAnsi="Arial"/>
                  <w:sz w:val="18"/>
                  <w:szCs w:val="18"/>
                  <w:u w:val="single" w:color="auto"/>
                  <w:color w:val="0000FF"/>
                  <w:w w:val="92"/>
                </w:rPr>
                <w:t>2.</w:t>
              </w:r>
            </w:hyperlink>
          </w:p>
        </w:tc>
        <w:tc>
          <w:tcPr>
            <w:tcW w:w="9960" w:type="dxa"/>
            <w:vAlign w:val="bottom"/>
            <w:gridSpan w:val="5"/>
          </w:tcPr>
          <w:p>
            <w:pPr>
              <w:ind w:left="2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Summary of Significant Accounting Policies</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33">
              <w:r>
                <w:rPr>
                  <w:rFonts w:ascii="Arial" w:cs="Arial" w:eastAsia="Arial" w:hAnsi="Arial"/>
                  <w:sz w:val="18"/>
                  <w:szCs w:val="18"/>
                  <w:color w:val="0000FF"/>
                  <w:w w:val="86"/>
                </w:rPr>
                <w:t>F-13</w:t>
              </w:r>
            </w:hyperlink>
          </w:p>
        </w:tc>
        <w:tc>
          <w:tcPr>
            <w:tcW w:w="0" w:type="dxa"/>
            <w:vAlign w:val="bottom"/>
          </w:tcPr>
          <w:p>
            <w:pPr>
              <w:spacing w:after="0"/>
              <w:rPr>
                <w:sz w:val="1"/>
                <w:szCs w:val="1"/>
                <w:color w:val="auto"/>
              </w:rPr>
            </w:pPr>
          </w:p>
        </w:tc>
      </w:tr>
      <w:tr>
        <w:trPr>
          <w:trHeight w:val="209"/>
        </w:trPr>
        <w:tc>
          <w:tcPr>
            <w:tcW w:w="280" w:type="dxa"/>
            <w:vAlign w:val="bottom"/>
          </w:tcPr>
          <w:p>
            <w:pPr>
              <w:ind w:left="120"/>
              <w:spacing w:after="0"/>
              <w:rPr>
                <w:rFonts w:ascii="Arial" w:cs="Arial" w:eastAsia="Arial" w:hAnsi="Arial"/>
                <w:sz w:val="18"/>
                <w:szCs w:val="18"/>
                <w:u w:val="single" w:color="auto"/>
                <w:color w:val="0000FF"/>
                <w:w w:val="92"/>
              </w:rPr>
            </w:pPr>
            <w:hyperlink w:anchor="page136">
              <w:r>
                <w:rPr>
                  <w:rFonts w:ascii="Arial" w:cs="Arial" w:eastAsia="Arial" w:hAnsi="Arial"/>
                  <w:sz w:val="18"/>
                  <w:szCs w:val="18"/>
                  <w:u w:val="single" w:color="auto"/>
                  <w:color w:val="0000FF"/>
                  <w:w w:val="92"/>
                </w:rPr>
                <w:t>3.</w:t>
              </w:r>
            </w:hyperlink>
          </w:p>
        </w:tc>
        <w:tc>
          <w:tcPr>
            <w:tcW w:w="9960" w:type="dxa"/>
            <w:vAlign w:val="bottom"/>
            <w:gridSpan w:val="5"/>
          </w:tcPr>
          <w:p>
            <w:pPr>
              <w:ind w:left="2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Revenues and Accounts Receivable</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36">
              <w:r>
                <w:rPr>
                  <w:rFonts w:ascii="Arial" w:cs="Arial" w:eastAsia="Arial" w:hAnsi="Arial"/>
                  <w:sz w:val="18"/>
                  <w:szCs w:val="18"/>
                  <w:color w:val="0000FF"/>
                  <w:w w:val="86"/>
                </w:rPr>
                <w:t>F-16</w:t>
              </w:r>
            </w:hyperlink>
          </w:p>
        </w:tc>
        <w:tc>
          <w:tcPr>
            <w:tcW w:w="0" w:type="dxa"/>
            <w:vAlign w:val="bottom"/>
          </w:tcPr>
          <w:p>
            <w:pPr>
              <w:spacing w:after="0"/>
              <w:rPr>
                <w:sz w:val="1"/>
                <w:szCs w:val="1"/>
                <w:color w:val="auto"/>
              </w:rPr>
            </w:pPr>
          </w:p>
        </w:tc>
      </w:tr>
      <w:tr>
        <w:trPr>
          <w:trHeight w:val="210"/>
        </w:trPr>
        <w:tc>
          <w:tcPr>
            <w:tcW w:w="280" w:type="dxa"/>
            <w:vAlign w:val="bottom"/>
          </w:tcPr>
          <w:p>
            <w:pPr>
              <w:ind w:left="120"/>
              <w:spacing w:after="0"/>
              <w:rPr>
                <w:rFonts w:ascii="Arial" w:cs="Arial" w:eastAsia="Arial" w:hAnsi="Arial"/>
                <w:sz w:val="18"/>
                <w:szCs w:val="18"/>
                <w:u w:val="single" w:color="auto"/>
                <w:color w:val="0000FF"/>
                <w:w w:val="92"/>
              </w:rPr>
            </w:pPr>
            <w:hyperlink w:anchor="page141">
              <w:r>
                <w:rPr>
                  <w:rFonts w:ascii="Arial" w:cs="Arial" w:eastAsia="Arial" w:hAnsi="Arial"/>
                  <w:sz w:val="18"/>
                  <w:szCs w:val="18"/>
                  <w:u w:val="single" w:color="auto"/>
                  <w:color w:val="0000FF"/>
                  <w:w w:val="92"/>
                </w:rPr>
                <w:t>4.</w:t>
              </w:r>
            </w:hyperlink>
          </w:p>
        </w:tc>
        <w:tc>
          <w:tcPr>
            <w:tcW w:w="9960" w:type="dxa"/>
            <w:vAlign w:val="bottom"/>
            <w:gridSpan w:val="5"/>
          </w:tcPr>
          <w:p>
            <w:pPr>
              <w:ind w:left="20"/>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Net Income/(Loss) Per Common Unit</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41">
              <w:r>
                <w:rPr>
                  <w:rFonts w:ascii="Arial" w:cs="Arial" w:eastAsia="Arial" w:hAnsi="Arial"/>
                  <w:sz w:val="18"/>
                  <w:szCs w:val="18"/>
                  <w:color w:val="0000FF"/>
                  <w:w w:val="86"/>
                </w:rPr>
                <w:t>F-22</w:t>
              </w:r>
            </w:hyperlink>
          </w:p>
        </w:tc>
        <w:tc>
          <w:tcPr>
            <w:tcW w:w="0" w:type="dxa"/>
            <w:vAlign w:val="bottom"/>
          </w:tcPr>
          <w:p>
            <w:pPr>
              <w:spacing w:after="0"/>
              <w:rPr>
                <w:sz w:val="1"/>
                <w:szCs w:val="1"/>
                <w:color w:val="auto"/>
              </w:rPr>
            </w:pPr>
          </w:p>
        </w:tc>
      </w:tr>
      <w:tr>
        <w:trPr>
          <w:trHeight w:val="209"/>
        </w:trPr>
        <w:tc>
          <w:tcPr>
            <w:tcW w:w="280" w:type="dxa"/>
            <w:vAlign w:val="bottom"/>
          </w:tcPr>
          <w:p>
            <w:pPr>
              <w:ind w:left="120"/>
              <w:spacing w:after="0"/>
              <w:rPr>
                <w:rFonts w:ascii="Arial" w:cs="Arial" w:eastAsia="Arial" w:hAnsi="Arial"/>
                <w:sz w:val="18"/>
                <w:szCs w:val="18"/>
                <w:u w:val="single" w:color="auto"/>
                <w:color w:val="0000FF"/>
                <w:w w:val="92"/>
              </w:rPr>
            </w:pPr>
            <w:hyperlink w:anchor="page143">
              <w:r>
                <w:rPr>
                  <w:rFonts w:ascii="Arial" w:cs="Arial" w:eastAsia="Arial" w:hAnsi="Arial"/>
                  <w:sz w:val="18"/>
                  <w:szCs w:val="18"/>
                  <w:u w:val="single" w:color="auto"/>
                  <w:color w:val="0000FF"/>
                  <w:w w:val="92"/>
                </w:rPr>
                <w:t>5.</w:t>
              </w:r>
            </w:hyperlink>
          </w:p>
        </w:tc>
        <w:tc>
          <w:tcPr>
            <w:tcW w:w="9960" w:type="dxa"/>
            <w:vAlign w:val="bottom"/>
            <w:gridSpan w:val="5"/>
          </w:tcPr>
          <w:p>
            <w:pPr>
              <w:ind w:left="20"/>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Inventory, Linefill and Base Gas and Long-term Inventory</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43">
              <w:r>
                <w:rPr>
                  <w:rFonts w:ascii="Arial" w:cs="Arial" w:eastAsia="Arial" w:hAnsi="Arial"/>
                  <w:sz w:val="18"/>
                  <w:szCs w:val="18"/>
                  <w:color w:val="0000FF"/>
                  <w:w w:val="86"/>
                </w:rPr>
                <w:t>F-24</w:t>
              </w:r>
            </w:hyperlink>
          </w:p>
        </w:tc>
        <w:tc>
          <w:tcPr>
            <w:tcW w:w="0" w:type="dxa"/>
            <w:vAlign w:val="bottom"/>
          </w:tcPr>
          <w:p>
            <w:pPr>
              <w:spacing w:after="0"/>
              <w:rPr>
                <w:sz w:val="1"/>
                <w:szCs w:val="1"/>
                <w:color w:val="auto"/>
              </w:rPr>
            </w:pPr>
          </w:p>
        </w:tc>
      </w:tr>
      <w:tr>
        <w:trPr>
          <w:trHeight w:val="209"/>
        </w:trPr>
        <w:tc>
          <w:tcPr>
            <w:tcW w:w="280" w:type="dxa"/>
            <w:vAlign w:val="bottom"/>
          </w:tcPr>
          <w:p>
            <w:pPr>
              <w:ind w:left="120"/>
              <w:spacing w:after="0"/>
              <w:rPr>
                <w:rFonts w:ascii="Arial" w:cs="Arial" w:eastAsia="Arial" w:hAnsi="Arial"/>
                <w:sz w:val="18"/>
                <w:szCs w:val="18"/>
                <w:u w:val="single" w:color="auto"/>
                <w:color w:val="0000FF"/>
                <w:w w:val="92"/>
              </w:rPr>
            </w:pPr>
            <w:hyperlink w:anchor="page145">
              <w:r>
                <w:rPr>
                  <w:rFonts w:ascii="Arial" w:cs="Arial" w:eastAsia="Arial" w:hAnsi="Arial"/>
                  <w:sz w:val="18"/>
                  <w:szCs w:val="18"/>
                  <w:u w:val="single" w:color="auto"/>
                  <w:color w:val="0000FF"/>
                  <w:w w:val="92"/>
                </w:rPr>
                <w:t>6.</w:t>
              </w:r>
            </w:hyperlink>
          </w:p>
        </w:tc>
        <w:tc>
          <w:tcPr>
            <w:tcW w:w="9960" w:type="dxa"/>
            <w:vAlign w:val="bottom"/>
            <w:gridSpan w:val="5"/>
          </w:tcPr>
          <w:p>
            <w:pPr>
              <w:ind w:left="20"/>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Property and Equipment</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45">
              <w:r>
                <w:rPr>
                  <w:rFonts w:ascii="Arial" w:cs="Arial" w:eastAsia="Arial" w:hAnsi="Arial"/>
                  <w:sz w:val="18"/>
                  <w:szCs w:val="18"/>
                  <w:color w:val="0000FF"/>
                  <w:w w:val="86"/>
                </w:rPr>
                <w:t>F-25</w:t>
              </w:r>
            </w:hyperlink>
          </w:p>
        </w:tc>
        <w:tc>
          <w:tcPr>
            <w:tcW w:w="0" w:type="dxa"/>
            <w:vAlign w:val="bottom"/>
          </w:tcPr>
          <w:p>
            <w:pPr>
              <w:spacing w:after="0"/>
              <w:rPr>
                <w:sz w:val="1"/>
                <w:szCs w:val="1"/>
                <w:color w:val="auto"/>
              </w:rPr>
            </w:pPr>
          </w:p>
        </w:tc>
      </w:tr>
      <w:tr>
        <w:trPr>
          <w:trHeight w:val="210"/>
        </w:trPr>
        <w:tc>
          <w:tcPr>
            <w:tcW w:w="280" w:type="dxa"/>
            <w:vAlign w:val="bottom"/>
          </w:tcPr>
          <w:p>
            <w:pPr>
              <w:ind w:left="120"/>
              <w:spacing w:after="0"/>
              <w:rPr>
                <w:rFonts w:ascii="Arial" w:cs="Arial" w:eastAsia="Arial" w:hAnsi="Arial"/>
                <w:sz w:val="18"/>
                <w:szCs w:val="18"/>
                <w:u w:val="single" w:color="auto"/>
                <w:color w:val="0000FF"/>
                <w:w w:val="92"/>
              </w:rPr>
            </w:pPr>
            <w:hyperlink w:anchor="page147">
              <w:r>
                <w:rPr>
                  <w:rFonts w:ascii="Arial" w:cs="Arial" w:eastAsia="Arial" w:hAnsi="Arial"/>
                  <w:sz w:val="18"/>
                  <w:szCs w:val="18"/>
                  <w:u w:val="single" w:color="auto"/>
                  <w:color w:val="0000FF"/>
                  <w:w w:val="92"/>
                </w:rPr>
                <w:t>7.</w:t>
              </w:r>
            </w:hyperlink>
          </w:p>
        </w:tc>
        <w:tc>
          <w:tcPr>
            <w:tcW w:w="9960" w:type="dxa"/>
            <w:vAlign w:val="bottom"/>
            <w:gridSpan w:val="5"/>
          </w:tcPr>
          <w:p>
            <w:pPr>
              <w:ind w:left="20"/>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Acquisitions and Divestitures</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47">
              <w:r>
                <w:rPr>
                  <w:rFonts w:ascii="Arial" w:cs="Arial" w:eastAsia="Arial" w:hAnsi="Arial"/>
                  <w:sz w:val="18"/>
                  <w:szCs w:val="18"/>
                  <w:color w:val="0000FF"/>
                  <w:w w:val="86"/>
                </w:rPr>
                <w:t>F-27</w:t>
              </w:r>
            </w:hyperlink>
          </w:p>
        </w:tc>
        <w:tc>
          <w:tcPr>
            <w:tcW w:w="0" w:type="dxa"/>
            <w:vAlign w:val="bottom"/>
          </w:tcPr>
          <w:p>
            <w:pPr>
              <w:spacing w:after="0"/>
              <w:rPr>
                <w:sz w:val="1"/>
                <w:szCs w:val="1"/>
                <w:color w:val="auto"/>
              </w:rPr>
            </w:pPr>
          </w:p>
        </w:tc>
      </w:tr>
      <w:tr>
        <w:trPr>
          <w:trHeight w:val="209"/>
        </w:trPr>
        <w:tc>
          <w:tcPr>
            <w:tcW w:w="280" w:type="dxa"/>
            <w:vAlign w:val="bottom"/>
          </w:tcPr>
          <w:p>
            <w:pPr>
              <w:ind w:left="120"/>
              <w:spacing w:after="0"/>
              <w:rPr>
                <w:rFonts w:ascii="Arial" w:cs="Arial" w:eastAsia="Arial" w:hAnsi="Arial"/>
                <w:sz w:val="18"/>
                <w:szCs w:val="18"/>
                <w:u w:val="single" w:color="auto"/>
                <w:color w:val="0000FF"/>
                <w:w w:val="92"/>
              </w:rPr>
            </w:pPr>
            <w:hyperlink w:anchor="page148">
              <w:r>
                <w:rPr>
                  <w:rFonts w:ascii="Arial" w:cs="Arial" w:eastAsia="Arial" w:hAnsi="Arial"/>
                  <w:sz w:val="18"/>
                  <w:szCs w:val="18"/>
                  <w:u w:val="single" w:color="auto"/>
                  <w:color w:val="0000FF"/>
                  <w:w w:val="92"/>
                </w:rPr>
                <w:t>8.</w:t>
              </w:r>
            </w:hyperlink>
          </w:p>
        </w:tc>
        <w:tc>
          <w:tcPr>
            <w:tcW w:w="9960" w:type="dxa"/>
            <w:vAlign w:val="bottom"/>
            <w:gridSpan w:val="5"/>
          </w:tcPr>
          <w:p>
            <w:pPr>
              <w:ind w:left="20"/>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Goodwill</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48">
              <w:r>
                <w:rPr>
                  <w:rFonts w:ascii="Arial" w:cs="Arial" w:eastAsia="Arial" w:hAnsi="Arial"/>
                  <w:sz w:val="18"/>
                  <w:szCs w:val="18"/>
                  <w:color w:val="0000FF"/>
                  <w:w w:val="86"/>
                </w:rPr>
                <w:t>F-28</w:t>
              </w:r>
            </w:hyperlink>
          </w:p>
        </w:tc>
        <w:tc>
          <w:tcPr>
            <w:tcW w:w="0" w:type="dxa"/>
            <w:vAlign w:val="bottom"/>
          </w:tcPr>
          <w:p>
            <w:pPr>
              <w:spacing w:after="0"/>
              <w:rPr>
                <w:sz w:val="1"/>
                <w:szCs w:val="1"/>
                <w:color w:val="auto"/>
              </w:rPr>
            </w:pPr>
          </w:p>
        </w:tc>
      </w:tr>
      <w:tr>
        <w:trPr>
          <w:trHeight w:val="210"/>
        </w:trPr>
        <w:tc>
          <w:tcPr>
            <w:tcW w:w="280" w:type="dxa"/>
            <w:vAlign w:val="bottom"/>
          </w:tcPr>
          <w:p>
            <w:pPr>
              <w:ind w:left="120"/>
              <w:spacing w:after="0"/>
              <w:rPr>
                <w:rFonts w:ascii="Arial" w:cs="Arial" w:eastAsia="Arial" w:hAnsi="Arial"/>
                <w:sz w:val="18"/>
                <w:szCs w:val="18"/>
                <w:u w:val="single" w:color="auto"/>
                <w:color w:val="0000FF"/>
                <w:w w:val="92"/>
              </w:rPr>
            </w:pPr>
            <w:hyperlink w:anchor="page149">
              <w:r>
                <w:rPr>
                  <w:rFonts w:ascii="Arial" w:cs="Arial" w:eastAsia="Arial" w:hAnsi="Arial"/>
                  <w:sz w:val="18"/>
                  <w:szCs w:val="18"/>
                  <w:u w:val="single" w:color="auto"/>
                  <w:color w:val="0000FF"/>
                  <w:w w:val="92"/>
                </w:rPr>
                <w:t>9.</w:t>
              </w:r>
            </w:hyperlink>
          </w:p>
        </w:tc>
        <w:tc>
          <w:tcPr>
            <w:tcW w:w="9960" w:type="dxa"/>
            <w:vAlign w:val="bottom"/>
            <w:gridSpan w:val="5"/>
          </w:tcPr>
          <w:p>
            <w:pPr>
              <w:ind w:left="20"/>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Investments in Unconsolidated Entities</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49">
              <w:r>
                <w:rPr>
                  <w:rFonts w:ascii="Arial" w:cs="Arial" w:eastAsia="Arial" w:hAnsi="Arial"/>
                  <w:sz w:val="18"/>
                  <w:szCs w:val="18"/>
                  <w:color w:val="0000FF"/>
                  <w:w w:val="86"/>
                </w:rPr>
                <w:t>F-29</w:t>
              </w:r>
            </w:hyperlink>
          </w:p>
        </w:tc>
        <w:tc>
          <w:tcPr>
            <w:tcW w:w="0" w:type="dxa"/>
            <w:vAlign w:val="bottom"/>
          </w:tcPr>
          <w:p>
            <w:pPr>
              <w:spacing w:after="0"/>
              <w:rPr>
                <w:sz w:val="1"/>
                <w:szCs w:val="1"/>
                <w:color w:val="auto"/>
              </w:rPr>
            </w:pPr>
          </w:p>
        </w:tc>
      </w:tr>
      <w:tr>
        <w:trPr>
          <w:trHeight w:val="209"/>
        </w:trPr>
        <w:tc>
          <w:tcPr>
            <w:tcW w:w="360" w:type="dxa"/>
            <w:vAlign w:val="bottom"/>
            <w:gridSpan w:val="2"/>
          </w:tcPr>
          <w:p>
            <w:pPr>
              <w:ind w:left="120"/>
              <w:spacing w:after="0"/>
              <w:rPr>
                <w:rFonts w:ascii="Arial" w:cs="Arial" w:eastAsia="Arial" w:hAnsi="Arial"/>
                <w:sz w:val="18"/>
                <w:szCs w:val="18"/>
                <w:u w:val="single" w:color="auto"/>
                <w:color w:val="0000FF"/>
                <w:w w:val="87"/>
              </w:rPr>
            </w:pPr>
            <w:hyperlink w:anchor="page153">
              <w:r>
                <w:rPr>
                  <w:rFonts w:ascii="Arial" w:cs="Arial" w:eastAsia="Arial" w:hAnsi="Arial"/>
                  <w:sz w:val="18"/>
                  <w:szCs w:val="18"/>
                  <w:u w:val="single" w:color="auto"/>
                  <w:color w:val="0000FF"/>
                  <w:w w:val="87"/>
                </w:rPr>
                <w:t>10.</w:t>
              </w:r>
            </w:hyperlink>
          </w:p>
        </w:tc>
        <w:tc>
          <w:tcPr>
            <w:tcW w:w="9880" w:type="dxa"/>
            <w:vAlign w:val="bottom"/>
            <w:gridSpan w:val="4"/>
          </w:tcPr>
          <w:p>
            <w:pPr>
              <w:ind w:left="40"/>
              <w:spacing w:after="0"/>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Other Long-Term Assets, Net</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53">
              <w:r>
                <w:rPr>
                  <w:rFonts w:ascii="Arial" w:cs="Arial" w:eastAsia="Arial" w:hAnsi="Arial"/>
                  <w:sz w:val="18"/>
                  <w:szCs w:val="18"/>
                  <w:color w:val="0000FF"/>
                  <w:w w:val="86"/>
                </w:rPr>
                <w:t>F-33</w:t>
              </w:r>
            </w:hyperlink>
          </w:p>
        </w:tc>
        <w:tc>
          <w:tcPr>
            <w:tcW w:w="0" w:type="dxa"/>
            <w:vAlign w:val="bottom"/>
          </w:tcPr>
          <w:p>
            <w:pPr>
              <w:spacing w:after="0"/>
              <w:rPr>
                <w:sz w:val="1"/>
                <w:szCs w:val="1"/>
                <w:color w:val="auto"/>
              </w:rPr>
            </w:pPr>
          </w:p>
        </w:tc>
      </w:tr>
      <w:tr>
        <w:trPr>
          <w:trHeight w:val="210"/>
        </w:trPr>
        <w:tc>
          <w:tcPr>
            <w:tcW w:w="10240" w:type="dxa"/>
            <w:vAlign w:val="bottom"/>
            <w:gridSpan w:val="6"/>
          </w:tcPr>
          <w:p>
            <w:pPr>
              <w:ind w:left="120"/>
              <w:spacing w:after="0"/>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11. Debt</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54">
              <w:r>
                <w:rPr>
                  <w:rFonts w:ascii="Arial" w:cs="Arial" w:eastAsia="Arial" w:hAnsi="Arial"/>
                  <w:sz w:val="18"/>
                  <w:szCs w:val="18"/>
                  <w:color w:val="0000FF"/>
                  <w:w w:val="86"/>
                </w:rPr>
                <w:t>F-35</w:t>
              </w:r>
            </w:hyperlink>
          </w:p>
        </w:tc>
        <w:tc>
          <w:tcPr>
            <w:tcW w:w="0" w:type="dxa"/>
            <w:vAlign w:val="bottom"/>
          </w:tcPr>
          <w:p>
            <w:pPr>
              <w:spacing w:after="0"/>
              <w:rPr>
                <w:sz w:val="1"/>
                <w:szCs w:val="1"/>
                <w:color w:val="auto"/>
              </w:rPr>
            </w:pPr>
          </w:p>
        </w:tc>
      </w:tr>
      <w:tr>
        <w:trPr>
          <w:trHeight w:val="209"/>
        </w:trPr>
        <w:tc>
          <w:tcPr>
            <w:tcW w:w="360" w:type="dxa"/>
            <w:vAlign w:val="bottom"/>
            <w:gridSpan w:val="2"/>
          </w:tcPr>
          <w:p>
            <w:pPr>
              <w:ind w:left="120"/>
              <w:spacing w:after="0"/>
              <w:rPr>
                <w:rFonts w:ascii="Arial" w:cs="Arial" w:eastAsia="Arial" w:hAnsi="Arial"/>
                <w:sz w:val="18"/>
                <w:szCs w:val="18"/>
                <w:u w:val="single" w:color="auto"/>
                <w:color w:val="0000FF"/>
                <w:w w:val="87"/>
              </w:rPr>
            </w:pPr>
            <w:hyperlink w:anchor="page158">
              <w:r>
                <w:rPr>
                  <w:rFonts w:ascii="Arial" w:cs="Arial" w:eastAsia="Arial" w:hAnsi="Arial"/>
                  <w:sz w:val="18"/>
                  <w:szCs w:val="18"/>
                  <w:u w:val="single" w:color="auto"/>
                  <w:color w:val="0000FF"/>
                  <w:w w:val="87"/>
                </w:rPr>
                <w:t>12.</w:t>
              </w:r>
            </w:hyperlink>
          </w:p>
        </w:tc>
        <w:tc>
          <w:tcPr>
            <w:tcW w:w="9880" w:type="dxa"/>
            <w:vAlign w:val="bottom"/>
            <w:gridSpan w:val="4"/>
          </w:tcPr>
          <w:p>
            <w:pPr>
              <w:ind w:left="40"/>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Partners’ Capital and Distributions</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58">
              <w:r>
                <w:rPr>
                  <w:rFonts w:ascii="Arial" w:cs="Arial" w:eastAsia="Arial" w:hAnsi="Arial"/>
                  <w:sz w:val="18"/>
                  <w:szCs w:val="18"/>
                  <w:color w:val="0000FF"/>
                  <w:w w:val="86"/>
                </w:rPr>
                <w:t>F-38</w:t>
              </w:r>
            </w:hyperlink>
          </w:p>
        </w:tc>
        <w:tc>
          <w:tcPr>
            <w:tcW w:w="0" w:type="dxa"/>
            <w:vAlign w:val="bottom"/>
          </w:tcPr>
          <w:p>
            <w:pPr>
              <w:spacing w:after="0"/>
              <w:rPr>
                <w:sz w:val="1"/>
                <w:szCs w:val="1"/>
                <w:color w:val="auto"/>
              </w:rPr>
            </w:pPr>
          </w:p>
        </w:tc>
      </w:tr>
      <w:tr>
        <w:trPr>
          <w:trHeight w:val="210"/>
        </w:trPr>
        <w:tc>
          <w:tcPr>
            <w:tcW w:w="360" w:type="dxa"/>
            <w:vAlign w:val="bottom"/>
            <w:gridSpan w:val="2"/>
          </w:tcPr>
          <w:p>
            <w:pPr>
              <w:ind w:left="120"/>
              <w:spacing w:after="0"/>
              <w:rPr>
                <w:rFonts w:ascii="Arial" w:cs="Arial" w:eastAsia="Arial" w:hAnsi="Arial"/>
                <w:sz w:val="18"/>
                <w:szCs w:val="18"/>
                <w:u w:val="single" w:color="auto"/>
                <w:color w:val="0000FF"/>
                <w:w w:val="87"/>
              </w:rPr>
            </w:pPr>
            <w:hyperlink w:anchor="page162">
              <w:r>
                <w:rPr>
                  <w:rFonts w:ascii="Arial" w:cs="Arial" w:eastAsia="Arial" w:hAnsi="Arial"/>
                  <w:sz w:val="18"/>
                  <w:szCs w:val="18"/>
                  <w:u w:val="single" w:color="auto"/>
                  <w:color w:val="0000FF"/>
                  <w:w w:val="87"/>
                </w:rPr>
                <w:t>13.</w:t>
              </w:r>
            </w:hyperlink>
          </w:p>
        </w:tc>
        <w:tc>
          <w:tcPr>
            <w:tcW w:w="9880" w:type="dxa"/>
            <w:vAlign w:val="bottom"/>
            <w:gridSpan w:val="4"/>
          </w:tcPr>
          <w:p>
            <w:pPr>
              <w:ind w:left="40"/>
              <w:spacing w:after="0"/>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Derivatives and Risk Management Activities</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62">
              <w:r>
                <w:rPr>
                  <w:rFonts w:ascii="Arial" w:cs="Arial" w:eastAsia="Arial" w:hAnsi="Arial"/>
                  <w:sz w:val="18"/>
                  <w:szCs w:val="18"/>
                  <w:color w:val="0000FF"/>
                  <w:w w:val="86"/>
                </w:rPr>
                <w:t>F-42</w:t>
              </w:r>
            </w:hyperlink>
          </w:p>
        </w:tc>
        <w:tc>
          <w:tcPr>
            <w:tcW w:w="0" w:type="dxa"/>
            <w:vAlign w:val="bottom"/>
          </w:tcPr>
          <w:p>
            <w:pPr>
              <w:spacing w:after="0"/>
              <w:rPr>
                <w:sz w:val="1"/>
                <w:szCs w:val="1"/>
                <w:color w:val="auto"/>
              </w:rPr>
            </w:pPr>
          </w:p>
        </w:tc>
      </w:tr>
      <w:tr>
        <w:trPr>
          <w:trHeight w:val="210"/>
        </w:trPr>
        <w:tc>
          <w:tcPr>
            <w:tcW w:w="360" w:type="dxa"/>
            <w:vAlign w:val="bottom"/>
            <w:gridSpan w:val="2"/>
          </w:tcPr>
          <w:p>
            <w:pPr>
              <w:ind w:left="120"/>
              <w:spacing w:after="0"/>
              <w:rPr>
                <w:rFonts w:ascii="Arial" w:cs="Arial" w:eastAsia="Arial" w:hAnsi="Arial"/>
                <w:sz w:val="18"/>
                <w:szCs w:val="18"/>
                <w:u w:val="single" w:color="auto"/>
                <w:color w:val="0000FF"/>
                <w:w w:val="87"/>
              </w:rPr>
            </w:pPr>
            <w:hyperlink w:anchor="page167">
              <w:r>
                <w:rPr>
                  <w:rFonts w:ascii="Arial" w:cs="Arial" w:eastAsia="Arial" w:hAnsi="Arial"/>
                  <w:sz w:val="18"/>
                  <w:szCs w:val="18"/>
                  <w:u w:val="single" w:color="auto"/>
                  <w:color w:val="0000FF"/>
                  <w:w w:val="87"/>
                </w:rPr>
                <w:t>14.</w:t>
              </w:r>
            </w:hyperlink>
          </w:p>
        </w:tc>
        <w:tc>
          <w:tcPr>
            <w:tcW w:w="9880" w:type="dxa"/>
            <w:vAlign w:val="bottom"/>
            <w:gridSpan w:val="4"/>
          </w:tcPr>
          <w:p>
            <w:pPr>
              <w:ind w:left="40"/>
              <w:spacing w:after="0"/>
              <w:rPr>
                <w:rFonts w:ascii="Arial" w:cs="Arial" w:eastAsia="Arial" w:hAnsi="Arial"/>
                <w:sz w:val="18"/>
                <w:szCs w:val="18"/>
                <w:u w:val="single" w:color="auto"/>
                <w:color w:val="0000FF"/>
              </w:rPr>
            </w:pPr>
            <w:hyperlink w:anchor="page167">
              <w:r>
                <w:rPr>
                  <w:rFonts w:ascii="Arial" w:cs="Arial" w:eastAsia="Arial" w:hAnsi="Arial"/>
                  <w:sz w:val="18"/>
                  <w:szCs w:val="18"/>
                  <w:u w:val="single" w:color="auto"/>
                  <w:color w:val="0000FF"/>
                </w:rPr>
                <w:t>Leases</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67">
              <w:r>
                <w:rPr>
                  <w:rFonts w:ascii="Arial" w:cs="Arial" w:eastAsia="Arial" w:hAnsi="Arial"/>
                  <w:sz w:val="18"/>
                  <w:szCs w:val="18"/>
                  <w:color w:val="0000FF"/>
                  <w:w w:val="86"/>
                </w:rPr>
                <w:t>F-47</w:t>
              </w:r>
            </w:hyperlink>
          </w:p>
        </w:tc>
        <w:tc>
          <w:tcPr>
            <w:tcW w:w="0" w:type="dxa"/>
            <w:vAlign w:val="bottom"/>
          </w:tcPr>
          <w:p>
            <w:pPr>
              <w:spacing w:after="0"/>
              <w:rPr>
                <w:sz w:val="1"/>
                <w:szCs w:val="1"/>
                <w:color w:val="auto"/>
              </w:rPr>
            </w:pPr>
          </w:p>
        </w:tc>
      </w:tr>
      <w:tr>
        <w:trPr>
          <w:trHeight w:val="210"/>
        </w:trPr>
        <w:tc>
          <w:tcPr>
            <w:tcW w:w="360" w:type="dxa"/>
            <w:vAlign w:val="bottom"/>
            <w:gridSpan w:val="2"/>
          </w:tcPr>
          <w:p>
            <w:pPr>
              <w:ind w:left="120"/>
              <w:spacing w:after="0"/>
              <w:rPr>
                <w:rFonts w:ascii="Arial" w:cs="Arial" w:eastAsia="Arial" w:hAnsi="Arial"/>
                <w:sz w:val="18"/>
                <w:szCs w:val="18"/>
                <w:u w:val="single" w:color="auto"/>
                <w:color w:val="0000FF"/>
                <w:w w:val="87"/>
              </w:rPr>
            </w:pPr>
            <w:hyperlink w:anchor="page170">
              <w:r>
                <w:rPr>
                  <w:rFonts w:ascii="Arial" w:cs="Arial" w:eastAsia="Arial" w:hAnsi="Arial"/>
                  <w:sz w:val="18"/>
                  <w:szCs w:val="18"/>
                  <w:u w:val="single" w:color="auto"/>
                  <w:color w:val="0000FF"/>
                  <w:w w:val="87"/>
                </w:rPr>
                <w:t>15.</w:t>
              </w:r>
            </w:hyperlink>
          </w:p>
        </w:tc>
        <w:tc>
          <w:tcPr>
            <w:tcW w:w="9880" w:type="dxa"/>
            <w:vAlign w:val="bottom"/>
            <w:gridSpan w:val="4"/>
          </w:tcPr>
          <w:p>
            <w:pPr>
              <w:ind w:left="40"/>
              <w:spacing w:after="0"/>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Income Taxes</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70">
              <w:r>
                <w:rPr>
                  <w:rFonts w:ascii="Arial" w:cs="Arial" w:eastAsia="Arial" w:hAnsi="Arial"/>
                  <w:sz w:val="18"/>
                  <w:szCs w:val="18"/>
                  <w:color w:val="0000FF"/>
                  <w:w w:val="86"/>
                </w:rPr>
                <w:t>F-51</w:t>
              </w:r>
            </w:hyperlink>
          </w:p>
        </w:tc>
        <w:tc>
          <w:tcPr>
            <w:tcW w:w="0" w:type="dxa"/>
            <w:vAlign w:val="bottom"/>
          </w:tcPr>
          <w:p>
            <w:pPr>
              <w:spacing w:after="0"/>
              <w:rPr>
                <w:sz w:val="1"/>
                <w:szCs w:val="1"/>
                <w:color w:val="auto"/>
              </w:rPr>
            </w:pPr>
          </w:p>
        </w:tc>
      </w:tr>
      <w:tr>
        <w:trPr>
          <w:trHeight w:val="209"/>
        </w:trPr>
        <w:tc>
          <w:tcPr>
            <w:tcW w:w="360" w:type="dxa"/>
            <w:vAlign w:val="bottom"/>
            <w:gridSpan w:val="2"/>
          </w:tcPr>
          <w:p>
            <w:pPr>
              <w:ind w:left="120"/>
              <w:spacing w:after="0"/>
              <w:rPr>
                <w:rFonts w:ascii="Arial" w:cs="Arial" w:eastAsia="Arial" w:hAnsi="Arial"/>
                <w:sz w:val="18"/>
                <w:szCs w:val="18"/>
                <w:u w:val="single" w:color="auto"/>
                <w:color w:val="0000FF"/>
                <w:w w:val="87"/>
              </w:rPr>
            </w:pPr>
            <w:hyperlink w:anchor="page173">
              <w:r>
                <w:rPr>
                  <w:rFonts w:ascii="Arial" w:cs="Arial" w:eastAsia="Arial" w:hAnsi="Arial"/>
                  <w:sz w:val="18"/>
                  <w:szCs w:val="18"/>
                  <w:u w:val="single" w:color="auto"/>
                  <w:color w:val="0000FF"/>
                  <w:w w:val="87"/>
                </w:rPr>
                <w:t>16.</w:t>
              </w:r>
            </w:hyperlink>
          </w:p>
        </w:tc>
        <w:tc>
          <w:tcPr>
            <w:tcW w:w="9880" w:type="dxa"/>
            <w:vAlign w:val="bottom"/>
            <w:gridSpan w:val="4"/>
          </w:tcPr>
          <w:p>
            <w:pPr>
              <w:ind w:left="40"/>
              <w:spacing w:after="0"/>
              <w:rPr>
                <w:rFonts w:ascii="Arial" w:cs="Arial" w:eastAsia="Arial" w:hAnsi="Arial"/>
                <w:sz w:val="18"/>
                <w:szCs w:val="18"/>
                <w:u w:val="single" w:color="auto"/>
                <w:color w:val="0000FF"/>
              </w:rPr>
            </w:pPr>
            <w:hyperlink w:anchor="page173">
              <w:r>
                <w:rPr>
                  <w:rFonts w:ascii="Arial" w:cs="Arial" w:eastAsia="Arial" w:hAnsi="Arial"/>
                  <w:sz w:val="18"/>
                  <w:szCs w:val="18"/>
                  <w:u w:val="single" w:color="auto"/>
                  <w:color w:val="0000FF"/>
                </w:rPr>
                <w:t>Major Customers and Concentration of Credit Risk</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73">
              <w:r>
                <w:rPr>
                  <w:rFonts w:ascii="Arial" w:cs="Arial" w:eastAsia="Arial" w:hAnsi="Arial"/>
                  <w:sz w:val="18"/>
                  <w:szCs w:val="18"/>
                  <w:color w:val="0000FF"/>
                  <w:w w:val="86"/>
                </w:rPr>
                <w:t>F-53</w:t>
              </w:r>
            </w:hyperlink>
          </w:p>
        </w:tc>
        <w:tc>
          <w:tcPr>
            <w:tcW w:w="0" w:type="dxa"/>
            <w:vAlign w:val="bottom"/>
          </w:tcPr>
          <w:p>
            <w:pPr>
              <w:spacing w:after="0"/>
              <w:rPr>
                <w:sz w:val="1"/>
                <w:szCs w:val="1"/>
                <w:color w:val="auto"/>
              </w:rPr>
            </w:pPr>
          </w:p>
        </w:tc>
      </w:tr>
      <w:tr>
        <w:trPr>
          <w:trHeight w:val="210"/>
        </w:trPr>
        <w:tc>
          <w:tcPr>
            <w:tcW w:w="360" w:type="dxa"/>
            <w:vAlign w:val="bottom"/>
            <w:gridSpan w:val="2"/>
          </w:tcPr>
          <w:p>
            <w:pPr>
              <w:ind w:left="120"/>
              <w:spacing w:after="0"/>
              <w:rPr>
                <w:rFonts w:ascii="Arial" w:cs="Arial" w:eastAsia="Arial" w:hAnsi="Arial"/>
                <w:sz w:val="18"/>
                <w:szCs w:val="18"/>
                <w:u w:val="single" w:color="auto"/>
                <w:color w:val="0000FF"/>
                <w:w w:val="87"/>
              </w:rPr>
            </w:pPr>
            <w:hyperlink w:anchor="page173">
              <w:r>
                <w:rPr>
                  <w:rFonts w:ascii="Arial" w:cs="Arial" w:eastAsia="Arial" w:hAnsi="Arial"/>
                  <w:sz w:val="18"/>
                  <w:szCs w:val="18"/>
                  <w:u w:val="single" w:color="auto"/>
                  <w:color w:val="0000FF"/>
                  <w:w w:val="87"/>
                </w:rPr>
                <w:t>17.</w:t>
              </w:r>
            </w:hyperlink>
          </w:p>
        </w:tc>
        <w:tc>
          <w:tcPr>
            <w:tcW w:w="9880" w:type="dxa"/>
            <w:vAlign w:val="bottom"/>
            <w:gridSpan w:val="4"/>
          </w:tcPr>
          <w:p>
            <w:pPr>
              <w:ind w:left="40"/>
              <w:spacing w:after="0"/>
              <w:rPr>
                <w:rFonts w:ascii="Arial" w:cs="Arial" w:eastAsia="Arial" w:hAnsi="Arial"/>
                <w:sz w:val="18"/>
                <w:szCs w:val="18"/>
                <w:u w:val="single" w:color="auto"/>
                <w:color w:val="0000FF"/>
              </w:rPr>
            </w:pPr>
            <w:hyperlink w:anchor="page173">
              <w:r>
                <w:rPr>
                  <w:rFonts w:ascii="Arial" w:cs="Arial" w:eastAsia="Arial" w:hAnsi="Arial"/>
                  <w:sz w:val="18"/>
                  <w:szCs w:val="18"/>
                  <w:u w:val="single" w:color="auto"/>
                  <w:color w:val="0000FF"/>
                </w:rPr>
                <w:t>Related Party Transactions</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73">
              <w:r>
                <w:rPr>
                  <w:rFonts w:ascii="Arial" w:cs="Arial" w:eastAsia="Arial" w:hAnsi="Arial"/>
                  <w:sz w:val="18"/>
                  <w:szCs w:val="18"/>
                  <w:color w:val="0000FF"/>
                  <w:w w:val="86"/>
                </w:rPr>
                <w:t>F-53</w:t>
              </w:r>
            </w:hyperlink>
          </w:p>
        </w:tc>
        <w:tc>
          <w:tcPr>
            <w:tcW w:w="0" w:type="dxa"/>
            <w:vAlign w:val="bottom"/>
          </w:tcPr>
          <w:p>
            <w:pPr>
              <w:spacing w:after="0"/>
              <w:rPr>
                <w:sz w:val="1"/>
                <w:szCs w:val="1"/>
                <w:color w:val="auto"/>
              </w:rPr>
            </w:pPr>
          </w:p>
        </w:tc>
      </w:tr>
      <w:tr>
        <w:trPr>
          <w:trHeight w:val="210"/>
        </w:trPr>
        <w:tc>
          <w:tcPr>
            <w:tcW w:w="360" w:type="dxa"/>
            <w:vAlign w:val="bottom"/>
            <w:gridSpan w:val="2"/>
          </w:tcPr>
          <w:p>
            <w:pPr>
              <w:ind w:left="120"/>
              <w:spacing w:after="0"/>
              <w:rPr>
                <w:rFonts w:ascii="Arial" w:cs="Arial" w:eastAsia="Arial" w:hAnsi="Arial"/>
                <w:sz w:val="18"/>
                <w:szCs w:val="18"/>
                <w:u w:val="single" w:color="auto"/>
                <w:color w:val="0000FF"/>
                <w:w w:val="87"/>
              </w:rPr>
            </w:pPr>
            <w:hyperlink w:anchor="page175">
              <w:r>
                <w:rPr>
                  <w:rFonts w:ascii="Arial" w:cs="Arial" w:eastAsia="Arial" w:hAnsi="Arial"/>
                  <w:sz w:val="18"/>
                  <w:szCs w:val="18"/>
                  <w:u w:val="single" w:color="auto"/>
                  <w:color w:val="0000FF"/>
                  <w:w w:val="87"/>
                </w:rPr>
                <w:t>18.</w:t>
              </w:r>
            </w:hyperlink>
          </w:p>
        </w:tc>
        <w:tc>
          <w:tcPr>
            <w:tcW w:w="9880" w:type="dxa"/>
            <w:vAlign w:val="bottom"/>
            <w:gridSpan w:val="4"/>
          </w:tcPr>
          <w:p>
            <w:pPr>
              <w:ind w:left="40"/>
              <w:spacing w:after="0"/>
              <w:rPr>
                <w:rFonts w:ascii="Arial" w:cs="Arial" w:eastAsia="Arial" w:hAnsi="Arial"/>
                <w:sz w:val="18"/>
                <w:szCs w:val="18"/>
                <w:u w:val="single" w:color="auto"/>
                <w:color w:val="0000FF"/>
              </w:rPr>
            </w:pPr>
            <w:hyperlink w:anchor="page175">
              <w:r>
                <w:rPr>
                  <w:rFonts w:ascii="Arial" w:cs="Arial" w:eastAsia="Arial" w:hAnsi="Arial"/>
                  <w:sz w:val="18"/>
                  <w:szCs w:val="18"/>
                  <w:u w:val="single" w:color="auto"/>
                  <w:color w:val="0000FF"/>
                </w:rPr>
                <w:t>Equity-Indexed Compensation Plans</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75">
              <w:r>
                <w:rPr>
                  <w:rFonts w:ascii="Arial" w:cs="Arial" w:eastAsia="Arial" w:hAnsi="Arial"/>
                  <w:sz w:val="18"/>
                  <w:szCs w:val="18"/>
                  <w:color w:val="0000FF"/>
                  <w:w w:val="86"/>
                </w:rPr>
                <w:t>F-55</w:t>
              </w:r>
            </w:hyperlink>
          </w:p>
        </w:tc>
        <w:tc>
          <w:tcPr>
            <w:tcW w:w="0" w:type="dxa"/>
            <w:vAlign w:val="bottom"/>
          </w:tcPr>
          <w:p>
            <w:pPr>
              <w:spacing w:after="0"/>
              <w:rPr>
                <w:sz w:val="1"/>
                <w:szCs w:val="1"/>
                <w:color w:val="auto"/>
              </w:rPr>
            </w:pPr>
          </w:p>
        </w:tc>
      </w:tr>
      <w:tr>
        <w:trPr>
          <w:trHeight w:val="210"/>
        </w:trPr>
        <w:tc>
          <w:tcPr>
            <w:tcW w:w="360" w:type="dxa"/>
            <w:vAlign w:val="bottom"/>
            <w:gridSpan w:val="2"/>
          </w:tcPr>
          <w:p>
            <w:pPr>
              <w:ind w:left="120"/>
              <w:spacing w:after="0"/>
              <w:rPr>
                <w:rFonts w:ascii="Arial" w:cs="Arial" w:eastAsia="Arial" w:hAnsi="Arial"/>
                <w:sz w:val="18"/>
                <w:szCs w:val="18"/>
                <w:u w:val="single" w:color="auto"/>
                <w:color w:val="0000FF"/>
                <w:w w:val="87"/>
              </w:rPr>
            </w:pPr>
            <w:hyperlink w:anchor="page176">
              <w:r>
                <w:rPr>
                  <w:rFonts w:ascii="Arial" w:cs="Arial" w:eastAsia="Arial" w:hAnsi="Arial"/>
                  <w:sz w:val="18"/>
                  <w:szCs w:val="18"/>
                  <w:u w:val="single" w:color="auto"/>
                  <w:color w:val="0000FF"/>
                  <w:w w:val="87"/>
                </w:rPr>
                <w:t>19.</w:t>
              </w:r>
            </w:hyperlink>
          </w:p>
        </w:tc>
        <w:tc>
          <w:tcPr>
            <w:tcW w:w="9880" w:type="dxa"/>
            <w:vAlign w:val="bottom"/>
            <w:gridSpan w:val="4"/>
          </w:tcPr>
          <w:p>
            <w:pPr>
              <w:ind w:left="40"/>
              <w:spacing w:after="0"/>
              <w:rPr>
                <w:rFonts w:ascii="Arial" w:cs="Arial" w:eastAsia="Arial" w:hAnsi="Arial"/>
                <w:sz w:val="18"/>
                <w:szCs w:val="18"/>
                <w:u w:val="single" w:color="auto"/>
                <w:color w:val="0000FF"/>
              </w:rPr>
            </w:pPr>
            <w:hyperlink w:anchor="page176">
              <w:r>
                <w:rPr>
                  <w:rFonts w:ascii="Arial" w:cs="Arial" w:eastAsia="Arial" w:hAnsi="Arial"/>
                  <w:sz w:val="18"/>
                  <w:szCs w:val="18"/>
                  <w:u w:val="single" w:color="auto"/>
                  <w:color w:val="0000FF"/>
                </w:rPr>
                <w:t>Commitments and Contingencies</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76">
              <w:r>
                <w:rPr>
                  <w:rFonts w:ascii="Arial" w:cs="Arial" w:eastAsia="Arial" w:hAnsi="Arial"/>
                  <w:sz w:val="18"/>
                  <w:szCs w:val="18"/>
                  <w:color w:val="0000FF"/>
                  <w:w w:val="86"/>
                </w:rPr>
                <w:t>F-56</w:t>
              </w:r>
            </w:hyperlink>
          </w:p>
        </w:tc>
        <w:tc>
          <w:tcPr>
            <w:tcW w:w="0" w:type="dxa"/>
            <w:vAlign w:val="bottom"/>
          </w:tcPr>
          <w:p>
            <w:pPr>
              <w:spacing w:after="0"/>
              <w:rPr>
                <w:sz w:val="1"/>
                <w:szCs w:val="1"/>
                <w:color w:val="auto"/>
              </w:rPr>
            </w:pPr>
          </w:p>
        </w:tc>
      </w:tr>
      <w:tr>
        <w:trPr>
          <w:trHeight w:val="209"/>
        </w:trPr>
        <w:tc>
          <w:tcPr>
            <w:tcW w:w="360" w:type="dxa"/>
            <w:vAlign w:val="bottom"/>
            <w:gridSpan w:val="2"/>
          </w:tcPr>
          <w:p>
            <w:pPr>
              <w:ind w:left="120"/>
              <w:spacing w:after="0"/>
              <w:rPr>
                <w:rFonts w:ascii="Arial" w:cs="Arial" w:eastAsia="Arial" w:hAnsi="Arial"/>
                <w:sz w:val="18"/>
                <w:szCs w:val="18"/>
                <w:u w:val="single" w:color="auto"/>
                <w:color w:val="0000FF"/>
                <w:w w:val="87"/>
              </w:rPr>
            </w:pPr>
            <w:hyperlink w:anchor="page181">
              <w:r>
                <w:rPr>
                  <w:rFonts w:ascii="Arial" w:cs="Arial" w:eastAsia="Arial" w:hAnsi="Arial"/>
                  <w:sz w:val="18"/>
                  <w:szCs w:val="18"/>
                  <w:u w:val="single" w:color="auto"/>
                  <w:color w:val="0000FF"/>
                  <w:w w:val="87"/>
                </w:rPr>
                <w:t>20.</w:t>
              </w:r>
            </w:hyperlink>
          </w:p>
        </w:tc>
        <w:tc>
          <w:tcPr>
            <w:tcW w:w="9880" w:type="dxa"/>
            <w:vAlign w:val="bottom"/>
            <w:gridSpan w:val="4"/>
          </w:tcPr>
          <w:p>
            <w:pPr>
              <w:ind w:left="40"/>
              <w:spacing w:after="0"/>
              <w:rPr>
                <w:rFonts w:ascii="Arial" w:cs="Arial" w:eastAsia="Arial" w:hAnsi="Arial"/>
                <w:sz w:val="18"/>
                <w:szCs w:val="18"/>
                <w:u w:val="single" w:color="auto"/>
                <w:color w:val="0000FF"/>
              </w:rPr>
            </w:pPr>
            <w:hyperlink w:anchor="page181">
              <w:r>
                <w:rPr>
                  <w:rFonts w:ascii="Arial" w:cs="Arial" w:eastAsia="Arial" w:hAnsi="Arial"/>
                  <w:sz w:val="18"/>
                  <w:szCs w:val="18"/>
                  <w:u w:val="single" w:color="auto"/>
                  <w:color w:val="0000FF"/>
                </w:rPr>
                <w:t>Quarterly Financial Data (Unaudited)</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81">
              <w:r>
                <w:rPr>
                  <w:rFonts w:ascii="Arial" w:cs="Arial" w:eastAsia="Arial" w:hAnsi="Arial"/>
                  <w:sz w:val="18"/>
                  <w:szCs w:val="18"/>
                  <w:color w:val="0000FF"/>
                  <w:w w:val="86"/>
                </w:rPr>
                <w:t>F-62</w:t>
              </w:r>
            </w:hyperlink>
          </w:p>
        </w:tc>
        <w:tc>
          <w:tcPr>
            <w:tcW w:w="0" w:type="dxa"/>
            <w:vAlign w:val="bottom"/>
          </w:tcPr>
          <w:p>
            <w:pPr>
              <w:spacing w:after="0"/>
              <w:rPr>
                <w:sz w:val="1"/>
                <w:szCs w:val="1"/>
                <w:color w:val="auto"/>
              </w:rPr>
            </w:pPr>
          </w:p>
        </w:tc>
      </w:tr>
      <w:tr>
        <w:trPr>
          <w:trHeight w:val="210"/>
        </w:trPr>
        <w:tc>
          <w:tcPr>
            <w:tcW w:w="360" w:type="dxa"/>
            <w:vAlign w:val="bottom"/>
            <w:gridSpan w:val="2"/>
          </w:tcPr>
          <w:p>
            <w:pPr>
              <w:ind w:left="120"/>
              <w:spacing w:after="0"/>
              <w:rPr>
                <w:rFonts w:ascii="Arial" w:cs="Arial" w:eastAsia="Arial" w:hAnsi="Arial"/>
                <w:sz w:val="18"/>
                <w:szCs w:val="18"/>
                <w:u w:val="single" w:color="auto"/>
                <w:color w:val="0000FF"/>
                <w:w w:val="87"/>
              </w:rPr>
            </w:pPr>
            <w:hyperlink w:anchor="page182">
              <w:r>
                <w:rPr>
                  <w:rFonts w:ascii="Arial" w:cs="Arial" w:eastAsia="Arial" w:hAnsi="Arial"/>
                  <w:sz w:val="18"/>
                  <w:szCs w:val="18"/>
                  <w:u w:val="single" w:color="auto"/>
                  <w:color w:val="0000FF"/>
                  <w:w w:val="87"/>
                </w:rPr>
                <w:t>21.</w:t>
              </w:r>
            </w:hyperlink>
          </w:p>
        </w:tc>
        <w:tc>
          <w:tcPr>
            <w:tcW w:w="9880" w:type="dxa"/>
            <w:vAlign w:val="bottom"/>
            <w:gridSpan w:val="4"/>
          </w:tcPr>
          <w:p>
            <w:pPr>
              <w:ind w:left="40"/>
              <w:spacing w:after="0"/>
              <w:rPr>
                <w:rFonts w:ascii="Arial" w:cs="Arial" w:eastAsia="Arial" w:hAnsi="Arial"/>
                <w:sz w:val="18"/>
                <w:szCs w:val="18"/>
                <w:u w:val="single" w:color="auto"/>
                <w:color w:val="0000FF"/>
              </w:rPr>
            </w:pPr>
            <w:hyperlink w:anchor="page182">
              <w:r>
                <w:rPr>
                  <w:rFonts w:ascii="Arial" w:cs="Arial" w:eastAsia="Arial" w:hAnsi="Arial"/>
                  <w:sz w:val="18"/>
                  <w:szCs w:val="18"/>
                  <w:u w:val="single" w:color="auto"/>
                  <w:color w:val="0000FF"/>
                </w:rPr>
                <w:t>Operating Segments</w:t>
              </w:r>
            </w:hyperlink>
          </w:p>
        </w:tc>
        <w:tc>
          <w:tcPr>
            <w:tcW w:w="580" w:type="dxa"/>
            <w:vAlign w:val="bottom"/>
          </w:tcPr>
          <w:p>
            <w:pPr>
              <w:spacing w:after="0"/>
              <w:rPr>
                <w:sz w:val="18"/>
                <w:szCs w:val="18"/>
                <w:color w:val="auto"/>
              </w:rPr>
            </w:pPr>
          </w:p>
        </w:tc>
        <w:tc>
          <w:tcPr>
            <w:tcW w:w="360" w:type="dxa"/>
            <w:vAlign w:val="bottom"/>
            <w:tcBorders>
              <w:bottom w:val="single" w:sz="8" w:color="0000FF"/>
            </w:tcBorders>
            <w:gridSpan w:val="3"/>
          </w:tcPr>
          <w:p>
            <w:pPr>
              <w:jc w:val="right"/>
              <w:ind w:right="20"/>
              <w:spacing w:after="0"/>
              <w:rPr>
                <w:rFonts w:ascii="Arial" w:cs="Arial" w:eastAsia="Arial" w:hAnsi="Arial"/>
                <w:sz w:val="18"/>
                <w:szCs w:val="18"/>
                <w:color w:val="0000FF"/>
                <w:w w:val="86"/>
              </w:rPr>
            </w:pPr>
            <w:hyperlink w:anchor="page182">
              <w:r>
                <w:rPr>
                  <w:rFonts w:ascii="Arial" w:cs="Arial" w:eastAsia="Arial" w:hAnsi="Arial"/>
                  <w:sz w:val="18"/>
                  <w:szCs w:val="18"/>
                  <w:color w:val="0000FF"/>
                  <w:w w:val="86"/>
                </w:rPr>
                <w:t>F-63</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21" w:name="page122"/>
    <w:bookmarkEnd w:id="1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9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2020.</w:t>
      </w:r>
    </w:p>
    <w:p>
      <w:pPr>
        <w:spacing w:after="0" w:line="214" w:lineRule="exact"/>
        <w:rPr>
          <w:sz w:val="20"/>
          <w:szCs w:val="20"/>
          <w:color w:val="auto"/>
        </w:rPr>
      </w:pPr>
    </w:p>
    <w:p>
      <w:pPr>
        <w:jc w:val="both"/>
        <w:ind w:right="166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2020 has been audited by PricewaterhouseCoopers LLP, an independent registered public accounting firm, as stated in their report which appears on Page F-3.</w:t>
      </w:r>
    </w:p>
    <w:p>
      <w:pPr>
        <w:spacing w:after="0" w:line="16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34632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Chief Executive Officer of Plains All American GP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Executive Officer)</w:t>
      </w:r>
    </w:p>
    <w:p>
      <w:pPr>
        <w:spacing w:after="0" w:line="27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34632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80">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 Swanson</w:t>
      </w:r>
    </w:p>
    <w:p>
      <w:pPr>
        <w:spacing w:after="0" w:line="7"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Executive Vice President and Chief Financial Officer of Plains All</w:t>
      </w:r>
    </w:p>
    <w:p>
      <w:pPr>
        <w:ind w:left="5780"/>
        <w:spacing w:after="0"/>
        <w:rPr>
          <w:sz w:val="20"/>
          <w:szCs w:val="20"/>
          <w:color w:val="auto"/>
        </w:rPr>
      </w:pPr>
      <w:r>
        <w:rPr>
          <w:rFonts w:ascii="Arial" w:cs="Arial" w:eastAsia="Arial" w:hAnsi="Arial"/>
          <w:sz w:val="18"/>
          <w:szCs w:val="18"/>
          <w:i w:val="1"/>
          <w:iCs w:val="1"/>
          <w:color w:val="auto"/>
        </w:rPr>
        <w:t>American GP LLC</w:t>
      </w:r>
    </w:p>
    <w:p>
      <w:pPr>
        <w:spacing w:after="0" w:line="7"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Financial Officer)</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2" w:name="page123"/>
    <w:bookmarkEnd w:id="1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3440"/>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PAA GP Holdings LLC and Unitholders of Plains All American Pipeline,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Plains All American Pipeline, L.P. and its subsidiaries (the “Partnership”) as of December 31, 2020 and 2019, and the related consolidated statements of operations, of comprehensive income/(loss), of changes in accumulated other comprehensive income/(loss), of changes in partners' capital and of cash flows for each of the three years in the period ended December 31, 2020, including the related notes (collectively referred to as the “consolidated financial statements”). We also have audited the Partnership's internal control over financial reporting as of December 31, 2020, based on criteria established in Internal Control - Integrated Framework (2013) issued by the Committee of Sponsoring Organizations of the Treadway Commission (COSO).</w:t>
      </w:r>
    </w:p>
    <w:p>
      <w:pPr>
        <w:spacing w:after="0" w:line="21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Partnership as of December 31, 2020 and 2019, and the results of its operations and its cash flows for each of the three years in the period ended December 31, 2020 in conformity with accounting principles generally accepted in the United States of America. Also in our opinion, the Partnership maintained, in all material respects, effective internal control over financial reporting as of December 31, 2020, based on criteria established in Internal Control - Integrated Framework (2013)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3" w:name="page124"/>
    <w:bookmarkEnd w:id="1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described in Note 8 to the consolidated financial statements, goodwill is tested for impairment at a level of reporting referred to as a reporting unit. A reporting unit is an operating segment or one level below an operating segment for which discrete financial information is available and regularly reviewed by segment management. Management tests goodwill to determine whether an impairment has occurred at least annually (as of June 30) and on an interim basis if it is more likely than not that a reporting unit’s fair value is less than its carrying value. During the first quarter of 2020, the Partnership’s market capitalization declined significantly driven by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that resulted in expected decreases in future cash flows for certain assets, which was a triggering event that required management to perform a quantitative impairment test as of March 31, 2020. As a result of this quantitative impairment test as of March 31, 2020, the Partnership recorded an impairment loss of $2,515 million and the consolidated goodwill balance was $0 as of December 31, 2020. In the quantitative test, management compares the fair value of the reporting unit with the respective book values, including goodwill, by using an income approach based on a discounted cash flow model. This approach requires management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w:t>
      </w:r>
    </w:p>
    <w:p>
      <w:pPr>
        <w:spacing w:after="0" w:line="20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assessment of the Partnership’s reporting units is a critical audit matter are (i) the significant judgment by management when developing the fair value measurement of the reporting units;</w:t>
      </w:r>
    </w:p>
    <w:p>
      <w:pPr>
        <w:ind w:right="200" w:firstLine="8"/>
        <w:spacing w:after="0" w:line="290" w:lineRule="auto"/>
        <w:tabs>
          <w:tab w:leader="none" w:pos="265"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high degree of auditor judgment, subjectivity, and effort in performing procedures and evaluating management’s significant assumptions relating to the weighted average cost of capital; and (iii) the audit effort involved the use of professionals with specialized skill and knowledge.</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reporting units. These procedures also included among others (i) testing management’s process for developing the fair value estimates; (ii) evaluating the appropriateness of the discounted cash flow models; (iii) testing the completeness and accuracy of underlying data used in the models; and (iv) evaluating the reasonableness of the weighted average cost of capital assumptions used by management. Professionals with specialized skill and knowledge were used to assist in evaluating the appropriateness of the discounted cash flow models and evaluating the reasonableness of the weighted average cost of capital assumption.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24" w:name="page125"/>
    <w:bookmarkEnd w:id="1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Assessment of Certain Pipeline Assets in the Transportation Segment</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As described in Note 6 to the consolidated financial statements, the Partnership’s consolidated net property, plant and equipment balance was $14,611 million as of December 31, 2020. Management periodically evaluates property and equipment and other long-lived assets for impairment when events or circumstances indicate that the carrying value of these assets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 The subjective assumptions used to determine the existence of an impairment in carrying value include whether there is an indication of impairment, the grouping of assets, the intention of “holding”, “abandoning” or “selling” an asset, the forecast of undiscounted expected future cash flow over the asset’s estimated useful life and, if an impairment exists, the fair value of the asset or asset group. During the year ended December 31, 2020, the macroeconomic and geopolitical conditions,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assets, which was a triggering event that required management to assess the recoverability of the Partnership’s carrying value of such long-lived assets. As a result, management recognized approximately $541 million of non-cash impairment losses of which approximately $415 million was associated with certain pipeline assets in the Transportation segment located in the Central region. The evaluation is highly dependent on management’s key assumptions relating to the cash flows, including (i) future commodity volumes, (ii) tariff rates, (iii) future commodity prices, and (iv) estimated fixed and variable costs.</w:t>
      </w:r>
    </w:p>
    <w:p>
      <w:pPr>
        <w:spacing w:after="0" w:line="2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impairment assessment of certain pipeline assets included in the Transportation segment is a critical audit matter are (i) the significant judgment by management when developing the fair value measurement of these assets due to the forecasted cash flows; (ii) a high degree of auditor judgment, subjectivity and effort in performing procedures and evaluating management’s significant assumption related to future commodity volumes; and (iii) the audit effort involved the use of professionals with specialized skill and knowledge.</w:t>
      </w:r>
    </w:p>
    <w:p>
      <w:pPr>
        <w:spacing w:after="0" w:line="2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impairment assessment of pipeline assets, including controls over management’s process to estimate fair value associated with certain pipeline assets included in the Transportation segment located in the Central region. These procedures also included, among others (i) testing management’s process for developing the fair value of certain pipeline assets in the Transportation segment located in the Central region; (ii) evaluating the appropriateness of the discounted cash flow models; (iii) testing the completeness and accuracy of underlying data used in the models; and (iv) evaluating the reasonableness of significant assumptions used by management related to future commodity volumes. Evaluating management’s assumptions related to future commodity volumes involved evaluating whether the assumptions used by management were reasonable considering (i) the current and past performance of the asset groups; (ii) the consistency with external market and industry data; and (iii) whether these assumptions were consistent with evidence obtained in other areas of the audit. Professionals with specialized skill and knowledge were used to assist in evaluating the appropriateness of the discounted cash flow models.</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Partnership’s auditor since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5" w:name="page126"/>
    <w:bookmarkEnd w:id="1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unit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2019</w:t>
            </w:r>
          </w:p>
        </w:tc>
      </w:tr>
      <w:tr>
        <w:trPr>
          <w:trHeight w:val="215"/>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03"/>
        </w:trPr>
        <w:tc>
          <w:tcPr>
            <w:tcW w:w="8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Trade accounts receivable and other receivables, net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3,614</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29"/>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r>
      <w:tr>
        <w:trPr>
          <w:trHeight w:val="142"/>
        </w:trPr>
        <w:tc>
          <w:tcPr>
            <w:tcW w:w="8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18,948</w:t>
            </w:r>
          </w:p>
        </w:tc>
      </w:tr>
      <w:tr>
        <w:trPr>
          <w:trHeight w:val="229"/>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15,355</w:t>
            </w:r>
          </w:p>
        </w:tc>
      </w:tr>
      <w:tr>
        <w:trPr>
          <w:trHeight w:val="142"/>
        </w:trPr>
        <w:tc>
          <w:tcPr>
            <w:tcW w:w="8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3,683</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Linefill and base gas</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right-of-use assets, net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Long-term inventory</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8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LIABILITIES AND PARTNERS’ CAPITAL</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62"/>
        </w:trPr>
        <w:tc>
          <w:tcPr>
            <w:tcW w:w="8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Short-term debt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23"/>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w:t>
            </w:r>
          </w:p>
        </w:tc>
      </w:tr>
      <w:tr>
        <w:trPr>
          <w:trHeight w:val="142"/>
        </w:trPr>
        <w:tc>
          <w:tcPr>
            <w:tcW w:w="8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9"/>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10,465</w:t>
            </w:r>
          </w:p>
        </w:tc>
      </w:tr>
      <w:tr>
        <w:trPr>
          <w:trHeight w:val="142"/>
        </w:trPr>
        <w:tc>
          <w:tcPr>
            <w:tcW w:w="8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19)</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62"/>
        </w:trPr>
        <w:tc>
          <w:tcPr>
            <w:tcW w:w="8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Series A preferred unitholders (71,090,468 and 71,090,468 units outstanding, respectively)</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preferred unitholders (800,000 and 800,000 units outstanding, respectively)</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unitholders (722,380,416 and 728,028,576 units outstanding, respectively)</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partners’ capital excluding noncontrolling interests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w:t>
            </w:r>
          </w:p>
        </w:tc>
      </w:tr>
      <w:tr>
        <w:trPr>
          <w:trHeight w:val="229"/>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partners’ capital</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Total liabilities and partners’ capital</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r>
      <w:tr>
        <w:trPr>
          <w:trHeight w:val="20"/>
        </w:trPr>
        <w:tc>
          <w:tcPr>
            <w:tcW w:w="8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126" w:name="page127"/>
    <w:bookmarkEnd w:id="1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per unit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7"/>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11"/>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22,058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32,272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32,819</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revenues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23"/>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34,055</w:t>
            </w:r>
          </w:p>
        </w:tc>
      </w:tr>
      <w:tr>
        <w:trPr>
          <w:trHeight w:val="216"/>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29,793</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 (Note 6, Note 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 losses (Note 8)</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6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31,778</w:t>
            </w:r>
          </w:p>
        </w:tc>
      </w:tr>
      <w:tr>
        <w:trPr>
          <w:trHeight w:val="256"/>
        </w:trPr>
        <w:tc>
          <w:tcPr>
            <w:tcW w:w="7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2,277</w:t>
            </w:r>
          </w:p>
        </w:tc>
      </w:tr>
      <w:tr>
        <w:trPr>
          <w:trHeight w:val="216"/>
        </w:trPr>
        <w:tc>
          <w:tcPr>
            <w:tcW w:w="7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 (Note 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capitalized interest of $24, $34 and $30, respectively)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36"/>
        </w:trPr>
        <w:tc>
          <w:tcPr>
            <w:tcW w:w="7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2,414</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36"/>
        </w:trPr>
        <w:tc>
          <w:tcPr>
            <w:tcW w:w="7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7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NET INCOME/(LOSS) PER COMMON UNIT (NOTE 4):</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allocated to common unitholders — 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55"/>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allocated to common unitholders —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55"/>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27" w:name="page128"/>
    <w:bookmarkEnd w:id="1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left="380" w:right="2520"/>
        <w:spacing w:after="0" w:line="266" w:lineRule="auto"/>
        <w:rPr>
          <w:sz w:val="20"/>
          <w:szCs w:val="20"/>
          <w:color w:val="auto"/>
        </w:rPr>
      </w:pPr>
      <w:r>
        <w:rPr>
          <w:rFonts w:ascii="Arial" w:cs="Arial" w:eastAsia="Arial" w:hAnsi="Arial"/>
          <w:sz w:val="18"/>
          <w:szCs w:val="18"/>
          <w:b w:val="1"/>
          <w:bCs w:val="1"/>
          <w:color w:val="auto"/>
        </w:rPr>
        <w:t>PLAINS ALL AMERICAN PIPELINE, L.P. AND SUBSIDIARIES CONSOLIDATED STATEMENTS OF COMPREHENSIVE INCOME/(LOSS)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7"/>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income/(loss)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30"/>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8" w:lineRule="exact"/>
        <w:rPr>
          <w:sz w:val="20"/>
          <w:szCs w:val="20"/>
          <w:color w:val="auto"/>
        </w:rPr>
      </w:pPr>
    </w:p>
    <w:p>
      <w:pPr>
        <w:jc w:val="center"/>
        <w:ind w:left="380" w:right="2740"/>
        <w:spacing w:after="0" w:line="261" w:lineRule="auto"/>
        <w:rPr>
          <w:sz w:val="20"/>
          <w:szCs w:val="20"/>
          <w:color w:val="auto"/>
        </w:rPr>
      </w:pPr>
      <w:r>
        <w:rPr>
          <w:rFonts w:ascii="Arial" w:cs="Arial" w:eastAsia="Arial" w:hAnsi="Arial"/>
          <w:sz w:val="18"/>
          <w:szCs w:val="18"/>
          <w:b w:val="1"/>
          <w:bCs w:val="1"/>
          <w:color w:val="auto"/>
        </w:rPr>
        <w:t>PLAINS ALL AMERICAN PIPELINE, L.P. AND SUBSIDIARIES CONSOLIDATED STATEMENTS OF CHANGES IN ACCUMULATED OTHER COMPREHENSIVE INCOME/(LOSS)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Unrealized gain on hedges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2018 Activity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Reclassification adjustments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hedges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2019 Activity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Reclassification adjustments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hedges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2020 Activity</w:t>
            </w: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28" w:name="page129"/>
    <w:bookmarkEnd w:id="1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87"/>
        </w:trPr>
        <w:tc>
          <w:tcPr>
            <w:tcW w:w="7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197"/>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Net income/(loss)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(2,580)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2,216</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net income/(loss) to net cash provided by operating activities: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(Gains)/losses on asset sales and asset impairments, net (Note 6, Note 7)</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Goodwill impairment losses (Note 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Equity-indexed compensation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Inventory valuation adjustments (Note 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expense/(benefit)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Settlement of terminated interest rate hedging instruments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earnings in unconsolidated entities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Distributions on earnings from unconsolidated entities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on)/impairment of investments in unconsolidated entities, net (Note 9)</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 net of acquisitions: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680" w:type="dxa"/>
            <w:vAlign w:val="bottom"/>
          </w:tcPr>
          <w:p>
            <w:pPr>
              <w:ind w:left="140"/>
              <w:spacing w:after="0"/>
              <w:rPr>
                <w:sz w:val="20"/>
                <w:szCs w:val="20"/>
                <w:color w:val="auto"/>
              </w:rPr>
            </w:pPr>
            <w:r>
              <w:rPr>
                <w:rFonts w:ascii="Arial" w:cs="Arial" w:eastAsia="Arial" w:hAnsi="Arial"/>
                <w:sz w:val="16"/>
                <w:szCs w:val="16"/>
                <w:color w:val="auto"/>
              </w:rPr>
              <w:t>Trade accounts receivable and other</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Trade accounts payable and other</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r>
      <w:tr>
        <w:trPr>
          <w:trHeight w:val="213"/>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in connection with acquisitions, net of cash acquired (Note 7)</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Investments in unconsolidated entities (Note 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equipment and other</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sales of assets (Note 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1,334</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purchases of linefill and base gas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borrowings/(repayments) under commercial paper program (Note 11)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Net borrowings/(repayments) under senior secured hedged inventory facility (Note 11)</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(778)</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GO Zone term loans (Note 11)</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the issuance of senior notes (Note 11)</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senior notes (Note 11)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Repurchase of common units (Note 12)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paid to Series A preferred unitholders (Note 12)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Distributions paid to Series B preferred unitholders (Note 12)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paid to common unitholders (Note 12)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Sale of noncontrolling interest in a subsidiary (Note 12)</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6"/>
        </w:trPr>
        <w:tc>
          <w:tcPr>
            <w:tcW w:w="7680" w:type="dxa"/>
            <w:vAlign w:val="bottom"/>
          </w:tcPr>
          <w:p>
            <w:pPr>
              <w:ind w:left="3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(1,757)</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translation adjustment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Net increase/(decrease) in cash and cash equivalents and restricted cash</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6"/>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6"/>
        </w:trPr>
        <w:tc>
          <w:tcPr>
            <w:tcW w:w="7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Cash paid for:</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net of amounts capitalized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0"/>
        </w:trPr>
        <w:tc>
          <w:tcPr>
            <w:tcW w:w="7680" w:type="dxa"/>
            <w:vAlign w:val="bottom"/>
          </w:tcPr>
          <w:p>
            <w:pPr>
              <w:ind w:left="140"/>
              <w:spacing w:after="0"/>
              <w:rPr>
                <w:sz w:val="20"/>
                <w:szCs w:val="20"/>
                <w:color w:val="auto"/>
              </w:rPr>
            </w:pPr>
            <w:r>
              <w:rPr>
                <w:rFonts w:ascii="Arial" w:cs="Arial" w:eastAsia="Arial" w:hAnsi="Arial"/>
                <w:sz w:val="16"/>
                <w:szCs w:val="16"/>
                <w:color w:val="auto"/>
              </w:rPr>
              <w:t>Income taxes, net of amounts refunded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r>
    </w:tbl>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29" w:name="page130"/>
    <w:bookmarkEnd w:id="1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left="340" w:right="2580"/>
        <w:spacing w:after="0" w:line="266" w:lineRule="auto"/>
        <w:rPr>
          <w:sz w:val="20"/>
          <w:szCs w:val="20"/>
          <w:color w:val="auto"/>
        </w:rPr>
      </w:pPr>
      <w:r>
        <w:rPr>
          <w:rFonts w:ascii="Arial" w:cs="Arial" w:eastAsia="Arial" w:hAnsi="Arial"/>
          <w:sz w:val="18"/>
          <w:szCs w:val="18"/>
          <w:b w:val="1"/>
          <w:bCs w:val="1"/>
          <w:color w:val="auto"/>
        </w:rPr>
        <w:t>PLAINS ALL AMERICAN PIPELINE, L.P. AND SUBSIDIARIES CONSOLIDATED STATEMENTS OF CHANGES IN PARTNERS’ CAPITAL (in millions)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Limited Partners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Partners’ Capital</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Excluding</w:t>
            </w: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vMerge w:val="restart"/>
          </w:tcPr>
          <w:p>
            <w:pPr>
              <w:jc w:val="center"/>
              <w:ind w:right="93"/>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8"/>
        </w:trPr>
        <w:tc>
          <w:tcPr>
            <w:tcW w:w="3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140" w:type="dxa"/>
            <w:vAlign w:val="bottom"/>
            <w:gridSpan w:val="4"/>
            <w:vMerge w:val="restart"/>
          </w:tcPr>
          <w:p>
            <w:pPr>
              <w:jc w:val="right"/>
              <w:ind w:right="411"/>
              <w:spacing w:after="0"/>
              <w:rPr>
                <w:sz w:val="20"/>
                <w:szCs w:val="20"/>
                <w:color w:val="auto"/>
              </w:rPr>
            </w:pPr>
            <w:r>
              <w:rPr>
                <w:rFonts w:ascii="Arial" w:cs="Arial" w:eastAsia="Arial" w:hAnsi="Arial"/>
                <w:sz w:val="14"/>
                <w:szCs w:val="14"/>
                <w:b w:val="1"/>
                <w:bCs w:val="1"/>
                <w:color w:val="auto"/>
              </w:rPr>
              <w:t>Preferred Unitholders</w:t>
            </w:r>
          </w:p>
        </w:tc>
        <w:tc>
          <w:tcPr>
            <w:tcW w:w="10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Common</w:t>
            </w:r>
          </w:p>
        </w:tc>
        <w:tc>
          <w:tcPr>
            <w:tcW w:w="120" w:type="dxa"/>
            <w:vAlign w:val="bottom"/>
          </w:tcPr>
          <w:p>
            <w:pPr>
              <w:spacing w:after="0"/>
              <w:rPr>
                <w:sz w:val="8"/>
                <w:szCs w:val="8"/>
                <w:color w:val="auto"/>
              </w:rPr>
            </w:pPr>
          </w:p>
        </w:tc>
        <w:tc>
          <w:tcPr>
            <w:tcW w:w="132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Noncontrolling</w:t>
            </w:r>
          </w:p>
        </w:tc>
        <w:tc>
          <w:tcPr>
            <w:tcW w:w="160" w:type="dxa"/>
            <w:vAlign w:val="bottom"/>
          </w:tcPr>
          <w:p>
            <w:pPr>
              <w:spacing w:after="0"/>
              <w:rPr>
                <w:sz w:val="8"/>
                <w:szCs w:val="8"/>
                <w:color w:val="auto"/>
              </w:rPr>
            </w:pPr>
          </w:p>
        </w:tc>
        <w:tc>
          <w:tcPr>
            <w:tcW w:w="128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Noncontrolling</w:t>
            </w:r>
          </w:p>
        </w:tc>
        <w:tc>
          <w:tcPr>
            <w:tcW w:w="180" w:type="dxa"/>
            <w:vAlign w:val="bottom"/>
          </w:tcPr>
          <w:p>
            <w:pPr>
              <w:spacing w:after="0"/>
              <w:rPr>
                <w:sz w:val="8"/>
                <w:szCs w:val="8"/>
                <w:color w:val="auto"/>
              </w:rPr>
            </w:pPr>
          </w:p>
        </w:tc>
        <w:tc>
          <w:tcPr>
            <w:tcW w:w="940" w:type="dxa"/>
            <w:vAlign w:val="bottom"/>
          </w:tcPr>
          <w:p>
            <w:pPr>
              <w:jc w:val="center"/>
              <w:ind w:right="93"/>
              <w:spacing w:after="0" w:line="102" w:lineRule="exact"/>
              <w:rPr>
                <w:sz w:val="20"/>
                <w:szCs w:val="20"/>
                <w:color w:val="auto"/>
              </w:rPr>
            </w:pPr>
            <w:r>
              <w:rPr>
                <w:rFonts w:ascii="Arial" w:cs="Arial" w:eastAsia="Arial" w:hAnsi="Arial"/>
                <w:sz w:val="11"/>
                <w:szCs w:val="11"/>
                <w:b w:val="1"/>
                <w:bCs w:val="1"/>
                <w:color w:val="auto"/>
              </w:rPr>
              <w:t>Partners’</w:t>
            </w:r>
          </w:p>
        </w:tc>
        <w:tc>
          <w:tcPr>
            <w:tcW w:w="0" w:type="dxa"/>
            <w:vAlign w:val="bottom"/>
          </w:tcPr>
          <w:p>
            <w:pPr>
              <w:spacing w:after="0"/>
              <w:rPr>
                <w:sz w:val="1"/>
                <w:szCs w:val="1"/>
                <w:color w:val="auto"/>
              </w:rPr>
            </w:pPr>
          </w:p>
        </w:tc>
      </w:tr>
      <w:tr>
        <w:trPr>
          <w:trHeight w:val="201"/>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Series A</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Series B</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Unitholders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7"/>
                <w:szCs w:val="17"/>
                <w:color w:val="auto"/>
              </w:rPr>
            </w:pPr>
          </w:p>
        </w:tc>
        <w:tc>
          <w:tcPr>
            <w:tcW w:w="94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adoption of ASU 2017-05</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3540" w:type="dxa"/>
            <w:vAlign w:val="bottom"/>
          </w:tcPr>
          <w:p>
            <w:pPr>
              <w:ind w:left="40"/>
              <w:spacing w:after="0"/>
              <w:rPr>
                <w:sz w:val="20"/>
                <w:szCs w:val="20"/>
                <w:color w:val="auto"/>
              </w:rPr>
            </w:pPr>
            <w:r>
              <w:rPr>
                <w:rFonts w:ascii="Arial" w:cs="Arial" w:eastAsia="Arial" w:hAnsi="Arial"/>
                <w:sz w:val="18"/>
                <w:szCs w:val="18"/>
                <w:color w:val="auto"/>
              </w:rPr>
              <w:t>Balance at January 1, 2018</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11,071</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Distributions (Note 12)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(Note 12)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5"/>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w w:val="94"/>
              </w:rPr>
              <w:t>Sale of noncontrolling interest in a subsidiary</w:t>
            </w:r>
          </w:p>
        </w:tc>
        <w:tc>
          <w:tcPr>
            <w:tcW w:w="22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540" w:type="dxa"/>
            <w:vAlign w:val="bottom"/>
          </w:tcPr>
          <w:p>
            <w:pPr>
              <w:ind w:left="300"/>
              <w:spacing w:after="0"/>
              <w:rPr>
                <w:sz w:val="20"/>
                <w:szCs w:val="20"/>
                <w:color w:val="auto"/>
              </w:rPr>
            </w:pPr>
            <w:r>
              <w:rPr>
                <w:rFonts w:ascii="Arial" w:cs="Arial" w:eastAsia="Arial" w:hAnsi="Arial"/>
                <w:sz w:val="18"/>
                <w:szCs w:val="18"/>
                <w:color w:val="auto"/>
              </w:rPr>
              <w:t>(Note 12)</w:t>
            </w:r>
          </w:p>
        </w:tc>
        <w:tc>
          <w:tcPr>
            <w:tcW w:w="2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Net income/(loss)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(Note 12)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Repurchase of common units (Note 12)</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Contributions from noncontrolling interests</w:t>
            </w: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 12)</w:t>
            </w: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crude oil, NGL and natural gas. Our business activities are conducted through three operating segments: Transportation, Facilities and Supply and Logistics. See Note 21 for further discussion of our operating segments.</w:t>
      </w:r>
    </w:p>
    <w:p>
      <w:pPr>
        <w:spacing w:after="0" w:line="20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non-economic general partner interest is held by PAA GP LLC (“PAA GP”), a Delaware limited liability company, whose sole member is Plains AAP, L.P. (“AAP”), a Delaware limited partnership. In addition to its ownership of PAA GP, as of December 31, 2020, AAP also owned a limited partner interest in us through its ownership of approximately 245.8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December 31, 2020, owned an approximate 79% limited partner interest in AAP. PAA GP Holdings LLC (“PAGP GP”) is the general partner of PAGP.</w:t>
      </w:r>
    </w:p>
    <w:p>
      <w:pPr>
        <w:spacing w:after="0" w:line="20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11"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AOCI</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Accumulated other comprehensive income/(loss)</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ASC</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ASU</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Accounting Standards Update</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Bcf</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Billion cubic feet</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CAD</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Canadian dollar</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CODM</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Chief Operating Decision Maker</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DERs</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Distribution equivalent rights</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EBITDA</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w w:val="93"/>
              </w:rPr>
              <w:t>=   Earnings before interest, taxes, depreciation and amortization</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EPA</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United States Environmental Protection Agency</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FASB</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Financial Accounting Standards Board</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GAAP</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w w:val="93"/>
              </w:rPr>
              <w:t>=   Generally accepted accounting principles in the United States</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ICE</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Intercontinental Exchange</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ISDA</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International Swaps and Derivatives Association</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LIBOR</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London Interbank Offered Rate</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LTIP</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Long-term incentive plan</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Mcf</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Thousand cubic feet</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MMbls</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Million barrels</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MLP</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Master limited partnership</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NGL</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w w:val="98"/>
              </w:rPr>
              <w:t>=   Natural gas liquids, including ethane, propane and butane</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NYMEX</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New York Mercantile Exchange</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Oxy</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Occidental Petroleum Corporation or its subsidiaries</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w:t>
            </w:r>
          </w:p>
        </w:tc>
        <w:tc>
          <w:tcPr>
            <w:tcW w:w="5520" w:type="dxa"/>
            <w:vAlign w:val="bottom"/>
            <w:gridSpan w:val="2"/>
          </w:tcPr>
          <w:p>
            <w:pPr>
              <w:ind w:left="700"/>
              <w:spacing w:after="0"/>
              <w:rPr>
                <w:sz w:val="20"/>
                <w:szCs w:val="20"/>
                <w:color w:val="auto"/>
              </w:rPr>
            </w:pPr>
            <w:r>
              <w:rPr>
                <w:rFonts w:ascii="Arial" w:cs="Arial" w:eastAsia="Arial" w:hAnsi="Arial"/>
                <w:sz w:val="18"/>
                <w:szCs w:val="18"/>
                <w:color w:val="auto"/>
              </w:rPr>
              <w:t>=   United States Securities and Exchange Commission</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TWh</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Terawatt hour</w:t>
            </w:r>
          </w:p>
        </w:tc>
      </w:tr>
      <w:tr>
        <w:trPr>
          <w:trHeight w:val="229"/>
        </w:trPr>
        <w:tc>
          <w:tcPr>
            <w:tcW w:w="138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United States</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USD</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United States dollar</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WTI</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West Texas Intermediate</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52"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The accompanying financial statements and related notes present and discuss our consolidated financial position as of December 31, 2020 and 2019, and the consolidated results of our operations, cash flows, changes in partners’ capital, comprehensive income and changes in accumulated other comprehensive income/(loss) for the years ended December 31, 2020, 2019 and 2018. All significant intercompany transactions have been eliminated in consolidation, and certain reclassifications have been made to information from previous years to conform to the current presentation.</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21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During 2020, the novel coronavirus (“COVID-19”) pandemic resulted in a swift and material decline in global crude oil demand, which contributed to an oversupply of crude oil that was exacerbated by increases in production from certain suppliers in the global oil markets. These macroeconomic and industry specific challenges resulted in a number of impairment charges recognized during 2020. See Note 6, Note 8 and Note 9 for further discussion of these impairments.</w:t>
      </w:r>
    </w:p>
    <w:p>
      <w:pPr>
        <w:spacing w:after="0" w:line="21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Many uncertainties remain with respect to COVID-19, including uncertainty regarding the length of time the pandemic will continue, as well as the timing, pace and extent of an economic recovery in the United States, Canada and elsewhere, and how such uncertainties will impact the energy industry and our business. As a result, these matters may affect our estimates and assumptions on amounts reported in the financial statements and accompanying notes in the near 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impairment assessments of goodwill and intangible assets, (iii) fair value of derivatives, (iv) accruals and contingent liabilities, (v) property and equipment, depreciation and amortization expense and asset retirement obligations, (vi) impairment assessments of property and equipment and investments in unconsolidated entities and (vii) inventory valuations. Although we believe these estimates are reasonable, actual results could differ from these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Purchases and related costs include (i) the weighted average cost of crude oil, NGL and natural gas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2020, 2019 and 2018, the revaluation of foreign currency transactions and monetary assets and liabilities resulted in the recognitions of net gains of $16 million, $1 million and $1 million, respectively, in our Consolidated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25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211"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In accordance with our policy, unless they may be covered by funds on deposit, outstanding checks are classified as trade accounts payable rather than negative cash. As of December 31, 2020 and 2019, trade accounts payable included $27 million and $38 million, respectively, of outstanding checks that were reclassified from cash and cash equivalents.</w:t>
      </w:r>
    </w:p>
    <w:p>
      <w:pPr>
        <w:spacing w:after="0" w:line="21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Consolidated Balance Sheets that sum to the total of the amount shown on our Consolidated Statements of Cash Flows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8"/>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cash and cash equivalents and restricted cash</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8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9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8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2020, 2019 and 2018 (in millions):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73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Liabilities incurred</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 settled</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Accretion expense</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Revisions in estimated cash flows</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1"/>
        </w:trPr>
        <w:tc>
          <w:tcPr>
            <w:tcW w:w="7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13 for further discussion.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the respective footnotes for our accounting policies regarding (i) revenues and accounts receivable, (ii) net income/(loss) per common unit,</w:t>
      </w:r>
    </w:p>
    <w:p>
      <w:pPr>
        <w:spacing w:after="0" w:line="46" w:lineRule="exact"/>
        <w:rPr>
          <w:sz w:val="20"/>
          <w:szCs w:val="20"/>
          <w:color w:val="auto"/>
        </w:rPr>
      </w:pPr>
    </w:p>
    <w:p>
      <w:pPr>
        <w:ind w:right="660" w:firstLine="8"/>
        <w:spacing w:after="0" w:line="277" w:lineRule="auto"/>
        <w:tabs>
          <w:tab w:leader="none" w:pos="315"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inventory, linefill and base gas and long-term inventory, (iv) property and equipment, (v) acquisitions, (vi) goodwill, (vii) investments in unconsolidated entities, (viii) other long-term assets, net, (ix) income allocation for partners’ capital presentation purposes, (x) derivatives and risk management activities, (xi) leases, (xii) income taxes, (xiii) equity-indexed compensation and (xiv) legal and environmental matters.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815-40): Accounting for Convertible Instruments and Contracts in an Entity’s Own Equity</w:t>
      </w:r>
      <w:r>
        <w:rPr>
          <w:rFonts w:ascii="Arial" w:cs="Arial" w:eastAsia="Arial" w:hAnsi="Arial"/>
          <w:sz w:val="18"/>
          <w:szCs w:val="18"/>
          <w:color w:val="auto"/>
        </w:rPr>
        <w:t>, which simplifies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certain financial instruments with characteristics of 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are currently evaluating the effect that this guidance will have on our financial position, results of operations and cash flows.</w:t>
      </w:r>
    </w:p>
    <w:p>
      <w:pPr>
        <w:spacing w:after="0" w:line="22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which provides optional expedients and exceptions for applying GAAP to contracts, hedging relationships and other transactions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LIBOR or another reference rate expected to be discontinued because of reference rate reform. This guidance is effective prospectively upon issuance through December 31, 2022 and may be applied from the beginning of an interim period that includes the issuance date of this ASU. We will apply applicable expedients and exceptions to contract modifications through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to simplify the accounting for income taxes based on changes suggested by stakeholders as part of the FASB’s simplification initiative. This guidance is effective for interim and annual periods beginning after December 15, 2020, with early adoption permitted. We will adopt this guidance effective January 1, 2021, and do not anticipate that the adoption will have a material impact on our financial position, results of operations or cash flows.</w:t>
      </w:r>
    </w:p>
    <w:p>
      <w:pPr>
        <w:spacing w:after="0" w:line="1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In April 2019, the FASB issued ASU 2019-04, </w:t>
      </w:r>
      <w:r>
        <w:rPr>
          <w:rFonts w:ascii="Arial" w:cs="Arial" w:eastAsia="Arial" w:hAnsi="Arial"/>
          <w:sz w:val="18"/>
          <w:szCs w:val="18"/>
          <w:i w:val="1"/>
          <w:iCs w:val="1"/>
          <w:color w:val="auto"/>
        </w:rPr>
        <w:t>Codification Improvements to Topic 326, Financial Instruments—Credit Losses,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and Topic 825, Financial Instruments</w:t>
      </w:r>
      <w:r>
        <w:rPr>
          <w:rFonts w:ascii="Arial" w:cs="Arial" w:eastAsia="Arial" w:hAnsi="Arial"/>
          <w:sz w:val="18"/>
          <w:szCs w:val="18"/>
          <w:color w:val="auto"/>
        </w:rPr>
        <w:t>, which clarifies certain aspects of accounting for credit losses, hedging activities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We adopted this guidance effective January 1, 2020, and our adoption did not have a material impact on our financial position, results of operations or cash flows.</w:t>
      </w:r>
    </w:p>
    <w:p>
      <w:pPr>
        <w:spacing w:after="0" w:line="214"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In October 2018, the FASB issued ASU 2018-17, </w:t>
      </w:r>
      <w:r>
        <w:rPr>
          <w:rFonts w:ascii="Arial" w:cs="Arial" w:eastAsia="Arial" w:hAnsi="Arial"/>
          <w:sz w:val="16"/>
          <w:szCs w:val="16"/>
          <w:i w:val="1"/>
          <w:iCs w:val="1"/>
          <w:color w:val="auto"/>
        </w:rPr>
        <w:t>Consolidation (Topic 810): Targeted Improvements to Related Party Guidance for Variable</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 Entities</w:t>
      </w:r>
      <w:r>
        <w:rPr>
          <w:rFonts w:ascii="Arial" w:cs="Arial" w:eastAsia="Arial" w:hAnsi="Arial"/>
          <w:sz w:val="16"/>
          <w:szCs w:val="16"/>
          <w:color w:val="auto"/>
        </w:rPr>
        <w:t>, in response to stakeholder observations that improvements could be made by requiring reporting entities to consider indirect interests held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related parties under common control on a proportional basis rather than as the equivalent of a direct interest in its entirety as currently required in GAAP. This guidance is effective for interim and annual periods beginning after December 15, 2019, with early adoption permitted. We adopted this guidance effective January 1, 2020, and our adoption did not have a material impact on our financial position, results of operations or cash flows.</w:t>
      </w:r>
    </w:p>
    <w:p>
      <w:pPr>
        <w:spacing w:after="0" w:line="188"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 (a consensus of the FASB Emerging Issues Task Force)</w:t>
      </w:r>
      <w:r>
        <w:rPr>
          <w:rFonts w:ascii="Arial" w:cs="Arial" w:eastAsia="Arial" w:hAnsi="Arial"/>
          <w:sz w:val="17"/>
          <w:szCs w:val="17"/>
          <w:color w:val="auto"/>
        </w:rPr>
        <w:t>, to address the accounting for implementation costs of a hosting arrangement that is a service contract and to align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for hosting arrangements, regardless of whether they convey a license to the hosted software. This guidance is effective for interim and annual periods beginning after December 15, 2019, with early adoption permitted. We adopted this guidance effective January 1, 2020, and our adoption did not have a material impact on our financial position, results of operations or cash flows.</w:t>
      </w:r>
    </w:p>
    <w:p>
      <w:pPr>
        <w:spacing w:after="0" w:line="20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modifying the disclosure requirements on fair value measurements in Topic 820. This guidance is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and annual periods beginning after December 15, 2019, with early adoption permitted. We adopted this guidance effective January 1, 2020, and our adoption did not have a material impact on our financial position, results of operations or cash flows.</w:t>
      </w:r>
    </w:p>
    <w:p>
      <w:pPr>
        <w:spacing w:after="0" w:line="198"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(followed by a series of related accounting standard updates), which amends guidance on the impairment of financial instruments and adds an</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model (known as the current expected credit loss (or CECL) model) that is based on expected losses rather than incurred losses. This guidance became effective for interim and annual periods beginning after December 15, 2019, with early adoption permitted by one year. We adopted this guidance effective January 1, 2020, and our adoption did not have a material impact on our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disaggregate our revenues by segment and type of activity. These categories depict how the nature, amount, timing and uncertainty of revenues and cash flows are affected by economic factors.</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Supply and Logistics Segment Revenues from Contracts with Customers. </w:t>
      </w:r>
      <w:r>
        <w:rPr>
          <w:rFonts w:ascii="Arial" w:cs="Arial" w:eastAsia="Arial" w:hAnsi="Arial"/>
          <w:sz w:val="18"/>
          <w:szCs w:val="18"/>
          <w:color w:val="auto"/>
        </w:rPr>
        <w:t>The following table presents our Supply and Logistics segment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with customers disaggregated by type of activity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Crude oil transactions</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21,202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30,082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29,592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other transactions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22,351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460"/>
              <w:spacing w:after="0"/>
              <w:rPr>
                <w:sz w:val="20"/>
                <w:szCs w:val="20"/>
                <w:color w:val="auto"/>
              </w:rPr>
            </w:pPr>
            <w:r>
              <w:rPr>
                <w:rFonts w:ascii="Arial" w:cs="Arial" w:eastAsia="Arial" w:hAnsi="Arial"/>
                <w:sz w:val="18"/>
                <w:szCs w:val="18"/>
                <w:color w:val="auto"/>
              </w:rPr>
              <w:t>F-16</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67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Revenues from sales of crude oil, NGL and natural gas are recognized at the time title to the product sold transfers to the purchaser, which occurs upon delivery of the product to the purchaser or its designee. Sales of crude oil and NGL consist of outright sales contracts. The consideration received under these contracts is variable based on commodity prices. Inventory exchanges under buy/sell transactions are excluded from Supply and Logistics segment revenues in our Consolidated Statements of Operations. Revenues recognized by our Supply and Logistics segment primarily represent margin based activities.</w:t>
      </w:r>
    </w:p>
    <w:p>
      <w:pPr>
        <w:spacing w:after="0" w:line="21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addition, we have certain crude oil sales agreements that are entered into in conjunction with storage arrangements and future inventory exchanges. The revenues under these agreements are deferred until all performance obligations associated with the related agreements are completed. The inventory that has been sold under these crude oil sales agreements is reflected in “Other current assets” on our Consolidated Balance Sheet until all of our performance obligations are complete. At that time, the inventory that has been sold is removed from our Consolidated Balance Sheet and recorded as “Purchases and related costs” in our Consolidated Statement of Operations. See “</w:t>
      </w:r>
      <w:r>
        <w:rPr>
          <w:rFonts w:ascii="Arial" w:cs="Arial" w:eastAsia="Arial" w:hAnsi="Arial"/>
          <w:sz w:val="18"/>
          <w:szCs w:val="18"/>
          <w:i w:val="1"/>
          <w:iCs w:val="1"/>
          <w:color w:val="auto"/>
        </w:rPr>
        <w:t>Contract Balances</w:t>
      </w:r>
      <w:r>
        <w:rPr>
          <w:rFonts w:ascii="Arial" w:cs="Arial" w:eastAsia="Arial" w:hAnsi="Arial"/>
          <w:sz w:val="18"/>
          <w:szCs w:val="18"/>
          <w:color w:val="auto"/>
        </w:rPr>
        <w:t>” below for further discussion of contract liabilities associated with these agreements. The following table presents amounts in Other current assets and deferred revenue associated with these agreements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304"/>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Deferred revenue </w:t>
            </w:r>
            <w:r>
              <w:rPr>
                <w:rFonts w:ascii="Arial" w:cs="Arial" w:eastAsia="Arial" w:hAnsi="Arial"/>
                <w:sz w:val="23"/>
                <w:szCs w:val="23"/>
                <w:color w:val="auto"/>
                <w:vertAlign w:val="superscript"/>
              </w:rPr>
              <w:t>(1)</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24599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560" w:hanging="552"/>
        <w:spacing w:after="0"/>
        <w:tabs>
          <w:tab w:leader="none" w:pos="560"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color w:val="auto"/>
        </w:rPr>
        <w:t>Included in “Other current liabilities” on our Consolidated Balance Sheet.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may also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w:t>
      </w:r>
    </w:p>
    <w:p>
      <w:pPr>
        <w:spacing w:after="0" w:line="21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Transportation Segment Revenues from Contracts with Customers. </w:t>
      </w:r>
      <w:r>
        <w:rPr>
          <w:rFonts w:ascii="Arial" w:cs="Arial" w:eastAsia="Arial" w:hAnsi="Arial"/>
          <w:sz w:val="18"/>
          <w:szCs w:val="18"/>
          <w:color w:val="auto"/>
        </w:rPr>
        <w:t>The following table presents our Transportation segment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disaggregated by type of activity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11"/>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Tariff activities: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Crude oil pipelines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30"/>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NGL pipelines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tariff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Trucking</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Facilities Segment Revenues from Contracts with Customers. </w:t>
      </w:r>
      <w:r>
        <w:rPr>
          <w:rFonts w:ascii="Arial" w:cs="Arial" w:eastAsia="Arial" w:hAnsi="Arial"/>
          <w:sz w:val="18"/>
          <w:szCs w:val="18"/>
          <w:color w:val="auto"/>
        </w:rPr>
        <w:t>The following table presents our Facilities segment revenues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disaggregated by type of activity (in millions):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40" w:type="dxa"/>
            <w:vAlign w:val="bottom"/>
          </w:tcPr>
          <w:p>
            <w:pPr>
              <w:ind w:left="120"/>
              <w:spacing w:after="0"/>
              <w:rPr>
                <w:sz w:val="20"/>
                <w:szCs w:val="20"/>
                <w:color w:val="auto"/>
              </w:rPr>
            </w:pPr>
            <w:r>
              <w:rPr>
                <w:rFonts w:ascii="Arial" w:cs="Arial" w:eastAsia="Arial" w:hAnsi="Arial"/>
                <w:sz w:val="18"/>
                <w:szCs w:val="18"/>
                <w:color w:val="auto"/>
              </w:rPr>
              <w:t>Crude oil, NGL and other terminalling and storage</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29"/>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NGL and natural gas processing and fractionation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Rail load / unload</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48"/>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Facilities segment revenues from contracts with customers</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Revenues generated in this segment include (i) fees that are generated when we receive liquids from one connecting source and deliver the applicable product to another connecting carrier, fees from storage capacity agreements and fees associated with natural gas storage related activities (collectively “Crude oil, NGL and other terminalling and storage”), (ii) fees from natural gas and condensate processing services and from NGL fractionation and isomerization services (collectively, “NGL and natural gas processing and fractionation”) and (iii) loading and unloading fees at our rail terminals.</w:t>
      </w:r>
    </w:p>
    <w:p>
      <w:pPr>
        <w:spacing w:after="0" w:line="19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rail fees) are recognized as the liquids enter or exit the terminal and are received from or delivered to the connecting carrier or third-party terminal, as applicable. Fees from NGL fractionation and isomerization services and gas processing services are recognized in the period when the services are performed. Natural gas storage related activities fees are recognized in the period the natural gas moves across our header system. We recognize rail loading and unloading fees when the volumes are delivered or received.</w:t>
      </w:r>
    </w:p>
    <w:p>
      <w:pPr>
        <w:spacing w:after="0" w:line="1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and revenues from entities accounted for by the equity method are not included in the disclosures. The following tables present the reconciliation of our revenues from contracts with customers (as described above for each segment) to segment revenues and total revenues as disclosed in our Consolidated Statements of Operations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160" w:type="dxa"/>
            <w:vAlign w:val="bottom"/>
          </w:tcPr>
          <w:p>
            <w:pPr>
              <w:spacing w:after="0"/>
              <w:rPr>
                <w:sz w:val="16"/>
                <w:szCs w:val="16"/>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6"/>
                <w:szCs w:val="16"/>
                <w:color w:val="auto"/>
              </w:rPr>
            </w:pPr>
          </w:p>
        </w:tc>
        <w:tc>
          <w:tcPr>
            <w:tcW w:w="1240" w:type="dxa"/>
            <w:vAlign w:val="bottom"/>
            <w:gridSpan w:val="3"/>
          </w:tcPr>
          <w:p>
            <w:pPr>
              <w:ind w:left="160"/>
              <w:spacing w:after="0"/>
              <w:rPr>
                <w:sz w:val="20"/>
                <w:szCs w:val="20"/>
                <w:color w:val="auto"/>
              </w:rPr>
            </w:pPr>
            <w:r>
              <w:rPr>
                <w:rFonts w:ascii="Arial" w:cs="Arial" w:eastAsia="Arial" w:hAnsi="Arial"/>
                <w:sz w:val="14"/>
                <w:szCs w:val="14"/>
                <w:b w:val="1"/>
                <w:bCs w:val="1"/>
                <w:color w:val="auto"/>
              </w:rPr>
              <w:t>Facilities</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Supply and Logistics</w:t>
            </w:r>
          </w:p>
        </w:tc>
        <w:tc>
          <w:tcPr>
            <w:tcW w:w="320" w:type="dxa"/>
            <w:vAlign w:val="bottom"/>
          </w:tcPr>
          <w:p>
            <w:pPr>
              <w:spacing w:after="0"/>
              <w:rPr>
                <w:sz w:val="16"/>
                <w:szCs w:val="16"/>
                <w:color w:val="auto"/>
              </w:rPr>
            </w:pPr>
          </w:p>
        </w:tc>
        <w:tc>
          <w:tcPr>
            <w:tcW w:w="108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25,455</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5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25,217</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60" w:type="dxa"/>
            <w:vAlign w:val="bottom"/>
          </w:tcPr>
          <w:p>
            <w:pPr>
              <w:spacing w:after="0"/>
              <w:rPr>
                <w:sz w:val="24"/>
                <w:szCs w:val="24"/>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4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Logistics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5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35,767</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6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Pr>
          <w:p>
            <w:pPr>
              <w:spacing w:after="0"/>
              <w:rPr>
                <w:sz w:val="14"/>
                <w:szCs w:val="14"/>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Logistics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35,812</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transport or throughput a minimum volume over an</w:t>
      </w:r>
      <w:r>
        <w:rPr>
          <w:rFonts w:ascii="Arial" w:cs="Arial" w:eastAsia="Arial" w:hAnsi="Arial"/>
          <w:sz w:val="16"/>
          <w:szCs w:val="16"/>
          <w:i w:val="1"/>
          <w:iCs w:val="1"/>
          <w:color w:val="auto"/>
        </w:rPr>
        <w:t xml:space="preserve"> </w:t>
      </w:r>
      <w:r>
        <w:rPr>
          <w:rFonts w:ascii="Arial" w:cs="Arial" w:eastAsia="Arial" w:hAnsi="Arial"/>
          <w:sz w:val="16"/>
          <w:szCs w:val="16"/>
          <w:color w:val="auto"/>
        </w:rPr>
        <w:t>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19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820" w:type="dxa"/>
            <w:vAlign w:val="bottom"/>
          </w:tcPr>
          <w:p>
            <w:pPr>
              <w:spacing w:after="0"/>
              <w:rPr>
                <w:sz w:val="16"/>
                <w:szCs w:val="16"/>
                <w:color w:val="auto"/>
              </w:rPr>
            </w:pPr>
          </w:p>
        </w:tc>
        <w:tc>
          <w:tcPr>
            <w:tcW w:w="3340" w:type="dxa"/>
            <w:vAlign w:val="bottom"/>
            <w:gridSpan w:val="2"/>
          </w:tcPr>
          <w:p>
            <w:pPr>
              <w:ind w:left="160"/>
              <w:spacing w:after="0"/>
              <w:rPr>
                <w:sz w:val="20"/>
                <w:szCs w:val="20"/>
                <w:color w:val="auto"/>
              </w:rPr>
            </w:pPr>
            <w:r>
              <w:rPr>
                <w:rFonts w:ascii="Arial" w:cs="Arial" w:eastAsia="Arial" w:hAnsi="Arial"/>
                <w:sz w:val="14"/>
                <w:szCs w:val="14"/>
                <w:b w:val="1"/>
                <w:bCs w:val="1"/>
                <w:color w:val="auto"/>
              </w:rPr>
              <w:t>Financial Statement Classification</w:t>
            </w: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3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1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w:t>
            </w:r>
          </w:p>
        </w:tc>
        <w:tc>
          <w:tcPr>
            <w:tcW w:w="3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4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0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60" w:hanging="652"/>
        <w:spacing w:after="0" w:line="227" w:lineRule="auto"/>
        <w:tabs>
          <w:tab w:leader="none" w:pos="648"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Consolidated Financial Statements as we had not yet billed or collected such amounts.</w:t>
      </w:r>
    </w:p>
    <w:p>
      <w:pPr>
        <w:spacing w:after="0" w:line="28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changes in the liability balance associated with contracts with customers (in millions):</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9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Amounts recognized as revenue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9"/>
        </w:trPr>
        <w:tc>
          <w:tcPr>
            <w:tcW w:w="9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9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CCEEFF"/>
            </w:tcBorders>
            <w:vMerge w:val="restart"/>
          </w:tcPr>
          <w:p>
            <w:pPr>
              <w:ind w:left="120"/>
              <w:spacing w:after="0" w:line="243" w:lineRule="exact"/>
              <w:rPr>
                <w:sz w:val="20"/>
                <w:szCs w:val="20"/>
                <w:color w:val="auto"/>
              </w:rPr>
            </w:pPr>
            <w:r>
              <w:rPr>
                <w:rFonts w:ascii="Arial" w:cs="Arial" w:eastAsia="Arial" w:hAnsi="Arial"/>
                <w:sz w:val="18"/>
                <w:szCs w:val="18"/>
                <w:color w:val="auto"/>
              </w:rPr>
              <w:t xml:space="preserve">Amounts recognized as revenue </w:t>
            </w:r>
            <w:r>
              <w:rPr>
                <w:rFonts w:ascii="Arial" w:cs="Arial" w:eastAsia="Arial" w:hAnsi="Arial"/>
                <w:sz w:val="23"/>
                <w:szCs w:val="23"/>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40" w:hanging="652"/>
        <w:spacing w:after="0" w:line="227" w:lineRule="auto"/>
        <w:tabs>
          <w:tab w:leader="none" w:pos="648" w:val="left"/>
        </w:tabs>
        <w:numPr>
          <w:ilvl w:val="0"/>
          <w:numId w:val="81"/>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$155 million associated with crude oil sales agreements that are entered into in conjunction with storage arrangements and future inventory exchanges. Such amount was recognized as revenue in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35" w:lineRule="exact"/>
        <w:rPr>
          <w:sz w:val="20"/>
          <w:szCs w:val="20"/>
          <w:color w:val="auto"/>
        </w:rPr>
      </w:pPr>
    </w:p>
    <w:p>
      <w:pPr>
        <w:ind w:left="660" w:right="400" w:hanging="652"/>
        <w:spacing w:after="0" w:line="267" w:lineRule="auto"/>
        <w:tabs>
          <w:tab w:leader="none" w:pos="648"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Includes approximately $361 million, as discussed above, associated with crude oil sales agreements that are entered into in conjunction with storage arrangements and future inventory exchanges. Such amount is expected to be recognized as revenue in the first quarter of 2021.</w:t>
      </w:r>
    </w:p>
    <w:p>
      <w:pPr>
        <w:spacing w:after="0" w:line="202"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2020 (in millions):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2026 and</w:t>
            </w:r>
          </w:p>
        </w:tc>
        <w:tc>
          <w:tcPr>
            <w:tcW w:w="0" w:type="dxa"/>
            <w:vAlign w:val="bottom"/>
          </w:tcPr>
          <w:p>
            <w:pPr>
              <w:spacing w:after="0"/>
              <w:rPr>
                <w:sz w:val="1"/>
                <w:szCs w:val="1"/>
                <w:color w:val="auto"/>
              </w:rPr>
            </w:pPr>
          </w:p>
        </w:tc>
      </w:tr>
      <w:tr>
        <w:trPr>
          <w:trHeight w:val="188"/>
        </w:trPr>
        <w:tc>
          <w:tcPr>
            <w:tcW w:w="4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Storage, terminalling and throughput agreement revenues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40" w:hanging="632"/>
        <w:spacing w:after="0"/>
        <w:tabs>
          <w:tab w:leader="none" w:pos="640" w:val="left"/>
        </w:tabs>
        <w:numPr>
          <w:ilvl w:val="0"/>
          <w:numId w:val="83"/>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8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right="20" w:hanging="164"/>
        <w:spacing w:after="0" w:line="277" w:lineRule="auto"/>
        <w:tabs>
          <w:tab w:leader="none" w:pos="8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other Supply and Logistics contracts, due to the election of practical expedients related to variable consideration and short-term contracts, as discussed below;</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 as discussed below;</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supply and logistics arrangements contain variable timing, volumes and/or consideration and are excluded from this presentation. The duration of these contracts varies across the periods presented above.</w:t>
      </w:r>
    </w:p>
    <w:p>
      <w:pPr>
        <w:spacing w:after="0" w:line="219" w:lineRule="exact"/>
        <w:rPr>
          <w:sz w:val="20"/>
          <w:szCs w:val="20"/>
          <w:color w:val="auto"/>
        </w:rPr>
      </w:pPr>
    </w:p>
    <w:p>
      <w:pPr>
        <w:jc w:val="both"/>
        <w:ind w:right="260" w:firstLine="648"/>
        <w:spacing w:after="0" w:line="311" w:lineRule="auto"/>
        <w:rPr>
          <w:sz w:val="20"/>
          <w:szCs w:val="20"/>
          <w:color w:val="auto"/>
        </w:rPr>
      </w:pPr>
      <w:r>
        <w:rPr>
          <w:rFonts w:ascii="Arial" w:cs="Arial" w:eastAsia="Arial" w:hAnsi="Arial"/>
          <w:sz w:val="16"/>
          <w:szCs w:val="16"/>
          <w:color w:val="auto"/>
        </w:rPr>
        <w:t>Additionally, we have elected practical expedients to exclude contracts with terms of one year or less, and therefore exclude the presentation of remaining performance obligations for short-term transportation, storage and processing services, supply and logistics arrangements, including the non-cancelable period of evergreen arrangements, and any other types of arrangements with terms of one year or less.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25" w:lineRule="exact"/>
        <w:rPr>
          <w:sz w:val="20"/>
          <w:szCs w:val="20"/>
          <w:color w:val="auto"/>
        </w:rPr>
      </w:pPr>
    </w:p>
    <w:p>
      <w:pPr>
        <w:jc w:val="both"/>
        <w:ind w:right="38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21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During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2020 and 2019, substantially all of our trade accounts receivable were less than 30 days past their scheduled invoice date. Our expected credit losses are immaterial. Although we consider our credit procedures to be adequate to mitigate any significant credit losses, given the sharp decline in demand for crude oil and the drop in prices, the actual amount of current and future credit losses could vary significantly from estimated amounts.</w:t>
      </w:r>
    </w:p>
    <w:p>
      <w:pPr>
        <w:spacing w:after="0" w:line="21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Consolidated Balance Sheets (in millions):</w:t>
      </w: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88"/>
              </w:rPr>
              <w:t>3,381</w:t>
            </w:r>
          </w:p>
        </w:tc>
      </w:tr>
      <w:tr>
        <w:trPr>
          <w:trHeight w:val="229"/>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8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2,818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314"/>
              <w:spacing w:after="0"/>
              <w:rPr>
                <w:sz w:val="20"/>
                <w:szCs w:val="20"/>
                <w:color w:val="auto"/>
              </w:rPr>
            </w:pPr>
            <w:r>
              <w:rPr>
                <w:rFonts w:ascii="Arial" w:cs="Arial" w:eastAsia="Arial" w:hAnsi="Arial"/>
                <w:sz w:val="18"/>
                <w:szCs w:val="18"/>
                <w:color w:val="auto"/>
                <w:w w:val="88"/>
              </w:rPr>
              <w:t>3,576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(2,582)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94"/>
              <w:spacing w:after="0"/>
              <w:rPr>
                <w:sz w:val="20"/>
                <w:szCs w:val="20"/>
                <w:color w:val="auto"/>
              </w:rPr>
            </w:pPr>
            <w:r>
              <w:rPr>
                <w:rFonts w:ascii="Arial" w:cs="Arial" w:eastAsia="Arial" w:hAnsi="Arial"/>
                <w:sz w:val="18"/>
                <w:szCs w:val="18"/>
                <w:color w:val="auto"/>
                <w:w w:val="94"/>
              </w:rPr>
              <w:t>(3,343)</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2,553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88"/>
              </w:rPr>
              <w:t>3,614</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90" w:lineRule="exact"/>
        <w:rPr>
          <w:rFonts w:ascii="Arial" w:cs="Arial" w:eastAsia="Arial" w:hAnsi="Arial"/>
          <w:sz w:val="22"/>
          <w:szCs w:val="22"/>
          <w:color w:val="auto"/>
          <w:vertAlign w:val="superscript"/>
        </w:rPr>
      </w:pPr>
    </w:p>
    <w:p>
      <w:pPr>
        <w:ind w:left="5460"/>
        <w:spacing w:after="0"/>
        <w:rPr>
          <w:rFonts w:ascii="Arial" w:cs="Arial" w:eastAsia="Arial" w:hAnsi="Arial"/>
          <w:sz w:val="22"/>
          <w:szCs w:val="22"/>
          <w:color w:val="auto"/>
          <w:vertAlign w:val="superscript"/>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Common Unit</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After consideration of distributions to preferred unitholders (whether paid in cash or in-kind), basic and diluted net income/(loss) per common unit is determined pursuant to the two-class method as prescribed in FASB guidance. This method is an earnings allocation formula that is used to determine allocations to our limited partners and participating securities according to distributions pertaining to the current period’s net income and participation rights in undistributed earnings or distributions in excess of earnings. Under the two-class method, net income is reduced by distributions pertaining to the period, and all remaining earnings or distributions in excess of earnings are then allocated to our common unitholders and participating securities based on their respective rights to share in distributions, regardless of whether those earnings would actually be distributed during a particular period from an economic or practical perspective. Participating securities include equity-indexed compensation plan awards that have vested DERs, which entitle the grantee to a cash payment equal to the cash distribution paid on our outstanding common units.</w:t>
      </w:r>
    </w:p>
    <w:p>
      <w:pPr>
        <w:spacing w:after="0" w:line="20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calculate basic and diluted net income/(loss) per common unit by dividing net income/(loss) attributable to PAA (after deducting amounts allocated to the preferred unitholders and participating securities) by the basic and diluted weighted average number of common units outstanding during the period.</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for additional information regarding our Series A preferred units. See Note 18 for a complete discussion of our equity-indexed compensation plan awards. When applying the if-converted method prescribed by FASB guidance, the possible conversion of approximately 71 million Series A preferred units, on a weighted-average basis, were excluded from the calculation of diluted net income/(loss) per common unit for the year ended December 31, 2020 as the effect was antidilutive for the period.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were deemed to be dilutive during the years ended December 31, 2019 and 2018 were reduced by a hypothetical common unit repurchase based on the remaining unamortized fair value, as prescribed by the treasury stock method in guidance issued by the FASB. For the twelve months ended December 31, 2020, approximately 0.3 million equity-indexed compensation plan awards, on a weighted-average basis, were excluded from the computation of diluted net loss per common unit as the effect was antidilutive.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sets forth the computation of basic and diluted net income/(loss) per common unit (in millions, except per unit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Common Unit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Net income/(loss) attributable to PAA</w:t>
            </w: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(2,590)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Series A preferred unitholders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Distributions to Series B preferred unitholders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participating securities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670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 xml:space="preserve">Net income/(loss) allocated to common unitholders </w:t>
            </w:r>
            <w:r>
              <w:rPr>
                <w:rFonts w:ascii="Arial" w:cs="Arial" w:eastAsia="Arial" w:hAnsi="Arial"/>
                <w:sz w:val="23"/>
                <w:szCs w:val="23"/>
                <w:color w:val="auto"/>
                <w:vertAlign w:val="superscript"/>
              </w:rPr>
              <w:t>(1)</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weighted average common units outstanding</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57"/>
        </w:trPr>
        <w:tc>
          <w:tcPr>
            <w:tcW w:w="6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net income/(loss) per common unit</w:t>
            </w: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Common Unit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Net income/(loss) attributable to PAA</w:t>
            </w: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(2,590)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Series A preferred unitholders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Distributions to Series B preferred unitholders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participating securities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top w:val="single" w:sz="8" w:color="CCEEFF"/>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 xml:space="preserve">Net income/(loss) allocated to common unitholders </w:t>
            </w:r>
            <w:r>
              <w:rPr>
                <w:rFonts w:ascii="Arial" w:cs="Arial" w:eastAsia="Arial" w:hAnsi="Arial"/>
                <w:sz w:val="23"/>
                <w:szCs w:val="23"/>
                <w:color w:val="auto"/>
                <w:vertAlign w:val="superscript"/>
              </w:rPr>
              <w:t>(1)</w:t>
            </w:r>
          </w:p>
        </w:tc>
        <w:tc>
          <w:tcPr>
            <w:tcW w:w="88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weighted average common units outstanding</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30"/>
        </w:trPr>
        <w:tc>
          <w:tcPr>
            <w:tcW w:w="6700" w:type="dxa"/>
            <w:vAlign w:val="bottom"/>
          </w:tcPr>
          <w:p>
            <w:pPr>
              <w:ind w:left="400"/>
              <w:spacing w:after="0"/>
              <w:rPr>
                <w:sz w:val="20"/>
                <w:szCs w:val="20"/>
                <w:color w:val="auto"/>
              </w:rPr>
            </w:pPr>
            <w:r>
              <w:rPr>
                <w:rFonts w:ascii="Arial" w:cs="Arial" w:eastAsia="Arial" w:hAnsi="Arial"/>
                <w:sz w:val="18"/>
                <w:szCs w:val="18"/>
                <w:color w:val="auto"/>
              </w:rPr>
              <w:t>Effect of dilutive securities: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Series A preferred units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67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Equity-indexed compensation plan awards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 weighted average common units outstanding</w:t>
            </w: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net income/(loss) per common unit</w:t>
            </w: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73" w:lineRule="auto"/>
        <w:tabs>
          <w:tab w:leader="none" w:pos="648" w:val="left"/>
        </w:tabs>
        <w:numPr>
          <w:ilvl w:val="0"/>
          <w:numId w:val="86"/>
        </w:numPr>
        <w:rPr>
          <w:rFonts w:ascii="Arial" w:cs="Arial" w:eastAsia="Arial" w:hAnsi="Arial"/>
          <w:sz w:val="21"/>
          <w:szCs w:val="21"/>
          <w:color w:val="auto"/>
          <w:vertAlign w:val="superscript"/>
        </w:rPr>
      </w:pPr>
      <w:r>
        <w:rPr>
          <w:rFonts w:ascii="Arial" w:cs="Arial" w:eastAsia="Arial" w:hAnsi="Arial"/>
          <w:sz w:val="16"/>
          <w:szCs w:val="16"/>
          <w:color w:val="auto"/>
        </w:rPr>
        <w:t>We calculate net income/(loss) allocated to common unitholders based on the distributions (whether paid in cash or in-kind)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2020, 2019 and 2018, we recorded charges of $233 million (of which $40 million was associated with our long-term inventory), $11 million and $8 million, respectively, related to the write down of our crude oil and NGL inventory due to declines in prices. A portion of these inventory valuation adjustments was offset by the recognition of gains on derivative instruments being utilized to hedge future sales of our crude oil and NGL inventory. Such gains were recorded to “Supply and Logistics segment revenues” in our accompanying Consolidated Statements of Operations. See Note 13 for discussion of our derivative and risk management activities.</w:t>
      </w:r>
    </w:p>
    <w:p>
      <w:pPr>
        <w:spacing w:after="0" w:line="20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Linefill and base gas in assets we own are recorded at historical cost and consist of crude oil, NGL and natural gas. We classify as linefill or base gas (i) 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w:t>
      </w:r>
    </w:p>
    <w:p>
      <w:pPr>
        <w:spacing w:after="0" w:line="21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2020, 2019 and 2018, we did not recognize any material impairments of linefill and base gas.</w:t>
      </w:r>
    </w:p>
    <w:p>
      <w:pPr>
        <w:spacing w:after="0" w:line="21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ectPr>
          <w:pgSz w:w="11900" w:h="16838" w:orient="portrait"/>
          <w:cols w:equalWidth="0" w:num="1">
            <w:col w:w="11220"/>
          </w:cols>
          <w:pgMar w:left="320" w:top="125" w:right="359" w:bottom="1440" w:gutter="0" w:footer="0" w:header="0"/>
        </w:sect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04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1"/>
                <w:szCs w:val="11"/>
                <w:color w:val="auto"/>
              </w:rPr>
            </w:pPr>
          </w:p>
        </w:tc>
        <w:tc>
          <w:tcPr>
            <w:tcW w:w="800" w:type="dxa"/>
            <w:vAlign w:val="bottom"/>
          </w:tcPr>
          <w:p>
            <w:pPr>
              <w:jc w:val="right"/>
              <w:ind w:right="9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ind w:right="21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74"/>
              <w:spacing w:after="0" w:line="189"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780" w:type="dxa"/>
            <w:vAlign w:val="bottom"/>
          </w:tcPr>
          <w:p>
            <w:pPr>
              <w:spacing w:after="0"/>
              <w:rPr>
                <w:sz w:val="20"/>
                <w:szCs w:val="20"/>
                <w:color w:val="auto"/>
              </w:rPr>
            </w:pPr>
            <w:r>
              <w:rPr>
                <w:rFonts w:ascii="Arial" w:cs="Arial" w:eastAsia="Arial" w:hAnsi="Arial"/>
                <w:sz w:val="18"/>
                <w:szCs w:val="18"/>
                <w:b w:val="1"/>
                <w:bCs w:val="1"/>
                <w:color w:val="auto"/>
              </w:rPr>
              <w:t>Inventory</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NGL</w:t>
            </w:r>
          </w:p>
        </w:tc>
        <w:tc>
          <w:tcPr>
            <w:tcW w:w="940" w:type="dxa"/>
            <w:vAlign w:val="bottom"/>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Inventory subtotal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78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NGL</w:t>
            </w:r>
          </w:p>
        </w:tc>
        <w:tc>
          <w:tcPr>
            <w:tcW w:w="94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Natural gas</w:t>
            </w:r>
          </w:p>
        </w:tc>
        <w:tc>
          <w:tcPr>
            <w:tcW w:w="940" w:type="dxa"/>
            <w:vAlign w:val="bottom"/>
          </w:tcPr>
          <w:p>
            <w:pPr>
              <w:jc w:val="right"/>
              <w:spacing w:after="0"/>
              <w:rPr>
                <w:sz w:val="20"/>
                <w:szCs w:val="20"/>
                <w:color w:val="auto"/>
              </w:rPr>
            </w:pPr>
            <w:r>
              <w:rPr>
                <w:rFonts w:ascii="Arial" w:cs="Arial" w:eastAsia="Arial" w:hAnsi="Arial"/>
                <w:sz w:val="18"/>
                <w:szCs w:val="18"/>
                <w:color w:val="auto"/>
              </w:rPr>
              <w:t>25,576</w:t>
            </w: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Linefill and base gas subtotal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78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NGL</w:t>
            </w:r>
          </w:p>
        </w:tc>
        <w:tc>
          <w:tcPr>
            <w:tcW w:w="94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Long-term inventory subtotal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2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-2691130</wp:posOffset>
            </wp:positionV>
            <wp:extent cx="7054850" cy="2674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1">
                      <a:extLst>
                        <a:ext uri="{28A0092B-C50C-407E-A947-70E740481C1C}"/>
                      </a:extLst>
                    </a:blip>
                    <a:srcRect/>
                    <a:stretch>
                      <a:fillRect/>
                    </a:stretch>
                  </pic:blipFill>
                  <pic:spPr bwMode="auto">
                    <a:xfrm>
                      <a:off x="0" y="0"/>
                      <a:ext cx="7054850" cy="2674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December 31,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9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tcBorders>
            <w:vMerge w:val="restart"/>
          </w:tcPr>
          <w:p>
            <w:pPr>
              <w:spacing w:after="0"/>
              <w:rPr>
                <w:sz w:val="12"/>
                <w:szCs w:val="12"/>
                <w:color w:val="auto"/>
              </w:rPr>
            </w:pPr>
          </w:p>
        </w:tc>
        <w:tc>
          <w:tcPr>
            <w:tcW w:w="1040" w:type="dxa"/>
            <w:vAlign w:val="bottom"/>
            <w:tcBorders>
              <w:top w:val="single" w:sz="8" w:color="auto"/>
            </w:tcBorders>
            <w:gridSpan w:val="2"/>
          </w:tcPr>
          <w:p>
            <w:pPr>
              <w:ind w:left="260"/>
              <w:spacing w:after="0" w:line="141" w:lineRule="exact"/>
              <w:rPr>
                <w:sz w:val="20"/>
                <w:szCs w:val="20"/>
                <w:color w:val="auto"/>
              </w:rPr>
            </w:pPr>
            <w:r>
              <w:rPr>
                <w:rFonts w:ascii="Arial" w:cs="Arial" w:eastAsia="Arial" w:hAnsi="Arial"/>
                <w:sz w:val="14"/>
                <w:szCs w:val="14"/>
                <w:b w:val="1"/>
                <w:bCs w:val="1"/>
                <w:color w:val="auto"/>
              </w:rPr>
              <w:t>Unit of</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4"/>
              <w:spacing w:after="0" w:line="141"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Measure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4"/>
              <w:spacing w:after="0" w:line="189"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438"/>
        </w:trPr>
        <w:tc>
          <w:tcPr>
            <w:tcW w:w="940" w:type="dxa"/>
            <w:vAlign w:val="bottom"/>
          </w:tcPr>
          <w:p>
            <w:pPr>
              <w:jc w:val="right"/>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0"/>
        </w:trPr>
        <w:tc>
          <w:tcPr>
            <w:tcW w:w="10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4"/>
        </w:trPr>
        <w:tc>
          <w:tcPr>
            <w:tcW w:w="940" w:type="dxa"/>
            <w:vAlign w:val="bottom"/>
          </w:tcPr>
          <w:p>
            <w:pPr>
              <w:jc w:val="right"/>
              <w:spacing w:after="0"/>
              <w:rPr>
                <w:sz w:val="20"/>
                <w:szCs w:val="20"/>
                <w:color w:val="auto"/>
              </w:rPr>
            </w:pPr>
            <w:r>
              <w:rPr>
                <w:rFonts w:ascii="Arial" w:cs="Arial" w:eastAsia="Arial" w:hAnsi="Arial"/>
                <w:sz w:val="18"/>
                <w:szCs w:val="18"/>
                <w:color w:val="auto"/>
              </w:rPr>
              <w:t>14,316</w:t>
            </w:r>
          </w:p>
        </w:tc>
        <w:tc>
          <w:tcPr>
            <w:tcW w:w="1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4"/>
        </w:trPr>
        <w:tc>
          <w:tcPr>
            <w:tcW w:w="94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860" w:space="200"/>
            <w:col w:w="4160"/>
          </w:cols>
          <w:pgMar w:left="320" w:top="125" w:right="359" w:bottom="1440" w:gutter="0" w:footer="0" w:header="0"/>
          <w:type w:val="continuous"/>
        </w:sectPr>
      </w:pPr>
    </w:p>
    <w:p>
      <w:pPr>
        <w:spacing w:after="0" w:line="339" w:lineRule="exact"/>
        <w:rPr>
          <w:sz w:val="20"/>
          <w:szCs w:val="20"/>
          <w:color w:val="auto"/>
        </w:rPr>
      </w:pPr>
    </w:p>
    <w:p>
      <w:pPr>
        <w:ind w:left="660" w:right="340" w:hanging="652"/>
        <w:spacing w:after="0" w:line="227" w:lineRule="auto"/>
        <w:tabs>
          <w:tab w:leader="none" w:pos="648" w:val="left"/>
        </w:tabs>
        <w:numPr>
          <w:ilvl w:val="0"/>
          <w:numId w:val="87"/>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2020, 2019 and 2018, capitalized interest recorded to property and equipment was $8 million, $14 million and $21 million, respectively. In addition, we capitalize interest related to investments in certain unconsolidated entities. See Note 9 for additional information.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45" w:name="page146"/>
    <w:bookmarkEnd w:id="1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Estimated Useful</w:t>
            </w: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01"/>
        </w:trPr>
        <w:tc>
          <w:tcPr>
            <w:tcW w:w="656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Lives (Years)</w:t>
            </w:r>
          </w:p>
        </w:tc>
        <w:tc>
          <w:tcPr>
            <w:tcW w:w="34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Pipelines and related facilities </w:t>
            </w:r>
            <w:r>
              <w:rPr>
                <w:rFonts w:ascii="Arial" w:cs="Arial" w:eastAsia="Arial" w:hAnsi="Arial"/>
                <w:sz w:val="23"/>
                <w:szCs w:val="23"/>
                <w:color w:val="auto"/>
                <w:vertAlign w:val="superscript"/>
              </w:rPr>
              <w:t>(1)</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10-70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11,114</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Storage, terminal and rail facilities</w:t>
            </w:r>
          </w:p>
        </w:tc>
        <w:tc>
          <w:tcPr>
            <w:tcW w:w="1580" w:type="dxa"/>
            <w:vAlign w:val="bottom"/>
          </w:tcPr>
          <w:p>
            <w:pPr>
              <w:jc w:val="center"/>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6,134</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Trucking equipment and other</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property and equipment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 and other</w:t>
            </w:r>
          </w:p>
        </w:tc>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223"/>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gross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18,948</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r>
      <w:tr>
        <w:trPr>
          <w:trHeight w:val="248"/>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88"/>
        </w:numPr>
        <w:rPr>
          <w:rFonts w:ascii="Arial" w:cs="Arial" w:eastAsia="Arial" w:hAnsi="Arial"/>
          <w:sz w:val="23"/>
          <w:szCs w:val="23"/>
          <w:color w:val="auto"/>
          <w:vertAlign w:val="superscript"/>
        </w:rPr>
      </w:pPr>
      <w:r>
        <w:rPr>
          <w:rFonts w:ascii="Arial" w:cs="Arial" w:eastAsia="Arial" w:hAnsi="Arial"/>
          <w:sz w:val="18"/>
          <w:szCs w:val="18"/>
          <w:color w:val="auto"/>
        </w:rPr>
        <w:t>We include rights-of-way, which are intangible assets, in our Pipelines and related facilities amounts within property and equipment.</w:t>
      </w:r>
    </w:p>
    <w:p>
      <w:pPr>
        <w:spacing w:after="0" w:line="215"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We calculate our depreciation using the straight-line method, based on estimated useful lives and salvage values of our assets. Depreciation expense for the years ended December 31, 2020, 2019 and 2018 was $563 million, $525 million and $454 million, respectively. See “Impairment of Long-Lived Assets (Held and Used)” below for a discussion of our policy for the recognition of asset impairments.</w:t>
      </w:r>
    </w:p>
    <w:p>
      <w:pPr>
        <w:spacing w:after="0" w:line="2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December 31, 2020, 2019 and 2018, we incurred liabilities for construction in progress that had not been paid of $51 million, $120 million and $206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(Held and Used)</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219" w:lineRule="exact"/>
        <w:rPr>
          <w:sz w:val="20"/>
          <w:szCs w:val="20"/>
          <w:color w:val="auto"/>
        </w:rPr>
      </w:pPr>
    </w:p>
    <w:p>
      <w:pPr>
        <w:jc w:val="both"/>
        <w:ind w:right="520" w:firstLine="648"/>
        <w:spacing w:after="0" w:line="286" w:lineRule="auto"/>
        <w:rPr>
          <w:sz w:val="20"/>
          <w:szCs w:val="20"/>
          <w:color w:val="auto"/>
        </w:rPr>
      </w:pPr>
      <w:r>
        <w:rPr>
          <w:rFonts w:ascii="Arial" w:cs="Arial" w:eastAsia="Arial" w:hAnsi="Arial"/>
          <w:sz w:val="17"/>
          <w:szCs w:val="17"/>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57" w:lineRule="exact"/>
        <w:rPr>
          <w:sz w:val="20"/>
          <w:szCs w:val="20"/>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year ended December 31, 2020, we recognized approximately $541 million of non-cash impairment losses, reflected in “(Gains)/losses on asset sales and asset impairments, net” on our Consolidated Statement of Operations.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Of our impairment losses, approximately $415 million was associated with certain pipeline assets in our Transportation segment located in the Central region. The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future commodity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12" w:lineRule="exact"/>
        <w:rPr>
          <w:sz w:val="20"/>
          <w:szCs w:val="20"/>
          <w:color w:val="auto"/>
        </w:rPr>
      </w:pPr>
    </w:p>
    <w:p>
      <w:pPr>
        <w:jc w:val="both"/>
        <w:ind w:right="300" w:firstLine="648"/>
        <w:spacing w:after="0" w:line="311" w:lineRule="auto"/>
        <w:rPr>
          <w:sz w:val="20"/>
          <w:szCs w:val="20"/>
          <w:color w:val="auto"/>
        </w:rPr>
      </w:pPr>
      <w:r>
        <w:rPr>
          <w:rFonts w:ascii="Arial" w:cs="Arial" w:eastAsia="Arial" w:hAnsi="Arial"/>
          <w:sz w:val="16"/>
          <w:szCs w:val="16"/>
          <w:color w:val="auto"/>
        </w:rPr>
        <w:t>The remaining impairment losses were associated with idled or underutilized assets, including certain pipelines in our Transportation segment located in the Western region and other long-lived assets in our Facilities segment, for which it has been determined that it is unlikely that opportunities will exist in the future to recover our investment in these assets. We wrote off substantially all of the carrying value of these assets.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material impairments during the years ended December 31, 2019 or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February 2020, we acquired Felix Midstream LLC, now known as FM Gathering LLC (“FM Gathering”) from Felix 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included in our Transportation and Supply and Logistics segments. This acquisition was accounted for using the acquisition method of accounting and the determination of the fair value of the assets acquired and liabilities assumed was determined in accordance with the applicable accounting guidance. The assets acquired primarily consisted of property and equipment of $115 million and intangible assets of $187 million. The fair value of the tangible assets is a Level 3 measurement in the fair value hierarchy and was determined using a cost approach. The cost approach was based on costs incurred on similar recent construction projects. The fair value of the intangible assets is also a Level 3 measurement in the fair value hierarchy and was determined by applying a discounted cash flow approach. Such approach utilized discount rates varying from 18% to 19%, based on our estimate of the risk that a theoretical market participant would assign to the respective intangible assets.</w:t>
      </w:r>
    </w:p>
    <w:p>
      <w:pPr>
        <w:spacing w:after="0" w:line="21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During the second quarter of 2019, we acquired a crude oil terminal, including tank bottoms and linefill, in Cushing, Oklahoma for cash consideration of $44 million, which was accounted for as an asset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2020, we received cash proceeds of $451 million, primarily from the sale of:</w:t>
      </w:r>
    </w:p>
    <w:p>
      <w:pPr>
        <w:spacing w:after="0" w:line="185" w:lineRule="exact"/>
        <w:rPr>
          <w:sz w:val="20"/>
          <w:szCs w:val="20"/>
          <w:color w:val="auto"/>
        </w:rPr>
      </w:pPr>
    </w:p>
    <w:p>
      <w:pPr>
        <w:ind w:left="980" w:right="380" w:hanging="324"/>
        <w:spacing w:after="0" w:line="277" w:lineRule="auto"/>
        <w:tabs>
          <w:tab w:leader="none" w:pos="9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Los Angeles Basin crude oil terminals previously disclosed in our Facilities segment for proceeds of approximately $200 million, subject to certain adjustments;</w:t>
      </w:r>
    </w:p>
    <w:p>
      <w:pPr>
        <w:spacing w:after="0" w:line="143"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NGL terminals previously disclosed in our Facilities segment for proceeds of approximately $163 million (including $22 million related to a multi-year supply agreement related to the sale), subject to certain adjustments; and</w:t>
      </w:r>
    </w:p>
    <w:p>
      <w:pPr>
        <w:spacing w:after="0" w:line="129"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10% ownership interest in Saddlehorn Pipeline Company, LLC (“Saddlehorn”) for proceeds of approximately $78 million, including working capital adjustments (see Note 9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recognized a loss related to these assets sales of $178 million, including non-cash impairments recognized upon classification to assets held for sale, for the year ended December 31, 2020. Such amount is included in “(Gains)/losses on asset sales and asset impairments, net” on our Consolidated Statement of Operations.</w:t>
      </w:r>
    </w:p>
    <w:p>
      <w:pPr>
        <w:spacing w:after="0" w:line="211"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During the year ended December 31, 2019, we sold certain non-core assets for total proceeds of $77 million that primarily consisted of a storage terminal in North Dakota, which was previously reported in our Facilities segment. For the year ended December 31, 2019, we recognized a net loss related to these asset sales of $16 million, which is comprised of gains of $31 million and losses of $47 million. Such amounts are included in “(Gains)/losses on asset sales and asset impairments, net” on our Consolidated Statement of Operations.</w:t>
      </w:r>
    </w:p>
    <w:p>
      <w:pPr>
        <w:spacing w:after="0" w:line="21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During the year ended December 31, 2018, we received proceeds from asset sales of $1.334 billion, which primarily consisted of the sale of a 30% interest in BridgeTex Pipeline Company, LLC for proceeds of $868 million, resulting in a gain of $200 million. See Note 9 for additional discussion. The other assets sold during the year ended December 31, 2018 primarily included non-core property and equipment or are associated with the formation of strategic joint ventures and were previously reported in our Facilities and Transportation segments. For the year ended December 31, 2018, we recognized a net gain on sales of assets of $120 million, which is comprised of gains of $146 million and losses of $26 million. Such amounts are included in “(Gains)/losses on asset sales and asset impairments, net” on our Consolidated Statement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9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provides for a quantitative approach to testing goodwill for impairment; however, we may first assess certain qualitative factors to determine whether it is necessary to perform the quantitative goodwill impairment test. In the quantitative test, we compare the fair value of the reporting unit with the respective book values, including goodwill, by using an income approach based on a discounted cash flow model.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goodwill is impaired by the amount by which a reporting unit’s carrying value exceeds its fair value, not to exceed the carrying value of goodwill.</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During the first quarter of 2020, we recorded impairment losses of $2.515 billion related to goodwill. Our market capitalization declined significantly during the first quarter driven by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that resulted in expected decreases in future cash flows for certain of our assets, which we concluded was a triggering event that required us to perform a quantitative impairment test as of March 31, 2020, utilizing a discounted cash flow approach. We applied a discount rate of approximately 14% in the determination of the fair value of each of our reporting units, which represents our estimate of the cost of capital of a theoretical market participant as of March 31, 2020. The fair values of the reporting units are Level 3 measurements in the fair value hierarchy and were based on various inputs, as discussed below. The discounted cash flows for each reporting unit were based on six years of projected cash flows and terminal values that we believe would be applied by a theoretical market participant in similar market transactions. The discounted cash flows for the respective reporting units utilized various other assumptions, including, but not limited to (i) volumes (based on historical information and estimates of future drilling and completion activity, as well as expectations of future demand recovery), (ii) tariff and storage rates, (iii) future commodity prices (based on relevant indices and applicable quality and location differentials), and (iv) estimated fixed and variable costs. We used a range of cash flows for the discounted cash flow calculations based on differing potential market scenarios, but for each of the reporting units, the ultimate outcome of the impairment test was unchanged by the various points within the range of cash flows. As a result of the impairment test, we concluded that the carrying value of each of our reporting units exceeded their respective fair values, resulting in a goodwill impairment charge for the entire goodwill balance for each reporting unit. Prior to the year ended December 31, 2020, we did not recognize any impairments of goodwill.</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4"/>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vMerge w:val="restart"/>
          </w:tcPr>
          <w:p>
            <w:pPr>
              <w:ind w:left="240"/>
              <w:spacing w:after="0"/>
              <w:rPr>
                <w:sz w:val="20"/>
                <w:szCs w:val="20"/>
                <w:color w:val="auto"/>
              </w:rPr>
            </w:pPr>
            <w:r>
              <w:rPr>
                <w:rFonts w:ascii="Arial" w:cs="Arial" w:eastAsia="Arial" w:hAnsi="Arial"/>
                <w:sz w:val="18"/>
                <w:szCs w:val="18"/>
                <w:color w:val="auto"/>
              </w:rPr>
              <w:t>Acquisitions</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tcBorders>
              <w:top w:val="single" w:sz="8" w:color="CCEEFF"/>
              <w:bottom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23"/>
        </w:trPr>
        <w:tc>
          <w:tcPr>
            <w:tcW w:w="5040" w:type="dxa"/>
            <w:vAlign w:val="bottom"/>
          </w:tcPr>
          <w:p>
            <w:pPr>
              <w:ind w:left="220"/>
              <w:spacing w:after="0"/>
              <w:rPr>
                <w:sz w:val="20"/>
                <w:szCs w:val="20"/>
                <w:color w:val="auto"/>
              </w:rPr>
            </w:pPr>
            <w:r>
              <w:rPr>
                <w:rFonts w:ascii="Arial" w:cs="Arial" w:eastAsia="Arial" w:hAnsi="Arial"/>
                <w:sz w:val="18"/>
                <w:szCs w:val="18"/>
                <w:color w:val="auto"/>
              </w:rPr>
              <w:t>Impairments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impairment losses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9—Investments in Unconsolidated Entities</w:t>
      </w:r>
    </w:p>
    <w:p>
      <w:pPr>
        <w:spacing w:after="0" w:line="25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280" w:type="dxa"/>
            <w:vAlign w:val="bottom"/>
          </w:tcPr>
          <w:p>
            <w:pPr>
              <w:spacing w:after="0"/>
              <w:rPr>
                <w:sz w:val="14"/>
                <w:szCs w:val="14"/>
                <w:color w:val="auto"/>
              </w:rPr>
            </w:pPr>
          </w:p>
        </w:tc>
        <w:tc>
          <w:tcPr>
            <w:tcW w:w="222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Interest at</w:t>
            </w:r>
          </w:p>
        </w:tc>
        <w:tc>
          <w:tcPr>
            <w:tcW w:w="280" w:type="dxa"/>
            <w:vAlign w:val="bottom"/>
          </w:tcPr>
          <w:p>
            <w:pPr>
              <w:spacing w:after="0"/>
              <w:rPr>
                <w:sz w:val="4"/>
                <w:szCs w:val="4"/>
                <w:color w:val="auto"/>
              </w:rPr>
            </w:pPr>
          </w:p>
        </w:tc>
        <w:tc>
          <w:tcPr>
            <w:tcW w:w="22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120"/>
              <w:spacing w:after="0" w:line="106" w:lineRule="exact"/>
              <w:rPr>
                <w:sz w:val="20"/>
                <w:szCs w:val="20"/>
                <w:color w:val="auto"/>
              </w:rPr>
            </w:pPr>
            <w:r>
              <w:rPr>
                <w:rFonts w:ascii="Arial" w:cs="Arial" w:eastAsia="Arial" w:hAnsi="Arial"/>
                <w:sz w:val="12"/>
                <w:szCs w:val="12"/>
                <w:b w:val="1"/>
                <w:bCs w:val="1"/>
                <w:color w:val="auto"/>
              </w:rPr>
              <w:t>December 31,</w:t>
            </w:r>
          </w:p>
        </w:tc>
        <w:tc>
          <w:tcPr>
            <w:tcW w:w="2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3"/>
            <w:vMerge w:val="continue"/>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880" w:type="dxa"/>
            <w:vAlign w:val="bottom"/>
            <w:gridSpan w:val="2"/>
          </w:tcPr>
          <w:p>
            <w:pPr>
              <w:ind w:left="20"/>
              <w:spacing w:after="0" w:line="199" w:lineRule="exact"/>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18"/>
                <w:szCs w:val="18"/>
                <w:b w:val="1"/>
                <w:bCs w:val="1"/>
                <w:color w:val="auto"/>
                <w:vertAlign w:val="superscript"/>
              </w:rPr>
              <w:t>(1)</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BridgeTex Pipeline Company, LLC (“BridgeTex”)</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Cactus II Pipeline LLC (“Cactus II”)</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4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Diamond Pipeline LLC (“Diamond”)</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 (“Eagle Ford Pipeline”)</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76"/>
        </w:trPr>
        <w:tc>
          <w:tcPr>
            <w:tcW w:w="4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Eagle Ford Terminals Corpus Christi LLC (“Eagle Ford</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2"/>
              </w:rPr>
              <w:t>Crude Oil Terminal and Dock</w:t>
            </w:r>
          </w:p>
        </w:tc>
        <w:tc>
          <w:tcPr>
            <w:tcW w:w="1280" w:type="dxa"/>
            <w:vAlign w:val="bottom"/>
            <w:gridSpan w:val="2"/>
            <w:vMerge w:val="restart"/>
          </w:tcPr>
          <w:p>
            <w:pPr>
              <w:jc w:val="center"/>
              <w:ind w:left="32"/>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Terminals”)</w:t>
            </w:r>
          </w:p>
        </w:tc>
        <w:tc>
          <w:tcPr>
            <w:tcW w:w="24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Oak Pipeline LLC (“Red Oak”)</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Saddlehorn</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 (“STACK”)</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 (“W2W Pipeline”)</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investments</w:t>
            </w:r>
          </w:p>
        </w:tc>
        <w:tc>
          <w:tcPr>
            <w:tcW w:w="2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Investments in Unconsolidated Entities</w:t>
            </w: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98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252" w:lineRule="exact"/>
        <w:rPr>
          <w:sz w:val="20"/>
          <w:szCs w:val="20"/>
          <w:color w:val="auto"/>
        </w:rPr>
      </w:pPr>
    </w:p>
    <w:p>
      <w:pPr>
        <w:ind w:right="380" w:firstLine="648"/>
        <w:spacing w:after="0" w:line="248" w:lineRule="auto"/>
        <w:rPr>
          <w:sz w:val="20"/>
          <w:szCs w:val="20"/>
          <w:color w:val="auto"/>
        </w:rPr>
      </w:pPr>
      <w:r>
        <w:rPr>
          <w:rFonts w:ascii="Arial" w:cs="Arial" w:eastAsia="Arial" w:hAnsi="Arial"/>
          <w:sz w:val="18"/>
          <w:szCs w:val="18"/>
          <w:color w:val="auto"/>
        </w:rPr>
        <w:t>During the year ended December 31, 2020, we recognized losses as a result of the write-down of certain of our investments in unconsolidated entities, as discussed further below. Such amounts are reflected in “Gain on/(impairment of) investments in unconsolidated entities, net” on our Consolidated Statement of Operations.</w:t>
      </w:r>
    </w:p>
    <w:p>
      <w:pPr>
        <w:spacing w:after="0" w:line="20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STACK. </w:t>
      </w:r>
      <w:r>
        <w:rPr>
          <w:rFonts w:ascii="Arial" w:cs="Arial" w:eastAsia="Arial" w:hAnsi="Arial"/>
          <w:sz w:val="16"/>
          <w:szCs w:val="16"/>
          <w:color w:val="auto"/>
        </w:rPr>
        <w:t>During the third quarter of 2020, we determined that there was an other-than-temporary impairment of our investment in STACK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LLC as a result of a continued decline of drilling activity and related volumes of crude oil in its area of operation. We recognized a loss of $91 million related to the write-down of the portion of the carrying amount of our investment that exceeded its fair value. The estimated fair value (which we consider a Level 3 measurement in the fair value hierarchy) was based on a discounted cash flow approach utilizing various assumptions and the application of a discount rate of approximately 14%, which represents our estimate of the cost of capital of a theoretical market participant. Such assumptions included (but were not limited to) (i)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19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i w:val="1"/>
          <w:iCs w:val="1"/>
          <w:color w:val="auto"/>
        </w:rPr>
        <w:t>Red Oak</w:t>
      </w:r>
      <w:r>
        <w:rPr>
          <w:rFonts w:ascii="Arial" w:cs="Arial" w:eastAsia="Arial" w:hAnsi="Arial"/>
          <w:sz w:val="16"/>
          <w:szCs w:val="16"/>
          <w:color w:val="auto"/>
        </w:rPr>
        <w:t>. In June 2019, we announced the formation of Red Oak, a joint venture with a subsidiary of Phillips 66. We own a 50% interest in Red</w:t>
      </w:r>
      <w:r>
        <w:rPr>
          <w:rFonts w:ascii="Arial" w:cs="Arial" w:eastAsia="Arial" w:hAnsi="Arial"/>
          <w:sz w:val="16"/>
          <w:szCs w:val="16"/>
          <w:i w:val="1"/>
          <w:iCs w:val="1"/>
          <w:color w:val="auto"/>
        </w:rPr>
        <w:t xml:space="preserve"> </w:t>
      </w:r>
      <w:r>
        <w:rPr>
          <w:rFonts w:ascii="Arial" w:cs="Arial" w:eastAsia="Arial" w:hAnsi="Arial"/>
          <w:sz w:val="16"/>
          <w:szCs w:val="16"/>
          <w:color w:val="auto"/>
        </w:rPr>
        <w:t>Oak, which is accounted for under the equity method of accounting. Red Oak was developing a new pipeline that would provide crude oil transportation service from Cushing, Oklahoma, and the Permian Basin in West Texas to multiple destinations along the Texas Gulf Coast, including Corpus Christi, Ingleside, Houston and Beaumont, Texas. In March 2020, the partners of Red Oak announced they were deferring the Red Oak pipeline project and suspending actions that would require additional capital spending on the project, and that they would re-evaluate demand for the project in light of recent market developments. Subsequently, the partners determined that the project would not proceed as previously contemplated. We determined that there was an other-than-temporary impairment of our investment in Red Oak, and we recognized a loss of $69 million related to the write-down of our investment in Red Oak to the estimated residual value of our share of the net assets during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0" w:name="page151"/>
    <w:bookmarkEnd w:id="1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520" w:firstLine="648"/>
        <w:spacing w:after="0" w:line="324" w:lineRule="auto"/>
        <w:rPr>
          <w:sz w:val="20"/>
          <w:szCs w:val="20"/>
          <w:color w:val="auto"/>
        </w:rPr>
      </w:pPr>
      <w:r>
        <w:rPr>
          <w:rFonts w:ascii="Arial" w:cs="Arial" w:eastAsia="Arial" w:hAnsi="Arial"/>
          <w:sz w:val="16"/>
          <w:szCs w:val="16"/>
          <w:i w:val="1"/>
          <w:iCs w:val="1"/>
          <w:color w:val="auto"/>
        </w:rPr>
        <w:t xml:space="preserve">Other investments. </w:t>
      </w:r>
      <w:r>
        <w:rPr>
          <w:rFonts w:ascii="Arial" w:cs="Arial" w:eastAsia="Arial" w:hAnsi="Arial"/>
          <w:sz w:val="16"/>
          <w:szCs w:val="16"/>
          <w:color w:val="auto"/>
        </w:rPr>
        <w:t>During the first quarter of 2020, we also recognized a loss of $43 million related to the write-down of certain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included in “Other investments” in the table above due to an other-than-temporary impairment related to a decline in market conditions.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Formations</w:t>
      </w:r>
    </w:p>
    <w:p>
      <w:pPr>
        <w:spacing w:after="0" w:line="23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Capline LLC</w:t>
      </w:r>
      <w:r>
        <w:rPr>
          <w:rFonts w:ascii="Arial" w:cs="Arial" w:eastAsia="Arial" w:hAnsi="Arial"/>
          <w:sz w:val="18"/>
          <w:szCs w:val="18"/>
          <w:color w:val="auto"/>
        </w:rPr>
        <w:t>. During the first quarter of 2019, the owners of the Capline pipeline system contributed their undivided joint interests in the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to a newly formed entity, Capline Pipeline Company LLC (“Capline LLC”), in exchange for equity interests in such entity. After the contribution, Capline LLC owns 100% of the pipeline system. Each owner’s undivided joint interest in the Capline pipeline system prior to the transaction is equal to each owner’s equity interest in Capline LLC. Although we own a majority of Capline LLC’s equity, we do not have a controlling financial interest in Capline LLC because the other members have substantive participating rights. Therefore, we account for our ownership interest in Capline LLC as an equity method investment.</w:t>
      </w:r>
    </w:p>
    <w:p>
      <w:pPr>
        <w:spacing w:after="0" w:line="21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Under applicable accounting rules, the transaction resulted in a “loss of control” of our undivided joint interest, which was derecognized and contributed to Capline LLC. The “loss of control” required us to measure our equity interest in Capline LLC at fair value. At the time of the transaction, our 54% undivided joint interest in the Capline pipeline system had a carrying value of $175 million, which primarily related to property and equipment included in our Transportation segment. We determined the fair value of our investment in Capline LLC to be approximately $444 million, resulting in the recognition of a gain of $269 million during the year ended December 31, 2019. Such gain is included in “Gain on/(impairment of) investment in unconsolidated entities, net” on our Consolidated Statement of Operations.</w:t>
      </w:r>
    </w:p>
    <w:p>
      <w:pPr>
        <w:spacing w:after="0" w:line="20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fair value of our investment in Capline LLC was based on an income approach utilizing a discounted cash flow analysis. The cash flow forecasts require the use of various assumptions and estimates which include those related to the timing and amount of capital expenditures, the expected tariff rates and volumes of crude oil, and the terminal value. We probability-weighted various forecasted cash flow scenarios utilized in the analysis when we considered the possible outcomes. We used a discount rate representing our estimate of the risk adjusted discount rate that would be used by market participants. If shipper interest varies from the levels assumed in our model, the related cash flows, and thus the fair value of our investment, could be materially impacted. The fair value of our investment was determined using significant unobservable inputs, or Level 3 inputs in the fair value hierarchy.</w:t>
      </w:r>
    </w:p>
    <w:p>
      <w:pPr>
        <w:spacing w:after="0" w:line="19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W2W Pipeline</w:t>
      </w:r>
      <w:r>
        <w:rPr>
          <w:rFonts w:ascii="Arial" w:cs="Arial" w:eastAsia="Arial" w:hAnsi="Arial"/>
          <w:sz w:val="18"/>
          <w:szCs w:val="18"/>
          <w:color w:val="auto"/>
        </w:rPr>
        <w:t>. In 2019, we participated in the formation of W2W Pipeline, a joint venture with subsidiaries of ExxonMobil, Lotus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LLC and three additional entities, in which we own a 16% interest. We account for our interest in W2W Pipeline under the equity method of accounting. W2W Pipeline has entered into an undivided joint-ownership arrangement with a subsidiary of Enterprise Products Partners, L.P. that has acquired 29% of the capacity of the pipeline segment from Midland, Texas to Webster, Texas, and W2W Pipeline now owns 71% of this segment of the pipeline. The pipeline originates in the Permian Basin in West Texas and transports crude oil to multiple destinations in the Houston and Galveston market areas. The pipeline system, which is currently in partial service, will provide approximately 1.5 million barrels per day of crude oil capacity (1.1 million barrels per day, net to the undivided joint ownership interest).</w:t>
      </w:r>
    </w:p>
    <w:p>
      <w:pPr>
        <w:spacing w:after="0" w:line="222" w:lineRule="exact"/>
        <w:rPr>
          <w:sz w:val="20"/>
          <w:szCs w:val="20"/>
          <w:color w:val="auto"/>
        </w:rPr>
      </w:pPr>
    </w:p>
    <w:p>
      <w:pPr>
        <w:jc w:val="both"/>
        <w:ind w:right="80" w:firstLine="648"/>
        <w:spacing w:after="0" w:line="287" w:lineRule="auto"/>
        <w:rPr>
          <w:sz w:val="20"/>
          <w:szCs w:val="20"/>
          <w:color w:val="auto"/>
        </w:rPr>
      </w:pPr>
      <w:r>
        <w:rPr>
          <w:rFonts w:ascii="Arial" w:cs="Arial" w:eastAsia="Arial" w:hAnsi="Arial"/>
          <w:sz w:val="16"/>
          <w:szCs w:val="16"/>
          <w:i w:val="1"/>
          <w:iCs w:val="1"/>
          <w:color w:val="auto"/>
        </w:rPr>
        <w:t>Cushing Connect</w:t>
      </w:r>
      <w:r>
        <w:rPr>
          <w:rFonts w:ascii="Arial" w:cs="Arial" w:eastAsia="Arial" w:hAnsi="Arial"/>
          <w:sz w:val="16"/>
          <w:szCs w:val="16"/>
          <w:color w:val="auto"/>
        </w:rPr>
        <w:t>. During the fourth quarter of 2019, we announced the formation of Cushing Connect Pipeline &amp; Terminal LLC, a joint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with Holly Energy Partners LP for (i) the development and construction of a new 160,000 barrel per day pipeline that will connect the Cushing, Oklahoma crude oil hub to the Tulsa, Oklahoma refining complex owned by a subsidiary of HollyFrontier Corporation and (ii) the ownership and operation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1.5 million barrels of crude oil storage in Cushing, Oklahoma (the “JV Terminal”). We contributed the crude oil storage to Cushing Connect and own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 interest, which is accounted for under the equity method of accounting. The pipeline is expected to be in service during the first quarter of 2021.</w:t>
      </w:r>
    </w:p>
    <w:p>
      <w:pPr>
        <w:spacing w:after="0" w:line="24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Cactus II. </w:t>
      </w:r>
      <w:r>
        <w:rPr>
          <w:rFonts w:ascii="Arial" w:cs="Arial" w:eastAsia="Arial" w:hAnsi="Arial"/>
          <w:sz w:val="16"/>
          <w:szCs w:val="16"/>
          <w:color w:val="auto"/>
        </w:rPr>
        <w:t>In the second quarter of 2018, a subsidiary of Oxy and another third party each exercised their purchase options for a 20% interest and a</w:t>
      </w:r>
      <w:r>
        <w:rPr>
          <w:rFonts w:ascii="Arial" w:cs="Arial" w:eastAsia="Arial" w:hAnsi="Arial"/>
          <w:sz w:val="16"/>
          <w:szCs w:val="16"/>
          <w:i w:val="1"/>
          <w:iCs w:val="1"/>
          <w:color w:val="auto"/>
        </w:rPr>
        <w:t xml:space="preserve"> </w:t>
      </w:r>
      <w:r>
        <w:rPr>
          <w:rFonts w:ascii="Arial" w:cs="Arial" w:eastAsia="Arial" w:hAnsi="Arial"/>
          <w:sz w:val="16"/>
          <w:szCs w:val="16"/>
          <w:color w:val="auto"/>
        </w:rPr>
        <w:t>15% interest, respectively, in Cactus II, which owns the Cactus II pipeline system. Although we own a majority of Cactus II’s equity, we do not have a controlling financial interest in Cactus II because the other members have substantive participating rights. Therefore, we account for our ownership interest in Cactus II as an equity method investment. Following the exercise of the purchase options, we deconsolidated Cactus II resulting in a reduction of property and equipment of $74 million (which was representative of the costs incurred to date to construct the pipeline and equivalent to fair value), and we received $26 million of cash from Cactus II, which represented the other members’ portion of the property and equipment.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1" w:name="page152"/>
    <w:bookmarkEnd w:id="1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during the second quarter of 2018, we received a $100 million advance cash payment from Cactus II associated with pipeline capacity agreements, which is recorded as long-term deferred revenue within “Other long-term liabilities and deferred credits” on our Consolidated Balance Sheet. Such amount is being recognized in revenue ratably over the life of the contracts.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Saddlehorn. </w:t>
      </w:r>
      <w:r>
        <w:rPr>
          <w:rFonts w:ascii="Arial" w:cs="Arial" w:eastAsia="Arial" w:hAnsi="Arial"/>
          <w:sz w:val="18"/>
          <w:szCs w:val="18"/>
          <w:color w:val="auto"/>
        </w:rPr>
        <w:t>In February 2020, we sold a 10% ownership interest in Saddlehorn for proceeds of approximately $78 million and have retained a</w:t>
      </w:r>
      <w:r>
        <w:rPr>
          <w:rFonts w:ascii="Arial" w:cs="Arial" w:eastAsia="Arial" w:hAnsi="Arial"/>
          <w:sz w:val="18"/>
          <w:szCs w:val="18"/>
          <w:i w:val="1"/>
          <w:iCs w:val="1"/>
          <w:color w:val="auto"/>
        </w:rPr>
        <w:t xml:space="preserve"> </w:t>
      </w:r>
      <w:r>
        <w:rPr>
          <w:rFonts w:ascii="Arial" w:cs="Arial" w:eastAsia="Arial" w:hAnsi="Arial"/>
          <w:sz w:val="18"/>
          <w:szCs w:val="18"/>
          <w:color w:val="auto"/>
        </w:rPr>
        <w:t>30% ownership interest. We recorded a gain of approximately $21 million related to this sale, which is included in “Gain on/(impairment of) investments in unconsolidated entities, net” on our Condensed Consolidated Statement of Operations. We continue to account for our remaining interest under the equity method of accounting.</w:t>
      </w:r>
    </w:p>
    <w:p>
      <w:pPr>
        <w:spacing w:after="0" w:line="214"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i w:val="1"/>
          <w:iCs w:val="1"/>
          <w:color w:val="auto"/>
        </w:rPr>
        <w:t xml:space="preserve">BridgeTex. </w:t>
      </w:r>
      <w:r>
        <w:rPr>
          <w:rFonts w:ascii="Arial" w:cs="Arial" w:eastAsia="Arial" w:hAnsi="Arial"/>
          <w:sz w:val="18"/>
          <w:szCs w:val="18"/>
          <w:color w:val="auto"/>
        </w:rPr>
        <w:t>During the third quarter of 2018, we sold a 30% interest in BridgeTex for proceeds of $868 million, including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have retained a 20% interest. We recorded a gain of $200 million related to this sale, which is included in “Gain on investment in unconsolidated entities” on our Consolidated Statement of Operations. We continue to account for our remaining interest under the equity method of accounting.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generally fund our portion of development, construction or capital investment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2020, 2019 and 2018, we made cash contributions of $445 million, $504 million and $459 million, respectively, to certain of our equity method investees. In addition, we capitalized interest of $16 million, $20 million and $9 million during the years ended December 31, 2020, 2019 and 2018, respectively, related to contributions to unconsolidated entities for projects under development and construction. We anticipate that we will make additional contributions in 2021 related to ongoing projects.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Differences</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investments in unconsolidated entities exceeded our share of the underlying equity in the net assets of such entities by $170 million and $349 million at December 31, 2020 and 2019,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2020 and 2019 was attributable to goodwill related to our ownership interest in BridgeTex and Capline with the remaining basis difference primarily related to capitalized interest incurred during construction of the assets of our unconsolidated entities. The basis difference at December 31, 2020 was further impacted by impairments as discussed above.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2" w:name="page153"/>
    <w:bookmarkEnd w:id="1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5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 None of our unconsolidated entities have noncontrolling interests.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560"/>
        </w:trPr>
        <w:tc>
          <w:tcPr>
            <w:tcW w:w="67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20" w:type="dxa"/>
            <w:vAlign w:val="bottom"/>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10—Other Long-Term Assets,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assets, net of accumulated amortization, consisted of the following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Estimated Useful</w:t>
            </w:r>
          </w:p>
        </w:tc>
        <w:tc>
          <w:tcPr>
            <w:tcW w:w="220" w:type="dxa"/>
            <w:vAlign w:val="bottom"/>
          </w:tcPr>
          <w:p>
            <w:pPr>
              <w:spacing w:after="0"/>
              <w:rPr>
                <w:sz w:val="11"/>
                <w:szCs w:val="11"/>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6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Lives (Years)</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w w:val="93"/>
              </w:rPr>
              <w:t xml:space="preserve">Customer contracts and relationships </w:t>
            </w:r>
            <w:r>
              <w:rPr>
                <w:rFonts w:ascii="Arial" w:cs="Arial" w:eastAsia="Arial" w:hAnsi="Arial"/>
                <w:sz w:val="23"/>
                <w:szCs w:val="23"/>
                <w:color w:val="auto"/>
                <w:w w:val="93"/>
                <w:vertAlign w:val="superscript"/>
              </w:rPr>
              <w:t>(1)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29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Property tax abatement</w:t>
            </w:r>
          </w:p>
        </w:tc>
        <w:tc>
          <w:tcPr>
            <w:tcW w:w="6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agreements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70</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3040" w:type="dxa"/>
            <w:vAlign w:val="bottom"/>
          </w:tcPr>
          <w:p>
            <w:pPr>
              <w:ind w:left="140"/>
              <w:spacing w:after="0" w:line="223"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3"/>
                <w:szCs w:val="23"/>
                <w:color w:val="auto"/>
                <w:vertAlign w:val="superscript"/>
              </w:rPr>
              <w:t>(2)</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3040" w:type="dxa"/>
            <w:vAlign w:val="bottom"/>
          </w:tcPr>
          <w:p>
            <w:pPr>
              <w:ind w:left="140"/>
              <w:spacing w:after="0"/>
              <w:rPr>
                <w:sz w:val="20"/>
                <w:szCs w:val="20"/>
                <w:color w:val="auto"/>
              </w:rPr>
            </w:pPr>
            <w:r>
              <w:rPr>
                <w:rFonts w:ascii="Arial" w:cs="Arial" w:eastAsia="Arial" w:hAnsi="Arial"/>
                <w:sz w:val="18"/>
                <w:szCs w:val="18"/>
                <w:color w:val="auto"/>
              </w:rPr>
              <w:t>Other long-term assets, net</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660" w:hanging="11"/>
        <w:spacing w:after="0" w:line="277" w:lineRule="auto"/>
        <w:rPr>
          <w:sz w:val="20"/>
          <w:szCs w:val="20"/>
          <w:color w:val="auto"/>
        </w:rPr>
      </w:pPr>
      <w:r>
        <w:rPr>
          <w:rFonts w:ascii="Arial" w:cs="Arial" w:eastAsia="Arial" w:hAnsi="Arial"/>
          <w:sz w:val="18"/>
          <w:szCs w:val="18"/>
          <w:color w:val="auto"/>
        </w:rPr>
        <w:t>Amounts for the year ended December 31, 2020 include intangible assets associated with the acquisition of FM Gathering. See Note 7 for additional information.</w:t>
      </w:r>
    </w:p>
    <w:p>
      <w:pPr>
        <w:spacing w:after="0" w:line="62"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We include rights-of-way, which are intangible assets, in our pipeline and related facilities amounts within property and equipment. See Note 6 for a discussion of property and equipment.</w:t>
      </w:r>
    </w:p>
    <w:p>
      <w:pPr>
        <w:spacing w:after="0" w:line="200"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3" w:name="page154"/>
    <w:bookmarkEnd w:id="1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2020.</w:t>
      </w:r>
    </w:p>
    <w:p>
      <w:pPr>
        <w:spacing w:after="0" w:line="173"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Amortization expense for finite-lived intangible assets for the years ended December 31, 2020, 2019 and 2018 was $90 million, $76 million and $66 million, respectively. We estimate that our amortization expense related to finite-lived intangible assets for the next five years will be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shd w:val="clear" w:color="auto" w:fill="CCEEFF"/>
          </w:tcPr>
          <w:p>
            <w:pPr>
              <w:jc w:val="right"/>
              <w:ind w:right="4630"/>
              <w:spacing w:after="0"/>
              <w:rPr>
                <w:sz w:val="20"/>
                <w:szCs w:val="20"/>
                <w:color w:val="auto"/>
              </w:rPr>
            </w:pPr>
            <w:r>
              <w:rPr>
                <w:rFonts w:ascii="Arial" w:cs="Arial" w:eastAsia="Arial" w:hAnsi="Arial"/>
                <w:sz w:val="18"/>
                <w:szCs w:val="18"/>
                <w:color w:val="auto"/>
                <w:w w:val="89"/>
              </w:rPr>
              <w:t>2021</w:t>
            </w:r>
          </w:p>
        </w:tc>
        <w:tc>
          <w:tcPr>
            <w:tcW w:w="5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5100" w:type="dxa"/>
            <w:vAlign w:val="bottom"/>
          </w:tcPr>
          <w:p>
            <w:pPr>
              <w:jc w:val="right"/>
              <w:ind w:right="4630"/>
              <w:spacing w:after="0"/>
              <w:rPr>
                <w:sz w:val="20"/>
                <w:szCs w:val="20"/>
                <w:color w:val="auto"/>
              </w:rPr>
            </w:pPr>
            <w:r>
              <w:rPr>
                <w:rFonts w:ascii="Arial" w:cs="Arial" w:eastAsia="Arial" w:hAnsi="Arial"/>
                <w:sz w:val="18"/>
                <w:szCs w:val="18"/>
                <w:color w:val="auto"/>
                <w:w w:val="89"/>
              </w:rPr>
              <w:t>2022</w:t>
            </w:r>
          </w:p>
        </w:tc>
        <w:tc>
          <w:tcPr>
            <w:tcW w:w="53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100" w:type="dxa"/>
            <w:vAlign w:val="bottom"/>
            <w:shd w:val="clear" w:color="auto" w:fill="CCEEFF"/>
          </w:tcPr>
          <w:p>
            <w:pPr>
              <w:jc w:val="right"/>
              <w:ind w:right="4630"/>
              <w:spacing w:after="0"/>
              <w:rPr>
                <w:sz w:val="20"/>
                <w:szCs w:val="20"/>
                <w:color w:val="auto"/>
              </w:rPr>
            </w:pPr>
            <w:r>
              <w:rPr>
                <w:rFonts w:ascii="Arial" w:cs="Arial" w:eastAsia="Arial" w:hAnsi="Arial"/>
                <w:sz w:val="18"/>
                <w:szCs w:val="18"/>
                <w:color w:val="auto"/>
                <w:w w:val="89"/>
              </w:rPr>
              <w:t>2023</w:t>
            </w:r>
          </w:p>
        </w:tc>
        <w:tc>
          <w:tcPr>
            <w:tcW w:w="5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5100" w:type="dxa"/>
            <w:vAlign w:val="bottom"/>
          </w:tcPr>
          <w:p>
            <w:pPr>
              <w:jc w:val="right"/>
              <w:ind w:right="4630"/>
              <w:spacing w:after="0"/>
              <w:rPr>
                <w:sz w:val="20"/>
                <w:szCs w:val="20"/>
                <w:color w:val="auto"/>
              </w:rPr>
            </w:pPr>
            <w:r>
              <w:rPr>
                <w:rFonts w:ascii="Arial" w:cs="Arial" w:eastAsia="Arial" w:hAnsi="Arial"/>
                <w:sz w:val="18"/>
                <w:szCs w:val="18"/>
                <w:color w:val="auto"/>
                <w:w w:val="89"/>
              </w:rPr>
              <w:t>2024</w:t>
            </w:r>
          </w:p>
        </w:tc>
        <w:tc>
          <w:tcPr>
            <w:tcW w:w="53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100" w:type="dxa"/>
            <w:vAlign w:val="bottom"/>
            <w:shd w:val="clear" w:color="auto" w:fill="CCEEFF"/>
          </w:tcPr>
          <w:p>
            <w:pPr>
              <w:jc w:val="right"/>
              <w:ind w:right="4630"/>
              <w:spacing w:after="0"/>
              <w:rPr>
                <w:sz w:val="20"/>
                <w:szCs w:val="20"/>
                <w:color w:val="auto"/>
              </w:rPr>
            </w:pPr>
            <w:r>
              <w:rPr>
                <w:rFonts w:ascii="Arial" w:cs="Arial" w:eastAsia="Arial" w:hAnsi="Arial"/>
                <w:sz w:val="18"/>
                <w:szCs w:val="18"/>
                <w:color w:val="auto"/>
                <w:w w:val="89"/>
              </w:rPr>
              <w:t>2025</w:t>
            </w:r>
          </w:p>
        </w:tc>
        <w:tc>
          <w:tcPr>
            <w:tcW w:w="5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4" w:name="page155"/>
    <w:bookmarkEnd w:id="1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6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Commercial paper notes, bearing a weighted-average interest rate of 0.7% and 2.2%, respectively </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76"/>
        </w:trPr>
        <w:tc>
          <w:tcPr>
            <w:tcW w:w="8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secured hedged inventory facility, bearing a weighted-average interest rate of 1.2% and 2.7%,</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respectively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short-term debt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57"/>
        </w:trPr>
        <w:tc>
          <w:tcPr>
            <w:tcW w:w="8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5.00% senior notes due February 2021</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3.65% senior notes due June 2022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2.85% senior notes due January 2023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3.85% senior notes due October 2023</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3.60% senior notes due November 2024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4.65% senior notes due October 2025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4.50% senior notes due December 2026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3.55% senior notes due December 2029</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3.80% senior notes due September 2030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6.70% senior notes due May 2036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6.65% senior notes due January 2037</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5.15% senior notes due June 2042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4.30% senior notes due January 2043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4.70% senior notes due June 2044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4.90% senior notes due February 2045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Unamortized discounts and debt issuance costs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Other long-term debt: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GO Zone term loans, net of debt issuance costs of $1 and $1, respectively, bearing a weighted-average interest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rate of 1.3% and 2.6%, respectively</w:t>
            </w: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23"/>
        </w:trPr>
        <w:tc>
          <w:tcPr>
            <w:tcW w:w="8100" w:type="dxa"/>
            <w:vAlign w:val="bottom"/>
          </w:tcPr>
          <w:p>
            <w:pPr>
              <w:ind w:left="480"/>
              <w:spacing w:after="0" w:line="223"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20" w:hanging="652"/>
        <w:spacing w:after="0" w:line="234" w:lineRule="auto"/>
        <w:tabs>
          <w:tab w:leader="none" w:pos="648" w:val="left"/>
        </w:tabs>
        <w:numPr>
          <w:ilvl w:val="0"/>
          <w:numId w:val="91"/>
        </w:numPr>
        <w:rPr>
          <w:rFonts w:ascii="Arial" w:cs="Arial" w:eastAsia="Arial" w:hAnsi="Arial"/>
          <w:sz w:val="23"/>
          <w:szCs w:val="23"/>
          <w:color w:val="auto"/>
          <w:vertAlign w:val="superscript"/>
        </w:rPr>
      </w:pPr>
      <w:r>
        <w:rPr>
          <w:rFonts w:ascii="Arial" w:cs="Arial" w:eastAsia="Arial" w:hAnsi="Arial"/>
          <w:sz w:val="18"/>
          <w:szCs w:val="18"/>
          <w:color w:val="auto"/>
        </w:rPr>
        <w:t>We classified these commercial paper notes and credit facility borrowings as short-term as of December 31, 2020 and 2019, as these notes and borrowings were primarily designated as working capital borrowings, were required to be repaid within one year and were primarily for hedged NGL and crude oil inventory and NYMEX and ICE margin deposits.</w:t>
      </w:r>
    </w:p>
    <w:p>
      <w:pPr>
        <w:spacing w:after="0" w:line="94" w:lineRule="exact"/>
        <w:rPr>
          <w:rFonts w:ascii="Arial" w:cs="Arial" w:eastAsia="Arial" w:hAnsi="Arial"/>
          <w:sz w:val="23"/>
          <w:szCs w:val="23"/>
          <w:color w:val="auto"/>
          <w:vertAlign w:val="superscript"/>
        </w:rPr>
      </w:pPr>
    </w:p>
    <w:p>
      <w:pPr>
        <w:ind w:left="660" w:right="100" w:hanging="652"/>
        <w:spacing w:after="0" w:line="267" w:lineRule="auto"/>
        <w:tabs>
          <w:tab w:leader="none" w:pos="648" w:val="left"/>
        </w:tabs>
        <w:numPr>
          <w:ilvl w:val="0"/>
          <w:numId w:val="91"/>
        </w:numPr>
        <w:rPr>
          <w:rFonts w:ascii="Arial" w:cs="Arial" w:eastAsia="Arial" w:hAnsi="Arial"/>
          <w:sz w:val="21"/>
          <w:szCs w:val="21"/>
          <w:color w:val="auto"/>
          <w:vertAlign w:val="superscript"/>
        </w:rPr>
      </w:pPr>
      <w:r>
        <w:rPr>
          <w:rFonts w:ascii="Arial" w:cs="Arial" w:eastAsia="Arial" w:hAnsi="Arial"/>
          <w:sz w:val="16"/>
          <w:szCs w:val="16"/>
          <w:color w:val="auto"/>
        </w:rPr>
        <w:t>During the year ended December 31, 2020, we repurchased $17 million of our outstanding senior notes on the open market and recognized a gain of $3 million on these transactions, which is included in “Other income/(expense), net” on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5" w:name="page156"/>
    <w:bookmarkEnd w:id="1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89" w:lineRule="exact"/>
        <w:rPr>
          <w:sz w:val="20"/>
          <w:szCs w:val="20"/>
          <w:color w:val="auto"/>
        </w:rPr>
      </w:pPr>
    </w:p>
    <w:p>
      <w:pPr>
        <w:ind w:left="660" w:hanging="652"/>
        <w:spacing w:after="0" w:line="259" w:lineRule="auto"/>
        <w:tabs>
          <w:tab w:leader="none" w:pos="648" w:val="left"/>
        </w:tabs>
        <w:numPr>
          <w:ilvl w:val="0"/>
          <w:numId w:val="92"/>
        </w:numPr>
        <w:rPr>
          <w:rFonts w:ascii="Arial" w:cs="Arial" w:eastAsia="Arial" w:hAnsi="Arial"/>
          <w:sz w:val="22"/>
          <w:szCs w:val="22"/>
          <w:color w:val="auto"/>
          <w:vertAlign w:val="superscript"/>
        </w:rPr>
      </w:pPr>
      <w:r>
        <w:rPr>
          <w:rFonts w:ascii="Arial" w:cs="Arial" w:eastAsia="Arial" w:hAnsi="Arial"/>
          <w:sz w:val="17"/>
          <w:szCs w:val="17"/>
          <w:color w:val="auto"/>
        </w:rPr>
        <w:t>Our fixed-rate senior notes had a face value of approximately $9.1 billion and $9.0 billion as of December 31, 2020 and 2019, respectively. We estimated the aggregate fair value of these notes as of December 31, 2020 and 2019 to be approximately $9.9 billion and $9.3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commercial paper program and GO Zone term loans approximates fair value as interest rates reflect current market rates. The fair value estimates for our senior notes, credit facilities, commercial paper program and GO Zone term loans are based upon observable market data and are classified in Level 2 of the fair value hierarchy.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52"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We have a commercial paper program under which we may issue (and have outstanding at any time) up to $3.0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Senior secured hedged inventory facility</w:t>
      </w:r>
      <w:r>
        <w:rPr>
          <w:rFonts w:ascii="Arial" w:cs="Arial" w:eastAsia="Arial" w:hAnsi="Arial"/>
          <w:sz w:val="18"/>
          <w:szCs w:val="18"/>
          <w:color w:val="auto"/>
        </w:rPr>
        <w:t>. We have a credit agreement that provides for a senior secured hedged inventory facility with a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capacity of $1.4 billion, of which $400 million is available for the issuance of letters of credit. Subject to obtaining additional or increased lender commitments, the committed capacity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agreement also provides for one or more one-year extensions, subject to applicable approval. In August 2019, we amended this agreement to, among other things, extend the maturity date of the facility to August 2022 for each extending lender. The maturity date with respect to each non-extending lender (which represent aggregate commitments of approximately $45 million out of total commitments of $1.4 billion from all lenders) remains August 2021.</w:t>
      </w:r>
    </w:p>
    <w:p>
      <w:pPr>
        <w:spacing w:after="0" w:line="22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Senior unsecured revolving credit facility. </w:t>
      </w:r>
      <w:r>
        <w:rPr>
          <w:rFonts w:ascii="Arial" w:cs="Arial" w:eastAsia="Arial" w:hAnsi="Arial"/>
          <w:sz w:val="18"/>
          <w:szCs w:val="18"/>
          <w:color w:val="auto"/>
        </w:rPr>
        <w:t>We have a credit agreement that provides for a senior unsecured revolving credit facility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borrowing capacity of $1.6 billion. Subject to obtaining additional or increased lender commitments, the committed capacity may be increased to $2.1 billion. The credit agreement also provides for the issuance of letters of credit. Borrowings accrue interest based, at our election, on certain floating rate indices as defined in the credit agreement, in each case plus a margin based on our credit rating at the applicable time. The agreement also provides for one or more one-year extensions, subject to applicable approval. In August 2019, we amended this agreement to, among other things, extend the maturity date of the facility to August 2024 for each extending lender.</w:t>
      </w:r>
    </w:p>
    <w:p>
      <w:pPr>
        <w:spacing w:after="0" w:line="21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GO Zone term loans</w:t>
      </w:r>
      <w:r>
        <w:rPr>
          <w:rFonts w:ascii="Arial" w:cs="Arial" w:eastAsia="Arial" w:hAnsi="Arial"/>
          <w:sz w:val="17"/>
          <w:szCs w:val="17"/>
          <w:color w:val="auto"/>
        </w:rPr>
        <w:t>. In August 2018, we entered into an agreement for two $100 million term loans (the “GO Zone term loans”)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remarketing of our $100 million Mississippi Business Finance Corporation Gulf Opportunity Zone Industrial Development Revenue Bonds (PAA Natural Gas Storage, L.P. Project), Series 2009 and our $100 million Mississippi Business Finance Corporation Gulf Opportunity Zone Industrial Development Revenue Bonds (PAA Natural Gas Storage, L.P. Project), Series 2010 (collectively, the “GO Bonds”). The GO Zone term loans accrue interest, based on certain floating rate indices,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Senior Notes Issuances. </w:t>
      </w:r>
      <w:r>
        <w:rPr>
          <w:rFonts w:ascii="Arial" w:cs="Arial" w:eastAsia="Arial" w:hAnsi="Arial"/>
          <w:sz w:val="18"/>
          <w:szCs w:val="18"/>
          <w:color w:val="auto"/>
        </w:rPr>
        <w:t>The table below summarizes our issuances of senior unsecured notes during the three years ended December 31, 2020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4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Description</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Face Value</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 Payment Dates</w:t>
            </w:r>
          </w:p>
        </w:tc>
      </w:tr>
      <w:tr>
        <w:trPr>
          <w:trHeight w:val="229"/>
        </w:trPr>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4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3.80% Senior Notes issued at 99.794% of face value</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March 15 and September 15</w:t>
            </w: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30"/>
        </w:trPr>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3.55% Senior Notes issued at 99.801% of face value</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2029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15 and December 15</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Senior Notes Repayments. </w:t>
      </w:r>
      <w:r>
        <w:rPr>
          <w:rFonts w:ascii="Arial" w:cs="Arial" w:eastAsia="Arial" w:hAnsi="Arial"/>
          <w:sz w:val="16"/>
          <w:szCs w:val="16"/>
          <w:color w:val="auto"/>
        </w:rPr>
        <w:t>During the three years ended December 31, 2020, we repaid the following senior unsecured notes in full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5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Description</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2"/>
              </w:rPr>
              <w:t>Repayment Date</w:t>
            </w:r>
          </w:p>
        </w:tc>
        <w:tc>
          <w:tcPr>
            <w:tcW w:w="640" w:type="dxa"/>
            <w:vAlign w:val="bottom"/>
          </w:tcPr>
          <w:p>
            <w:pPr>
              <w:spacing w:after="0"/>
              <w:rPr>
                <w:sz w:val="16"/>
                <w:szCs w:val="16"/>
                <w:color w:val="auto"/>
              </w:rPr>
            </w:pPr>
          </w:p>
        </w:tc>
      </w:tr>
      <w:tr>
        <w:trPr>
          <w:trHeight w:val="229"/>
        </w:trPr>
        <w:tc>
          <w:tcPr>
            <w:tcW w:w="226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5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$600 million 5.00% Senior Notes due February 2021</w:t>
            </w:r>
          </w:p>
        </w:tc>
        <w:tc>
          <w:tcPr>
            <w:tcW w:w="12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2020</w:t>
            </w:r>
          </w:p>
        </w:tc>
        <w:tc>
          <w:tcPr>
            <w:tcW w:w="640" w:type="dxa"/>
            <w:vAlign w:val="bottom"/>
            <w:tcBorders>
              <w:top w:val="single" w:sz="8" w:color="CCEEFF"/>
            </w:tcBorders>
            <w:shd w:val="clear" w:color="auto" w:fill="CCEEFF"/>
          </w:tcPr>
          <w:p>
            <w:pPr>
              <w:jc w:val="right"/>
              <w:ind w:right="322"/>
              <w:spacing w:after="0"/>
              <w:rPr>
                <w:sz w:val="20"/>
                <w:szCs w:val="20"/>
                <w:color w:val="auto"/>
              </w:rPr>
            </w:pPr>
            <w:r>
              <w:rPr>
                <w:rFonts w:ascii="Arial" w:cs="Arial" w:eastAsia="Arial" w:hAnsi="Arial"/>
                <w:sz w:val="12"/>
                <w:szCs w:val="12"/>
                <w:color w:val="auto"/>
              </w:rPr>
              <w:t>(1)</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69" w:lineRule="exact"/>
        <w:rPr>
          <w:sz w:val="20"/>
          <w:szCs w:val="20"/>
          <w:color w:val="auto"/>
        </w:rPr>
      </w:pPr>
    </w:p>
    <w:tbl>
      <w:tblPr>
        <w:tblLayout w:type="fixed"/>
        <w:tblInd w:w="960" w:type="dxa"/>
        <w:tblCellMar>
          <w:top w:w="0" w:type="dxa"/>
          <w:left w:w="0" w:type="dxa"/>
          <w:bottom w:w="0" w:type="dxa"/>
          <w:right w:w="0" w:type="dxa"/>
        </w:tblCellMar>
      </w:tblPr>
      <w:tr>
        <w:trPr>
          <w:trHeight w:val="229"/>
        </w:trPr>
        <w:tc>
          <w:tcPr>
            <w:tcW w:w="1260" w:type="dxa"/>
            <w:vAlign w:val="bottom"/>
          </w:tcPr>
          <w:p>
            <w:pPr>
              <w:jc w:val="right"/>
              <w:ind w:right="810"/>
              <w:spacing w:after="0"/>
              <w:rPr>
                <w:sz w:val="20"/>
                <w:szCs w:val="20"/>
                <w:color w:val="auto"/>
              </w:rPr>
            </w:pPr>
            <w:r>
              <w:rPr>
                <w:rFonts w:ascii="Arial" w:cs="Arial" w:eastAsia="Arial" w:hAnsi="Arial"/>
                <w:sz w:val="18"/>
                <w:szCs w:val="18"/>
                <w:color w:val="auto"/>
                <w:w w:val="84"/>
              </w:rPr>
              <w:t>2019</w:t>
            </w:r>
          </w:p>
        </w:tc>
        <w:tc>
          <w:tcPr>
            <w:tcW w:w="5620" w:type="dxa"/>
            <w:vAlign w:val="bottom"/>
          </w:tcPr>
          <w:p>
            <w:pPr>
              <w:jc w:val="center"/>
              <w:ind w:left="10"/>
              <w:spacing w:after="0"/>
              <w:rPr>
                <w:sz w:val="20"/>
                <w:szCs w:val="20"/>
                <w:color w:val="auto"/>
              </w:rPr>
            </w:pPr>
            <w:r>
              <w:rPr>
                <w:rFonts w:ascii="Arial" w:cs="Arial" w:eastAsia="Arial" w:hAnsi="Arial"/>
                <w:sz w:val="18"/>
                <w:szCs w:val="18"/>
                <w:color w:val="auto"/>
                <w:w w:val="91"/>
              </w:rPr>
              <w:t>$500 million 2.60% Senior Notes due December 2019</w:t>
            </w:r>
          </w:p>
        </w:tc>
        <w:tc>
          <w:tcPr>
            <w:tcW w:w="1980" w:type="dxa"/>
            <w:vAlign w:val="bottom"/>
          </w:tcPr>
          <w:p>
            <w:pPr>
              <w:ind w:left="800"/>
              <w:spacing w:after="0"/>
              <w:rPr>
                <w:sz w:val="20"/>
                <w:szCs w:val="20"/>
                <w:color w:val="auto"/>
              </w:rPr>
            </w:pPr>
            <w:r>
              <w:rPr>
                <w:rFonts w:ascii="Arial" w:cs="Arial" w:eastAsia="Arial" w:hAnsi="Arial"/>
                <w:sz w:val="18"/>
                <w:szCs w:val="18"/>
                <w:color w:val="auto"/>
                <w:w w:val="90"/>
              </w:rPr>
              <w:t>November 2019</w:t>
            </w:r>
          </w:p>
        </w:tc>
      </w:tr>
      <w:tr>
        <w:trPr>
          <w:trHeight w:val="230"/>
        </w:trPr>
        <w:tc>
          <w:tcPr>
            <w:tcW w:w="1260" w:type="dxa"/>
            <w:vAlign w:val="bottom"/>
          </w:tcPr>
          <w:p>
            <w:pPr>
              <w:jc w:val="right"/>
              <w:ind w:right="810"/>
              <w:spacing w:after="0"/>
              <w:rPr>
                <w:sz w:val="20"/>
                <w:szCs w:val="20"/>
                <w:color w:val="auto"/>
              </w:rPr>
            </w:pPr>
            <w:r>
              <w:rPr>
                <w:rFonts w:ascii="Arial" w:cs="Arial" w:eastAsia="Arial" w:hAnsi="Arial"/>
                <w:sz w:val="18"/>
                <w:szCs w:val="18"/>
                <w:color w:val="auto"/>
                <w:w w:val="84"/>
              </w:rPr>
              <w:t>2019</w:t>
            </w:r>
          </w:p>
        </w:tc>
        <w:tc>
          <w:tcPr>
            <w:tcW w:w="5620" w:type="dxa"/>
            <w:vAlign w:val="bottom"/>
          </w:tcPr>
          <w:p>
            <w:pPr>
              <w:jc w:val="center"/>
              <w:ind w:left="10"/>
              <w:spacing w:after="0"/>
              <w:rPr>
                <w:sz w:val="20"/>
                <w:szCs w:val="20"/>
                <w:color w:val="auto"/>
              </w:rPr>
            </w:pPr>
            <w:r>
              <w:rPr>
                <w:rFonts w:ascii="Arial" w:cs="Arial" w:eastAsia="Arial" w:hAnsi="Arial"/>
                <w:sz w:val="18"/>
                <w:szCs w:val="18"/>
                <w:color w:val="auto"/>
                <w:w w:val="90"/>
              </w:rPr>
              <w:t>$500 million 5.75% Senior Notes due January 2020</w:t>
            </w:r>
          </w:p>
        </w:tc>
        <w:tc>
          <w:tcPr>
            <w:tcW w:w="1980" w:type="dxa"/>
            <w:vAlign w:val="bottom"/>
          </w:tcPr>
          <w:p>
            <w:pPr>
              <w:ind w:left="820"/>
              <w:spacing w:after="0"/>
              <w:rPr>
                <w:sz w:val="20"/>
                <w:szCs w:val="20"/>
                <w:color w:val="auto"/>
              </w:rPr>
            </w:pPr>
            <w:r>
              <w:rPr>
                <w:rFonts w:ascii="Arial" w:cs="Arial" w:eastAsia="Arial" w:hAnsi="Arial"/>
                <w:sz w:val="18"/>
                <w:szCs w:val="18"/>
                <w:color w:val="auto"/>
                <w:w w:val="88"/>
              </w:rPr>
              <w:t>December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06285"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126"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318" w:lineRule="exact"/>
        <w:rPr>
          <w:sz w:val="20"/>
          <w:szCs w:val="20"/>
          <w:color w:val="auto"/>
        </w:rPr>
      </w:pPr>
    </w:p>
    <w:p>
      <w:pPr>
        <w:sectPr>
          <w:pgSz w:w="11900" w:h="16838" w:orient="portrait"/>
          <w:cols w:equalWidth="0" w:num="2">
            <w:col w:w="9980" w:space="720"/>
            <w:col w:w="540"/>
          </w:cols>
          <w:pgMar w:left="320" w:top="125" w:right="339"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We repaid these senior notes with proceeds from our 3.80% senior notes issued in June 2020 and cash on hand.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repaid these senior notes with proceeds from our 3.55% senior notes issued in September 2019 and cash on hand.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5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weighted average maturity of our senior notes and GO Zone term loans outstanding at December 31, 2020 was approximately 10 years. The following table presents the aggregate contractually scheduled maturities of such senior notes and GO Zone term loans for the next five years and thereafter. The amounts presented exclude unamortized discounts and debt issuance costs.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Calendar Year</w:t>
            </w:r>
          </w:p>
        </w:tc>
        <w:tc>
          <w:tcPr>
            <w:tcW w:w="240" w:type="dxa"/>
            <w:vAlign w:val="bottom"/>
          </w:tcPr>
          <w:p>
            <w:pPr>
              <w:spacing w:after="0"/>
              <w:rPr>
                <w:sz w:val="14"/>
                <w:szCs w:val="14"/>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88"/>
        </w:trPr>
        <w:tc>
          <w:tcPr>
            <w:tcW w:w="9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2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4"/>
        </w:trPr>
        <w:tc>
          <w:tcPr>
            <w:tcW w:w="9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7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9"/>
        </w:trPr>
        <w:tc>
          <w:tcPr>
            <w:tcW w:w="97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credit agreements for our revolving credit facilities (which impact our ability to access our commercial paper program because they provide the financial backstop that supports our short-term credit ratings) and our term loans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198" w:lineRule="exact"/>
        <w:rPr>
          <w:sz w:val="20"/>
          <w:szCs w:val="20"/>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incur indebtedness, including finance leases;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7" w:name="page158"/>
    <w:bookmarkEnd w:id="1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credit agreements for our senior unsecured revolving credit facility, senior secured hedged inventory facility and GO Zone term loans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21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 default under our credit agreements or indentures would permit the lenders to accelerate the maturity of the outstanding debt. As long as we are in compliance with the provisions contained in our credit agreements, our ability to make distributions of available cash is not restricted. As of December 31, 2020, we were in compliance with the covenants contained in our credit agreements and indentures.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5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Total borrowings under our credit facilities and commercial paper program for the years ended December 31, 2020, 2019 and 2018 were approximately $29.3 billion, $13.3 billion and $45.4 billion, respectively. Total repayments under our credit facilities and commercial paper program were approximately $29.0 billion, $12.9 billion and $46.3 billion for the years ended December 31, 2020, 2019 and 2018,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52"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and transportation of crude oil, NGL and natural gas. These letters of credit are issued under our senior unsecured revolving credit facility and our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2020 and 2019, we had outstanding letters of credit of $129 million and $157 million,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12—Partners’ Capital and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At December 31, 2020, partners’ capital consisted of outstanding common units and Series A and Series B preferred units, which represent limited partner interests in us, which give the holders thereof the right to participate in distributions and to exercise the other rights or privileges as outlined in our partnership agreement. Our general partner has a non-economic interest in us.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Series A Preferred Units</w:t>
      </w:r>
    </w:p>
    <w:p>
      <w:pPr>
        <w:spacing w:after="0" w:line="256"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Our Series A preferred units were issued in a private placement in 2016 at a price of $26.25 per unit (the “Issue Price”). The Series A preferred units represent limited partner interests in us, rank pari passu with our Series B preferred units, and senior to our common units and to each other class or series of our equity securities with respect to distribution rights and rights upon liquidation. The holders of the Series A preferred units receive cumulative quarterly distributions, subject to customary antidilution adjustments, equal to $0.525 per unit ($2.10 per unit annualized).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8" w:name="page159"/>
    <w:bookmarkEnd w:id="1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holders may convert their Series A preferred units into common units, generally on a one-for-one basis and subject to customary anti-dilution adjustments, at any time, in whole or in part, subject to certain minimum conversion amounts (and not more often than once per quarter). We may convert the Series A preferred units into common units at any time (but not more often than once per quarter), in whole or in part, subject to certain minimum conversion amounts, if the closing price of our common units is greater than 150% of the Issue Price for the preceding 20 trading days. The Series A preferred units vote on an as-converted basis with our common units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into common units at the then applicable conversion rate.</w:t>
      </w:r>
    </w:p>
    <w:p>
      <w:pPr>
        <w:spacing w:after="0" w:line="20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a period of 30 days following (a) the fifth anniversary of the January 28, 2016 issuance date (the “Issuance Date”) of the Series A preferred units and (b) each subsequent anniversary of the Issuance Date, the holders of the Series A preferred units, acting by majority vote, may make a one-time election to reset the Series A preferred unit distribution rate to equal the then applicable rate of ten-year U.S. Treasury Securities plus 5.85% (the “Preferred Distribution Rate Reset Option”). The Preferred Distribution Rate Reset Option is accounted for as an embedded derivative. See Note 13 for additional information. If the holders of the Series A preferred units have exercised the Preferred Distribution Rate Reset Option, then, at any time following 30 days after the sixth anniversary of the Issuance Date, we may redeem all or any portion of the outstanding Series A preferred units in exchange for cash, common units (valued at 95% of the volume-weighted average price of our common units for a trading day period specified in our partnership agreement) or a combination of cash and common units at a redemption price equal to 110% of the Issue Price, plus any accrued and unpaid distributions.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Series B Preferred Units</w:t>
      </w:r>
    </w:p>
    <w:p>
      <w:pPr>
        <w:spacing w:after="0" w:line="256"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Series B Fixed-to-Floating Rate Cumulative Redeemable Perpetual Preferred Units representing limited partner interests in us (the “Series B preferred units”) were issued in 2017 at a price to the public of $1,000 per unit. Our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pari passu with our outstanding Series A preferred units and senior to our common units.</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Series B Three-Month LIBOR (as defined in and calculated pursuant to our Seventh Amended and Restated Agreement of Limited Partnership) plus a spread of 4.11%.</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certain rating agency events, we may redeem the Series B preferred units, in whole but not in part, at a price</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9" w:name="page160"/>
    <w:bookmarkEnd w:id="1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for our preferred and common units: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Limited Partners</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80" w:type="dxa"/>
            <w:vAlign w:val="bottom"/>
          </w:tcPr>
          <w:p>
            <w:pPr>
              <w:spacing w:after="0"/>
              <w:rPr>
                <w:sz w:val="11"/>
                <w:szCs w:val="11"/>
                <w:color w:val="auto"/>
              </w:rPr>
            </w:pPr>
          </w:p>
        </w:tc>
        <w:tc>
          <w:tcPr>
            <w:tcW w:w="16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Series A</w:t>
            </w:r>
          </w:p>
        </w:tc>
        <w:tc>
          <w:tcPr>
            <w:tcW w:w="16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Series B</w:t>
            </w:r>
          </w:p>
        </w:tc>
        <w:tc>
          <w:tcPr>
            <w:tcW w:w="15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Preferred Units</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Preferred Units</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69,696,542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725,189,138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Series A preferred units in connection with in-kind distributions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1,393,926</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1,172,786</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726,361,924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1,666,652</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71,090,468</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728,028,576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480" w:type="dxa"/>
            <w:vAlign w:val="bottom"/>
          </w:tcPr>
          <w:p>
            <w:pPr>
              <w:ind w:left="140"/>
              <w:spacing w:after="0" w:line="176" w:lineRule="exact"/>
              <w:rPr>
                <w:sz w:val="20"/>
                <w:szCs w:val="20"/>
                <w:color w:val="auto"/>
              </w:rPr>
            </w:pPr>
            <w:r>
              <w:rPr>
                <w:rFonts w:ascii="Arial" w:cs="Arial" w:eastAsia="Arial" w:hAnsi="Arial"/>
                <w:sz w:val="18"/>
                <w:szCs w:val="18"/>
                <w:color w:val="auto"/>
                <w:w w:val="92"/>
              </w:rPr>
              <w:t>Repurchase and cancellation of common units under the Common Equity Repurchase</w:t>
            </w:r>
          </w:p>
        </w:tc>
        <w:tc>
          <w:tcPr>
            <w:tcW w:w="16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(6,222,748)</w:t>
            </w:r>
          </w:p>
        </w:tc>
        <w:tc>
          <w:tcPr>
            <w:tcW w:w="0" w:type="dxa"/>
            <w:vAlign w:val="bottom"/>
          </w:tcPr>
          <w:p>
            <w:pPr>
              <w:spacing w:after="0"/>
              <w:rPr>
                <w:sz w:val="1"/>
                <w:szCs w:val="1"/>
                <w:color w:val="auto"/>
              </w:rPr>
            </w:pPr>
          </w:p>
        </w:tc>
      </w:tr>
      <w:tr>
        <w:trPr>
          <w:trHeight w:val="230"/>
        </w:trPr>
        <w:tc>
          <w:tcPr>
            <w:tcW w:w="6480" w:type="dxa"/>
            <w:vAlign w:val="bottom"/>
          </w:tcPr>
          <w:p>
            <w:pPr>
              <w:ind w:left="300"/>
              <w:spacing w:after="0"/>
              <w:rPr>
                <w:sz w:val="20"/>
                <w:szCs w:val="20"/>
                <w:color w:val="auto"/>
              </w:rPr>
            </w:pPr>
            <w:r>
              <w:rPr>
                <w:rFonts w:ascii="Arial" w:cs="Arial" w:eastAsia="Arial" w:hAnsi="Arial"/>
                <w:sz w:val="18"/>
                <w:szCs w:val="18"/>
                <w:color w:val="auto"/>
              </w:rPr>
              <w:t>Program</w:t>
            </w:r>
          </w:p>
        </w:tc>
        <w:tc>
          <w:tcPr>
            <w:tcW w:w="162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574,588</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71,090,468</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722,380,416</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Common Equity Repurchase Program. </w:t>
      </w:r>
      <w:r>
        <w:rPr>
          <w:rFonts w:ascii="Arial" w:cs="Arial" w:eastAsia="Arial" w:hAnsi="Arial"/>
          <w:sz w:val="16"/>
          <w:szCs w:val="16"/>
          <w:color w:val="auto"/>
        </w:rPr>
        <w:t>In November 2020, the board of directors of PAGP GP approved a $500 million common equity repurchase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 PAGP Class C shares held by us associated with any publicly held common units that are repurchased will also be canceled. See Note 17 for additional information regarding our ownership of PAGP Class C shares.</w:t>
      </w:r>
    </w:p>
    <w:p>
      <w:pPr>
        <w:spacing w:after="0" w:line="19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repurchased 6,222,748 common units under the Program through open market purchases during the year ended December 31, 2020. The total purchase price of these repurchases was $50 million, including commissions and fees. The repurchased common units were canceled immediately upon acquisition, as were the Class C shares held by us associated with the repurchased common units. At December 31, 2020, the remaining available capacity under the program was $450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accordance with our partnership agreement, after making distributions to holders of our outstanding 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0" w:name="page161"/>
    <w:bookmarkEnd w:id="1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Preferred Unit Distributions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distributions paid to our preferred unitholders during the year presented (in millions, except unit data):</w:t>
      </w:r>
    </w:p>
    <w:p>
      <w:pPr>
        <w:sectPr>
          <w:pgSz w:w="11900" w:h="16838" w:orient="portrait"/>
          <w:cols w:equalWidth="0" w:num="1">
            <w:col w:w="11200"/>
          </w:cols>
          <w:pgMar w:left="320" w:top="125" w:right="379" w:bottom="1440" w:gutter="0" w:footer="0" w:header="0"/>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175"/>
              <w:spacing w:after="0"/>
              <w:rPr>
                <w:sz w:val="20"/>
                <w:szCs w:val="20"/>
                <w:color w:val="auto"/>
              </w:rPr>
            </w:pPr>
            <w:r>
              <w:rPr>
                <w:rFonts w:ascii="Arial" w:cs="Arial" w:eastAsia="Arial" w:hAnsi="Arial"/>
                <w:sz w:val="14"/>
                <w:szCs w:val="14"/>
                <w:b w:val="1"/>
                <w:bCs w:val="1"/>
                <w:color w:val="auto"/>
                <w:w w:val="93"/>
              </w:rPr>
              <w:t>Series A Preferred Unitholders</w:t>
            </w:r>
          </w:p>
        </w:tc>
      </w:tr>
      <w:tr>
        <w:trPr>
          <w:trHeight w:val="202"/>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99"/>
              <w:spacing w:after="0" w:line="202" w:lineRule="exact"/>
              <w:rPr>
                <w:sz w:val="20"/>
                <w:szCs w:val="20"/>
                <w:color w:val="auto"/>
              </w:rPr>
            </w:pPr>
            <w:r>
              <w:rPr>
                <w:rFonts w:ascii="Arial" w:cs="Arial" w:eastAsia="Arial" w:hAnsi="Arial"/>
                <w:sz w:val="14"/>
                <w:szCs w:val="14"/>
                <w:b w:val="1"/>
                <w:bCs w:val="1"/>
                <w:color w:val="auto"/>
                <w:w w:val="92"/>
              </w:rPr>
              <w:t xml:space="preserve">Distribution </w:t>
            </w:r>
            <w:r>
              <w:rPr>
                <w:rFonts w:ascii="Arial" w:cs="Arial" w:eastAsia="Arial" w:hAnsi="Arial"/>
                <w:sz w:val="18"/>
                <w:szCs w:val="18"/>
                <w:b w:val="1"/>
                <w:bCs w:val="1"/>
                <w:color w:val="auto"/>
                <w:w w:val="92"/>
                <w:vertAlign w:val="superscript"/>
              </w:rPr>
              <w:t>(1)</w:t>
            </w:r>
          </w:p>
        </w:tc>
        <w:tc>
          <w:tcPr>
            <w:tcW w:w="840" w:type="dxa"/>
            <w:vAlign w:val="bottom"/>
            <w:tcBorders>
              <w:bottom w:val="single" w:sz="8" w:color="auto"/>
            </w:tcBorders>
          </w:tcPr>
          <w:p>
            <w:pPr>
              <w:spacing w:after="0"/>
              <w:rPr>
                <w:sz w:val="17"/>
                <w:szCs w:val="17"/>
                <w:color w:val="auto"/>
              </w:rPr>
            </w:pPr>
          </w:p>
        </w:tc>
      </w:tr>
      <w:tr>
        <w:trPr>
          <w:trHeight w:val="190"/>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6"/>
                <w:szCs w:val="16"/>
                <w:color w:val="auto"/>
              </w:rPr>
            </w:pPr>
          </w:p>
        </w:tc>
        <w:tc>
          <w:tcPr>
            <w:tcW w:w="1560" w:type="dxa"/>
            <w:vAlign w:val="bottom"/>
            <w:gridSpan w:val="3"/>
          </w:tcPr>
          <w:p>
            <w:pPr>
              <w:ind w:left="240"/>
              <w:spacing w:after="0"/>
              <w:rPr>
                <w:sz w:val="20"/>
                <w:szCs w:val="20"/>
                <w:color w:val="auto"/>
              </w:rPr>
            </w:pPr>
            <w:r>
              <w:rPr>
                <w:rFonts w:ascii="Arial" w:cs="Arial" w:eastAsia="Arial" w:hAnsi="Arial"/>
                <w:sz w:val="14"/>
                <w:szCs w:val="14"/>
                <w:b w:val="1"/>
                <w:bCs w:val="1"/>
                <w:color w:val="auto"/>
              </w:rPr>
              <w:t>Cash</w:t>
            </w:r>
          </w:p>
        </w:tc>
        <w:tc>
          <w:tcPr>
            <w:tcW w:w="840" w:type="dxa"/>
            <w:vAlign w:val="bottom"/>
          </w:tcPr>
          <w:p>
            <w:pPr>
              <w:jc w:val="right"/>
              <w:ind w:right="395"/>
              <w:spacing w:after="0"/>
              <w:rPr>
                <w:sz w:val="20"/>
                <w:szCs w:val="20"/>
                <w:color w:val="auto"/>
              </w:rPr>
            </w:pPr>
            <w:r>
              <w:rPr>
                <w:rFonts w:ascii="Arial" w:cs="Arial" w:eastAsia="Arial" w:hAnsi="Arial"/>
                <w:sz w:val="14"/>
                <w:szCs w:val="14"/>
                <w:b w:val="1"/>
                <w:bCs w:val="1"/>
                <w:color w:val="auto"/>
                <w:w w:val="97"/>
              </w:rPr>
              <w:t>Units</w:t>
            </w:r>
          </w:p>
        </w:tc>
      </w:tr>
      <w:tr>
        <w:trPr>
          <w:trHeight w:val="228"/>
        </w:trPr>
        <w:tc>
          <w:tcPr>
            <w:tcW w:w="5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1,393,926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098030" cy="4457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5">
                      <a:extLst>
                        <a:ext uri="{28A0092B-C50C-407E-A947-70E740481C1C}"/>
                      </a:extLst>
                    </a:blip>
                    <a:srcRect/>
                    <a:stretch>
                      <a:fillRect/>
                    </a:stretch>
                  </pic:blipFill>
                  <pic:spPr bwMode="auto">
                    <a:xfrm>
                      <a:off x="0" y="0"/>
                      <a:ext cx="709803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Series B Preferred Unitholders</w:t>
            </w:r>
          </w:p>
        </w:tc>
      </w:tr>
      <w:tr>
        <w:trPr>
          <w:trHeight w:val="229"/>
        </w:trPr>
        <w:tc>
          <w:tcPr>
            <w:tcW w:w="240" w:type="dxa"/>
            <w:vAlign w:val="bottom"/>
          </w:tcPr>
          <w:p>
            <w:pPr>
              <w:spacing w:after="0"/>
              <w:rPr>
                <w:sz w:val="19"/>
                <w:szCs w:val="19"/>
                <w:color w:val="auto"/>
              </w:rPr>
            </w:pPr>
          </w:p>
        </w:tc>
        <w:tc>
          <w:tcPr>
            <w:tcW w:w="238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Cash</w:t>
            </w:r>
          </w:p>
        </w:tc>
      </w:tr>
      <w:tr>
        <w:trPr>
          <w:trHeight w:val="188"/>
        </w:trPr>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Distribution</w:t>
            </w:r>
          </w:p>
        </w:tc>
      </w:tr>
      <w:tr>
        <w:trPr>
          <w:trHeight w:val="224"/>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ectPr>
          <w:pgSz w:w="11900" w:h="16838" w:orient="portrait"/>
          <w:cols w:equalWidth="0" w:num="2">
            <w:col w:w="8360" w:space="200"/>
            <w:col w:w="2640"/>
          </w:cols>
          <w:pgMar w:left="320" w:top="125" w:right="379" w:bottom="1440" w:gutter="0" w:footer="0" w:header="0"/>
          <w:type w:val="continuous"/>
        </w:sectPr>
      </w:pPr>
    </w:p>
    <w:p>
      <w:pPr>
        <w:spacing w:after="0" w:line="339" w:lineRule="exact"/>
        <w:rPr>
          <w:sz w:val="20"/>
          <w:szCs w:val="20"/>
          <w:color w:val="auto"/>
        </w:rPr>
      </w:pPr>
    </w:p>
    <w:p>
      <w:pPr>
        <w:ind w:left="660" w:right="380" w:hanging="652"/>
        <w:spacing w:after="0" w:line="249" w:lineRule="auto"/>
        <w:tabs>
          <w:tab w:leader="none" w:pos="648" w:val="left"/>
        </w:tabs>
        <w:numPr>
          <w:ilvl w:val="0"/>
          <w:numId w:val="94"/>
        </w:numPr>
        <w:rPr>
          <w:rFonts w:ascii="Arial" w:cs="Arial" w:eastAsia="Arial" w:hAnsi="Arial"/>
          <w:sz w:val="22"/>
          <w:szCs w:val="22"/>
          <w:color w:val="auto"/>
          <w:vertAlign w:val="superscript"/>
        </w:rPr>
      </w:pPr>
      <w:r>
        <w:rPr>
          <w:rFonts w:ascii="Arial" w:cs="Arial" w:eastAsia="Arial" w:hAnsi="Arial"/>
          <w:sz w:val="17"/>
          <w:szCs w:val="17"/>
          <w:color w:val="auto"/>
        </w:rPr>
        <w:t>We elected to pay distributions on our Series A preferred units in additional Series A preferred units for each quarterly distribution from their issuance through the February 2018 distribution. Distributions on our Series A preferred units have been paid in cash since the May 2018 distribution. During 2018, we issued additional Series A preferred units in lieu of cash distributions of $37 million.</w:t>
      </w:r>
    </w:p>
    <w:p>
      <w:pPr>
        <w:spacing w:after="0" w:line="223"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On February 12, 2021, we paid a cash distribution of $37 million to our Series A preferred unitholders. At December 31, 2020, such amount was accrued as distributions payable in “Other current liabilities” on our Consolidated Balance Sheet. At December 31, 2020, approximately $6 million of accrued distributions payable to our Series B preferred unitholders was included in “Other current liabilities” on our Consolidated Balance Sheet.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Unit Distributions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distributions paid to common unitholders during the year presented (in millions, except per unit data):</w:t>
      </w:r>
    </w:p>
    <w:p>
      <w:pPr>
        <w:sectPr>
          <w:pgSz w:w="11900" w:h="16838" w:orient="portrait"/>
          <w:cols w:equalWidth="0" w:num="1">
            <w:col w:w="11200"/>
          </w:cols>
          <w:pgMar w:left="320" w:top="125" w:right="379" w:bottom="1440" w:gutter="0" w:footer="0" w:header="0"/>
          <w:type w:val="continuous"/>
        </w:sect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Distributions Paid</w:t>
            </w:r>
          </w:p>
        </w:tc>
        <w:tc>
          <w:tcPr>
            <w:tcW w:w="5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96"/>
        </w:trPr>
        <w:tc>
          <w:tcPr>
            <w:tcW w:w="22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spacing w:after="0"/>
              <w:rPr>
                <w:sz w:val="17"/>
                <w:szCs w:val="17"/>
                <w:color w:val="auto"/>
              </w:rPr>
            </w:pPr>
          </w:p>
        </w:tc>
        <w:tc>
          <w:tcPr>
            <w:tcW w:w="1740" w:type="dxa"/>
            <w:vAlign w:val="bottom"/>
            <w:gridSpan w:val="2"/>
          </w:tcPr>
          <w:p>
            <w:pPr>
              <w:ind w:left="380"/>
              <w:spacing w:after="0"/>
              <w:rPr>
                <w:sz w:val="20"/>
                <w:szCs w:val="20"/>
                <w:color w:val="auto"/>
              </w:rPr>
            </w:pPr>
            <w:r>
              <w:rPr>
                <w:rFonts w:ascii="Arial" w:cs="Arial" w:eastAsia="Arial" w:hAnsi="Arial"/>
                <w:sz w:val="14"/>
                <w:szCs w:val="14"/>
                <w:b w:val="1"/>
                <w:bCs w:val="1"/>
                <w:color w:val="auto"/>
              </w:rPr>
              <w:t>Public</w:t>
            </w:r>
          </w:p>
        </w:tc>
        <w:tc>
          <w:tcPr>
            <w:tcW w:w="320" w:type="dxa"/>
            <w:vAlign w:val="bottom"/>
          </w:tcPr>
          <w:p>
            <w:pPr>
              <w:spacing w:after="0"/>
              <w:rPr>
                <w:sz w:val="17"/>
                <w:szCs w:val="17"/>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AAP</w:t>
            </w:r>
          </w:p>
        </w:tc>
        <w:tc>
          <w:tcPr>
            <w:tcW w:w="500" w:type="dxa"/>
            <w:vAlign w:val="bottom"/>
          </w:tcPr>
          <w:p>
            <w:pPr>
              <w:spacing w:after="0"/>
              <w:rPr>
                <w:sz w:val="17"/>
                <w:szCs w:val="17"/>
                <w:color w:val="auto"/>
              </w:rPr>
            </w:pPr>
          </w:p>
        </w:tc>
        <w:tc>
          <w:tcPr>
            <w:tcW w:w="1620" w:type="dxa"/>
            <w:vAlign w:val="bottom"/>
          </w:tcPr>
          <w:p>
            <w:pPr>
              <w:jc w:val="right"/>
              <w:ind w:right="815"/>
              <w:spacing w:after="0"/>
              <w:rPr>
                <w:sz w:val="20"/>
                <w:szCs w:val="20"/>
                <w:color w:val="auto"/>
              </w:rPr>
            </w:pPr>
            <w:r>
              <w:rPr>
                <w:rFonts w:ascii="Arial" w:cs="Arial" w:eastAsia="Arial" w:hAnsi="Arial"/>
                <w:sz w:val="14"/>
                <w:szCs w:val="14"/>
                <w:b w:val="1"/>
                <w:bCs w:val="1"/>
                <w:color w:val="auto"/>
              </w:rPr>
              <w:t>Total</w:t>
            </w:r>
          </w:p>
        </w:tc>
      </w:tr>
      <w:tr>
        <w:trPr>
          <w:trHeight w:val="228"/>
        </w:trPr>
        <w:tc>
          <w:tcPr>
            <w:tcW w:w="2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089140" cy="4457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7">
                      <a:extLst>
                        <a:ext uri="{28A0092B-C50C-407E-A947-70E740481C1C}"/>
                      </a:extLst>
                    </a:blip>
                    <a:srcRect/>
                    <a:stretch>
                      <a:fillRect/>
                    </a:stretch>
                  </pic:blipFill>
                  <pic:spPr bwMode="auto">
                    <a:xfrm>
                      <a:off x="0" y="0"/>
                      <a:ext cx="708914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Distributions per</w:t>
            </w:r>
          </w:p>
        </w:tc>
      </w:tr>
      <w:tr>
        <w:trPr>
          <w:trHeight w:val="188"/>
        </w:trPr>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common unit</w:t>
            </w:r>
          </w:p>
        </w:tc>
      </w:tr>
      <w:tr>
        <w:trPr>
          <w:trHeight w:val="224"/>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200" w:lineRule="exact"/>
        <w:rPr>
          <w:sz w:val="20"/>
          <w:szCs w:val="20"/>
          <w:color w:val="auto"/>
        </w:rPr>
      </w:pPr>
    </w:p>
    <w:p>
      <w:pPr>
        <w:sectPr>
          <w:pgSz w:w="11900" w:h="16838" w:orient="portrait"/>
          <w:cols w:equalWidth="0" w:num="2">
            <w:col w:w="8800" w:space="220"/>
            <w:col w:w="2180"/>
          </w:cols>
          <w:pgMar w:left="320" w:top="125" w:right="379" w:bottom="1440" w:gutter="0" w:footer="0" w:header="0"/>
          <w:type w:val="continuous"/>
        </w:sectPr>
      </w:pPr>
    </w:p>
    <w:p>
      <w:pPr>
        <w:spacing w:after="0" w:line="1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7, 2021, we declared a cash distribution of $0.18 per unit on our outstanding common units. The total distribution of $130 million was paid on February 12, 2021 to unitholders of record at the close of business on January 29, 2021, for the period from October 1, 2020 through December 31, 2020. Of this amount, approximately $44 million was paid to AAP.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Allocation</w:t>
      </w:r>
    </w:p>
    <w:p>
      <w:pPr>
        <w:spacing w:after="0" w:line="25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allocate net income for partners’ capital presentation purposes by applying the allocation methodology in our partnership agreement. Net income is allocated 100% to our common unitholders, after giving effect to income allocations for cash distributions to our Series A preferred unitholders and guaranteed payments attributable to our Series B preferred unitholders. In accordance with our partnership agreement, our Series A preferred unitholders are not allocated income for paid-in-kind distributions for partners’ capital presentation purposes.</w:t>
      </w:r>
    </w:p>
    <w:p>
      <w:pPr>
        <w:spacing w:after="0" w:line="198"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For purposes of determining basic and diluted net income per common unit, income is allocated as prescribed in FASB guidance for calculating earnings per unit, including a deduction to income available to common unitholders for distributions attributable to the period (whether paid in cash or in-kind) on our Series A and Series B preferred units.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61" w:name="page162"/>
    <w:bookmarkEnd w:id="1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May 2019, we formed a joint venture, Red River Pipeline Company LLC (“Red River LLC”), with Delek Logistics Partners, LP (“Delek”) on our Red River pipeline system. We received approximately $128 million for Delek’s 33% interest in Red River LLC. We consolidate Red River LLC based on control, with Delek’s 33% interest accounted for as a noncontrolling interest.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received $12 million of contributions from noncontrolling interests in Red River LLC related to the Red River pipeline capacity expansion and paid distributions of $10 million. During the year ended December 31, 2019, we paid distributions of $6 million to noncontrolling interests in Red River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13—Derivatives and Risk Management Activities</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hydrocarbon commodity (referred to herein as “commodity”) price risk,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21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100" w:firstLine="607"/>
        <w:spacing w:after="0" w:line="311" w:lineRule="auto"/>
        <w:rPr>
          <w:sz w:val="20"/>
          <w:szCs w:val="20"/>
          <w:color w:val="auto"/>
        </w:rPr>
      </w:pPr>
      <w:r>
        <w:rPr>
          <w:rFonts w:ascii="Arial" w:cs="Arial" w:eastAsia="Arial" w:hAnsi="Arial"/>
          <w:sz w:val="16"/>
          <w:szCs w:val="16"/>
          <w:color w:val="auto"/>
        </w:rPr>
        <w:t>At December 31, 2020 and 2019,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5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2" w:name="page163"/>
    <w:bookmarkEnd w:id="1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2020, net derivative positions related to these activities included:</w:t>
      </w:r>
    </w:p>
    <w:p>
      <w:pPr>
        <w:spacing w:after="0" w:line="38" w:lineRule="exact"/>
        <w:rPr>
          <w:sz w:val="20"/>
          <w:szCs w:val="20"/>
          <w:color w:val="auto"/>
        </w:rPr>
      </w:pPr>
    </w:p>
    <w:p>
      <w:pPr>
        <w:ind w:left="980" w:right="140" w:hanging="324"/>
        <w:spacing w:after="0" w:line="277" w:lineRule="auto"/>
        <w:tabs>
          <w:tab w:leader="none" w:pos="9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net long position of 5.8 million barrels associated with our crude oil purchases, which was unwound ratably during January 2021 to match monthly average pricing.</w:t>
      </w:r>
    </w:p>
    <w:p>
      <w:pPr>
        <w:spacing w:after="0" w:line="62"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net short time spread position of 6.6 million barrels, which hedges a portion of our anticipated crude oil lease gathering purchases through March 2022.</w:t>
      </w:r>
    </w:p>
    <w:p>
      <w:pPr>
        <w:spacing w:after="0" w:line="62"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net crude oil basis spread position of 0.6 million barrels at multiple locations through December 2021. These derivatives allow us to lock in grade basis differentials.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net short position of 37.4 million barrels through December 2022 related to anticipated net sales of crude oil and NGL inventory.</w:t>
      </w:r>
    </w:p>
    <w:p>
      <w:pPr>
        <w:spacing w:after="0" w:line="26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Notional Volume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Remaining Tenor</w:t>
            </w:r>
          </w:p>
        </w:tc>
        <w:tc>
          <w:tcPr>
            <w:tcW w:w="0" w:type="dxa"/>
            <w:vAlign w:val="bottom"/>
          </w:tcPr>
          <w:p>
            <w:pPr>
              <w:spacing w:after="0"/>
              <w:rPr>
                <w:sz w:val="1"/>
                <w:szCs w:val="1"/>
                <w:color w:val="auto"/>
              </w:rPr>
            </w:pPr>
          </w:p>
        </w:tc>
      </w:tr>
      <w:tr>
        <w:trPr>
          <w:trHeight w:val="188"/>
        </w:trPr>
        <w:tc>
          <w:tcPr>
            <w:tcW w:w="768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(Short)/Long</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37.3 Bcf</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2021</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(6.3) MMbls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December 2021</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(2.3) MMbls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2021</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(0.6) MMbls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December 2021</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14.3 Bcf</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r>
        <w:trPr>
          <w:trHeight w:val="304"/>
        </w:trPr>
        <w:tc>
          <w:tcPr>
            <w:tcW w:w="768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0.7 TWh</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24599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4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40" w:hanging="632"/>
        <w:spacing w:after="0"/>
        <w:tabs>
          <w:tab w:leader="none" w:pos="640" w:val="left"/>
        </w:tabs>
        <w:numPr>
          <w:ilvl w:val="0"/>
          <w:numId w:val="96"/>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337"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3" w:name="page164"/>
    <w:bookmarkEnd w:id="1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as a hedging relationship, as such, changes in the fair value are reported in earnings. A summary of the impact of our commodity derivatives recognized in earnings as follows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gain/(loss) from commodity derivative activity</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89"/>
              </w:rPr>
              <w:t>73</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534"/>
              <w:spacing w:after="0"/>
              <w:rPr>
                <w:sz w:val="20"/>
                <w:szCs w:val="20"/>
                <w:color w:val="auto"/>
              </w:rPr>
            </w:pPr>
            <w:r>
              <w:rPr>
                <w:rFonts w:ascii="Arial" w:cs="Arial" w:eastAsia="Arial" w:hAnsi="Arial"/>
                <w:sz w:val="18"/>
                <w:szCs w:val="18"/>
                <w:color w:val="auto"/>
                <w:w w:val="93"/>
              </w:rPr>
              <w:t>(45)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34"/>
              <w:spacing w:after="0"/>
              <w:rPr>
                <w:sz w:val="20"/>
                <w:szCs w:val="20"/>
                <w:color w:val="auto"/>
              </w:rPr>
            </w:pPr>
            <w:r>
              <w:rPr>
                <w:rFonts w:ascii="Arial" w:cs="Arial" w:eastAsia="Arial" w:hAnsi="Arial"/>
                <w:sz w:val="18"/>
                <w:szCs w:val="18"/>
                <w:color w:val="auto"/>
                <w:w w:val="93"/>
              </w:rPr>
              <w:t>(73)</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Net broker receivable/(payable)</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534"/>
              <w:spacing w:after="0"/>
              <w:rPr>
                <w:sz w:val="20"/>
                <w:szCs w:val="20"/>
                <w:color w:val="auto"/>
              </w:rPr>
            </w:pPr>
            <w:r>
              <w:rPr>
                <w:rFonts w:ascii="Arial" w:cs="Arial" w:eastAsia="Arial" w:hAnsi="Arial"/>
                <w:sz w:val="18"/>
                <w:szCs w:val="18"/>
                <w:color w:val="auto"/>
                <w:w w:val="93"/>
              </w:rPr>
              <w:t>(45)</w:t>
            </w:r>
          </w:p>
        </w:tc>
      </w:tr>
      <w:tr>
        <w:trPr>
          <w:trHeight w:val="21"/>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ectPr>
          <w:pgSz w:w="11900" w:h="16838" w:orient="portrait"/>
          <w:cols w:equalWidth="0" w:num="1">
            <w:col w:w="11240"/>
          </w:cols>
          <w:pgMar w:left="320" w:top="125" w:right="339" w:bottom="1440" w:gutter="0" w:footer="0" w:header="0"/>
        </w:sect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Commodity Derivatives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7"/>
        </w:trPr>
        <w:tc>
          <w:tcPr>
            <w:tcW w:w="2560" w:type="dxa"/>
            <w:vAlign w:val="bottom"/>
          </w:tcPr>
          <w:p>
            <w:pPr>
              <w:spacing w:after="0"/>
              <w:rPr>
                <w:sz w:val="8"/>
                <w:szCs w:val="8"/>
                <w:color w:val="auto"/>
              </w:rPr>
            </w:pPr>
          </w:p>
        </w:tc>
        <w:tc>
          <w:tcPr>
            <w:tcW w:w="2040" w:type="dxa"/>
            <w:vAlign w:val="bottom"/>
            <w:tcBorders>
              <w:bottom w:val="single" w:sz="8" w:color="auto"/>
            </w:tcBorders>
            <w:gridSpan w:val="5"/>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199"/>
        </w:trPr>
        <w:tc>
          <w:tcPr>
            <w:tcW w:w="2560" w:type="dxa"/>
            <w:vAlign w:val="bottom"/>
          </w:tcPr>
          <w:p>
            <w:pPr>
              <w:spacing w:after="0"/>
              <w:rPr>
                <w:sz w:val="17"/>
                <w:szCs w:val="17"/>
                <w:color w:val="auto"/>
              </w:rPr>
            </w:pPr>
          </w:p>
        </w:tc>
        <w:tc>
          <w:tcPr>
            <w:tcW w:w="700" w:type="dxa"/>
            <w:vAlign w:val="bottom"/>
          </w:tcPr>
          <w:p>
            <w:pPr>
              <w:ind w:left="280"/>
              <w:spacing w:after="0"/>
              <w:rPr>
                <w:sz w:val="20"/>
                <w:szCs w:val="20"/>
                <w:color w:val="auto"/>
              </w:rPr>
            </w:pPr>
            <w:r>
              <w:rPr>
                <w:rFonts w:ascii="Arial" w:cs="Arial" w:eastAsia="Arial" w:hAnsi="Arial"/>
                <w:sz w:val="14"/>
                <w:szCs w:val="14"/>
                <w:b w:val="1"/>
                <w:bCs w:val="1"/>
                <w:color w:val="auto"/>
                <w:w w:val="87"/>
              </w:rPr>
              <w:t>Assets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60" w:type="dxa"/>
            <w:vAlign w:val="bottom"/>
          </w:tcPr>
          <w:p>
            <w:pPr>
              <w:spacing w:after="0"/>
              <w:rPr>
                <w:sz w:val="20"/>
                <w:szCs w:val="20"/>
                <w:color w:val="auto"/>
              </w:rPr>
            </w:pPr>
            <w:r>
              <w:rPr>
                <w:rFonts w:ascii="Arial" w:cs="Arial" w:eastAsia="Arial" w:hAnsi="Arial"/>
                <w:sz w:val="18"/>
                <w:szCs w:val="18"/>
                <w:b w:val="1"/>
                <w:bCs w:val="1"/>
                <w:color w:val="auto"/>
              </w:rPr>
              <w:t>Derivative Assets</w:t>
            </w: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5"/>
        </w:trPr>
        <w:tc>
          <w:tcPr>
            <w:tcW w:w="256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Derivative Liabilities</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2560" w:type="dxa"/>
            <w:vAlign w:val="bottom"/>
          </w:tcPr>
          <w:p>
            <w:pPr>
              <w:spacing w:after="0" w:line="176" w:lineRule="exact"/>
              <w:rPr>
                <w:sz w:val="20"/>
                <w:szCs w:val="20"/>
                <w:color w:val="auto"/>
              </w:rPr>
            </w:pPr>
            <w:r>
              <w:rPr>
                <w:rFonts w:ascii="Arial" w:cs="Arial" w:eastAsia="Arial" w:hAnsi="Arial"/>
                <w:sz w:val="18"/>
                <w:szCs w:val="18"/>
                <w:color w:val="auto"/>
              </w:rPr>
              <w:t>Other long-term liabilities and</w:t>
            </w:r>
          </w:p>
        </w:tc>
        <w:tc>
          <w:tcPr>
            <w:tcW w:w="700" w:type="dxa"/>
            <w:vAlign w:val="bottom"/>
          </w:tcPr>
          <w:p>
            <w:pPr>
              <w:spacing w:after="0"/>
              <w:rPr>
                <w:sz w:val="15"/>
                <w:szCs w:val="15"/>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deferred credits</w:t>
            </w:r>
          </w:p>
        </w:tc>
        <w:tc>
          <w:tcPr>
            <w:tcW w:w="70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1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1156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2">
                      <a:extLst>
                        <a:ext uri="{28A0092B-C50C-407E-A947-70E740481C1C}"/>
                      </a:extLst>
                    </a:blip>
                    <a:srcRect/>
                    <a:stretch>
                      <a:fillRect/>
                    </a:stretch>
                  </pic:blipFill>
                  <pic:spPr bwMode="auto">
                    <a:xfrm>
                      <a:off x="0" y="0"/>
                      <a:ext cx="7132320" cy="115697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7000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3">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440"/>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center"/>
              <w:ind w:left="419"/>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center"/>
              <w:ind w:left="459"/>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center"/>
              <w:ind w:left="3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3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3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center"/>
              <w:ind w:left="419"/>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center"/>
              <w:ind w:left="459"/>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3" w:lineRule="exact"/>
        <w:rPr>
          <w:sz w:val="20"/>
          <w:szCs w:val="20"/>
          <w:color w:val="auto"/>
        </w:rPr>
      </w:pPr>
    </w:p>
    <w:p>
      <w:pPr>
        <w:sectPr>
          <w:pgSz w:w="11900" w:h="16838" w:orient="portrait"/>
          <w:cols w:equalWidth="0" w:num="2">
            <w:col w:w="6800" w:space="180"/>
            <w:col w:w="4260"/>
          </w:cols>
          <w:pgMar w:left="320" w:top="125" w:right="339" w:bottom="1440" w:gutter="0" w:footer="0" w:header="0"/>
          <w:type w:val="continuous"/>
        </w:sectPr>
      </w:pPr>
    </w:p>
    <w:p>
      <w:pPr>
        <w:spacing w:after="0" w:line="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4" w:name="page165"/>
    <w:bookmarkEnd w:id="1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terms of our outstanding interest rate derivatives as of December 31, 2020 (notional amounts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Expected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Average Rate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3080" w:type="dxa"/>
            <w:vAlign w:val="bottom"/>
            <w:gridSpan w:val="2"/>
            <w:vMerge w:val="continue"/>
          </w:tcPr>
          <w:p>
            <w:pPr>
              <w:spacing w:after="0"/>
              <w:rPr>
                <w:sz w:val="16"/>
                <w:szCs w:val="16"/>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Derivatives Employed</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 Date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Locked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Treatment</w:t>
            </w:r>
          </w:p>
        </w:tc>
        <w:tc>
          <w:tcPr>
            <w:tcW w:w="0" w:type="dxa"/>
            <w:vAlign w:val="bottom"/>
          </w:tcPr>
          <w:p>
            <w:pPr>
              <w:spacing w:after="0"/>
              <w:rPr>
                <w:sz w:val="1"/>
                <w:szCs w:val="1"/>
                <w:color w:val="auto"/>
              </w:rPr>
            </w:pPr>
          </w:p>
        </w:tc>
      </w:tr>
      <w:tr>
        <w:trPr>
          <w:trHeight w:val="170"/>
        </w:trPr>
        <w:tc>
          <w:tcPr>
            <w:tcW w:w="29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2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6/15/2023</w:t>
            </w: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(30-year)</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4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8 forward starting swaps</w:t>
            </w: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2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89"/>
              </w:rPr>
              <w:t>6/14/2024</w:t>
            </w:r>
          </w:p>
        </w:tc>
        <w:tc>
          <w:tcPr>
            <w:tcW w:w="12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2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(30-year)</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December 31, 2020, there was a net loss of $258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We reclassified losses of $11 million, $9 million and $5 million during years ended December 31, 2020, 2019 and 2018, respectively. Of the total net loss deferred in AOCI at December 31, 2020, we expect to reclassify a loss of $13 million to earnings in the next twelve months. We estimate that substantially all of the remaining deferred loss will be reclassified to earnings through 2054 as the underlying hedged transactions impact earnings. A portion of these amounts is based on market prices as of December 31, 2020; thus, actual amounts to be reclassified will differ and could vary materially as a result of changes in market conditions.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bl>
    <w:p>
      <w:pPr>
        <w:spacing w:after="0" w:line="337"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At December 31, 2020, the net fair value of our interest rate hedges, which were included in “Other long-term assets” on our Consolidated Balance Sheet, totaled $46 million. At December 31, 2019, the fair value of these hedges was $44 million and included in “Other current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52"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3"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2020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88"/>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USD to CAD</w:t>
            </w:r>
          </w:p>
        </w:tc>
        <w:tc>
          <w:tcPr>
            <w:tcW w:w="0" w:type="dxa"/>
            <w:vAlign w:val="bottom"/>
          </w:tcPr>
          <w:p>
            <w:pPr>
              <w:spacing w:after="0"/>
              <w:rPr>
                <w:sz w:val="1"/>
                <w:szCs w:val="1"/>
                <w:color w:val="auto"/>
              </w:rPr>
            </w:pPr>
          </w:p>
        </w:tc>
      </w:tr>
      <w:tr>
        <w:trPr>
          <w:trHeight w:val="211"/>
        </w:trPr>
        <w:tc>
          <w:tcPr>
            <w:tcW w:w="7080" w:type="dxa"/>
            <w:vAlign w:val="bottom"/>
            <w:tcBorders>
              <w:top w:val="single" w:sz="8" w:color="CCEEFF"/>
            </w:tcBorders>
            <w:shd w:val="clear" w:color="auto" w:fill="CCEEFF"/>
          </w:tcPr>
          <w:p>
            <w:pPr>
              <w:jc w:val="right"/>
              <w:ind w:right="249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tcPr>
          <w:p>
            <w:pPr>
              <w:jc w:val="right"/>
              <w:ind w:right="130"/>
              <w:spacing w:after="0"/>
              <w:rPr>
                <w:sz w:val="20"/>
                <w:szCs w:val="20"/>
                <w:color w:val="auto"/>
              </w:rPr>
            </w:pPr>
            <w:r>
              <w:rPr>
                <w:rFonts w:ascii="Arial" w:cs="Arial" w:eastAsia="Arial" w:hAnsi="Arial"/>
                <w:sz w:val="18"/>
                <w:szCs w:val="18"/>
                <w:color w:val="auto"/>
              </w:rPr>
              <w:t>2021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$1.00 - $1.28</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080" w:type="dxa"/>
            <w:vAlign w:val="bottom"/>
          </w:tcPr>
          <w:p>
            <w:pPr>
              <w:jc w:val="right"/>
              <w:ind w:right="249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These derivatives are not designated as a hedging relationship. As such, changes in fair value are recognized in earnings as a component of Supply and Logistics segment revenues. For the years ended December 31, 2020, 2019 and 2018, the amounts recognized in earnings for our currency exchange rate hedges were a gain of less than $1 million, a gain of $8 million and a loss of $23 million,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5" w:name="page166"/>
    <w:bookmarkEnd w:id="1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At December 31, 2020, the net fair value of these currency exchange rate hedges, which is included in “Other current assets” on our Consolidated Balance Sheet, totaled $2 million. At December 31, 2019, the net fair value of these currency exchange rate hedges, which was included in “Other current assets” and “Other current liabilities” on our Condensed Consolidated Balance Sheet, totaled $2 million and $1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Consolidated Balance Sheets. This embedded derivative is not designated as a hedging relationship and corresponding changes in fair value are recognized in “Other income/(expense), net” in our Consolidated Statement of Operations. For the years ended December 31, 2020, 2019 and 2018 we recognized net gains of $20 million, $2 million and a net loss of $14 million, respectively. The fair value of the Preferred Distribution Rate Reset Option, which was included in “Other long-term liabilities and deferred credits” on our Consolidated Balance Sheets, totaled $14 million and $34 million at December 31, 2020 and 2019, respectively. See Note 12 for additional information regarding our Series A preferred units and the Preferred Distribution Rate Reset Option.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ectPr>
          <w:pgSz w:w="11900" w:h="16838" w:orient="portrait"/>
          <w:cols w:equalWidth="0" w:num="1">
            <w:col w:w="11240"/>
          </w:cols>
          <w:pgMar w:left="320" w:top="125" w:right="33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ind w:left="540"/>
              <w:spacing w:after="0"/>
              <w:rPr>
                <w:sz w:val="20"/>
                <w:szCs w:val="20"/>
                <w:color w:val="auto"/>
              </w:rPr>
            </w:pPr>
            <w:r>
              <w:rPr>
                <w:rFonts w:ascii="Arial" w:cs="Arial" w:eastAsia="Arial" w:hAnsi="Arial"/>
                <w:sz w:val="14"/>
                <w:szCs w:val="14"/>
                <w:b w:val="1"/>
                <w:bCs w:val="1"/>
                <w:color w:val="auto"/>
                <w:w w:val="94"/>
              </w:rPr>
              <w:t>Fair Value as of December 31, 2020</w:t>
            </w:r>
          </w:p>
        </w:tc>
        <w:tc>
          <w:tcPr>
            <w:tcW w:w="620" w:type="dxa"/>
            <w:vAlign w:val="bottom"/>
            <w:tcBorders>
              <w:bottom w:val="single" w:sz="8" w:color="auto"/>
            </w:tcBorders>
          </w:tcPr>
          <w:p>
            <w:pPr>
              <w:spacing w:after="0"/>
              <w:rPr>
                <w:sz w:val="16"/>
                <w:szCs w:val="16"/>
                <w:color w:val="auto"/>
              </w:rPr>
            </w:pPr>
          </w:p>
        </w:tc>
      </w:tr>
      <w:tr>
        <w:trPr>
          <w:trHeight w:val="189"/>
        </w:trPr>
        <w:tc>
          <w:tcPr>
            <w:tcW w:w="40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8"/>
                <w:szCs w:val="18"/>
                <w:b w:val="1"/>
                <w:bCs w:val="1"/>
                <w:color w:val="auto"/>
                <w:vertAlign w:val="superscript"/>
              </w:rPr>
              <w:t>(1)</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22"/>
        </w:trPr>
        <w:tc>
          <w:tcPr>
            <w:tcW w:w="3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Commodity derivatives</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center"/>
              <w:ind w:left="213"/>
              <w:spacing w:after="0"/>
              <w:rPr>
                <w:sz w:val="20"/>
                <w:szCs w:val="20"/>
                <w:color w:val="auto"/>
              </w:rPr>
            </w:pPr>
            <w:r>
              <w:rPr>
                <w:rFonts w:ascii="Arial" w:cs="Arial" w:eastAsia="Arial" w:hAnsi="Arial"/>
                <w:sz w:val="18"/>
                <w:szCs w:val="18"/>
                <w:color w:val="auto"/>
                <w:w w:val="93"/>
              </w:rPr>
              <w:t>(15)</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Foreign currency derivatives</w:t>
            </w: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center"/>
              <w:ind w:left="213"/>
              <w:spacing w:after="0"/>
              <w:rPr>
                <w:sz w:val="20"/>
                <w:szCs w:val="20"/>
                <w:color w:val="auto"/>
              </w:rPr>
            </w:pPr>
            <w:r>
              <w:rPr>
                <w:rFonts w:ascii="Arial" w:cs="Arial" w:eastAsia="Arial" w:hAnsi="Arial"/>
                <w:sz w:val="18"/>
                <w:szCs w:val="18"/>
                <w:color w:val="auto"/>
                <w:w w:val="93"/>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000" w:type="dxa"/>
            <w:vAlign w:val="bottom"/>
            <w:gridSpan w:val="2"/>
          </w:tcPr>
          <w:p>
            <w:pPr>
              <w:ind w:left="14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center"/>
              <w:ind w:left="213"/>
              <w:spacing w:after="0"/>
              <w:rPr>
                <w:sz w:val="20"/>
                <w:szCs w:val="20"/>
                <w:color w:val="auto"/>
              </w:rPr>
            </w:pPr>
            <w:r>
              <w:rPr>
                <w:rFonts w:ascii="Arial" w:cs="Arial" w:eastAsia="Arial" w:hAnsi="Arial"/>
                <w:sz w:val="18"/>
                <w:szCs w:val="18"/>
                <w:color w:val="auto"/>
                <w:w w:val="93"/>
              </w:rPr>
              <w:t>(29)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7626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6">
                      <a:extLst>
                        <a:ext uri="{28A0092B-C50C-407E-A947-70E740481C1C}"/>
                      </a:extLst>
                    </a:blip>
                    <a:srcRect/>
                    <a:stretch>
                      <a:fillRect/>
                    </a:stretch>
                  </pic:blipFill>
                  <pic:spPr bwMode="auto">
                    <a:xfrm>
                      <a:off x="0" y="0"/>
                      <a:ext cx="7132320" cy="7626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Fair Value as of December 31,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2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center"/>
              <w:ind w:left="193"/>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center"/>
              <w:ind w:left="193"/>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center"/>
              <w:ind w:left="193"/>
              <w:spacing w:after="0"/>
              <w:rPr>
                <w:sz w:val="20"/>
                <w:szCs w:val="20"/>
                <w:color w:val="auto"/>
              </w:rPr>
            </w:pPr>
            <w:r>
              <w:rPr>
                <w:rFonts w:ascii="Arial" w:cs="Arial" w:eastAsia="Arial" w:hAnsi="Arial"/>
                <w:sz w:val="18"/>
                <w:szCs w:val="18"/>
                <w:color w:val="auto"/>
                <w:w w:val="93"/>
              </w:rPr>
              <w:t>(51)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200"/>
            <w:col w:w="3520"/>
          </w:cols>
          <w:pgMar w:left="320" w:top="125" w:right="339" w:bottom="1440" w:gutter="0" w:footer="0" w:header="0"/>
          <w:type w:val="continuous"/>
        </w:sectPr>
      </w:pPr>
    </w:p>
    <w:p>
      <w:pPr>
        <w:spacing w:after="0" w:line="305"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52" w:lineRule="exact"/>
        <w:rPr>
          <w:rFonts w:ascii="Arial" w:cs="Arial" w:eastAsia="Arial" w:hAnsi="Arial"/>
          <w:sz w:val="23"/>
          <w:szCs w:val="23"/>
          <w:color w:val="auto"/>
          <w:vertAlign w:val="superscript"/>
        </w:rPr>
      </w:pPr>
    </w:p>
    <w:p>
      <w:pPr>
        <w:ind w:left="660" w:right="2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210"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52" w:lineRule="exact"/>
        <w:rPr>
          <w:rFonts w:ascii="Arial" w:cs="Arial" w:eastAsia="Arial" w:hAnsi="Arial"/>
          <w:sz w:val="23"/>
          <w:szCs w:val="23"/>
          <w:color w:val="auto"/>
          <w:vertAlign w:val="superscript"/>
        </w:rPr>
      </w:pPr>
    </w:p>
    <w:p>
      <w:pPr>
        <w:ind w:left="660" w:right="10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75"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52" w:lineRule="exact"/>
        <w:rPr>
          <w:rFonts w:ascii="Arial" w:cs="Arial" w:eastAsia="Arial" w:hAnsi="Arial"/>
          <w:sz w:val="23"/>
          <w:szCs w:val="23"/>
          <w:color w:val="auto"/>
          <w:vertAlign w:val="superscript"/>
        </w:rPr>
      </w:pPr>
    </w:p>
    <w:p>
      <w:pPr>
        <w:ind w:left="660" w:right="880"/>
        <w:spacing w:after="0" w:line="308" w:lineRule="auto"/>
        <w:rPr>
          <w:rFonts w:ascii="Arial" w:cs="Arial" w:eastAsia="Arial" w:hAnsi="Arial"/>
          <w:sz w:val="23"/>
          <w:szCs w:val="23"/>
          <w:color w:val="auto"/>
          <w:vertAlign w:val="superscript"/>
        </w:rPr>
      </w:pPr>
      <w:r>
        <w:rPr>
          <w:rFonts w:ascii="Arial" w:cs="Arial" w:eastAsia="Arial" w:hAnsi="Arial"/>
          <w:sz w:val="17"/>
          <w:szCs w:val="17"/>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6" w:name="page167"/>
    <w:bookmarkEnd w:id="1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right="120"/>
        <w:spacing w:after="0" w:line="257" w:lineRule="auto"/>
        <w:rPr>
          <w:sz w:val="20"/>
          <w:szCs w:val="20"/>
          <w:color w:val="auto"/>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Consolidated Statements of Operations as Supply and Logistics segment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gains/(losses) for the period included in earnings</w:t>
            </w:r>
          </w:p>
        </w:tc>
        <w:tc>
          <w:tcPr>
            <w:tcW w:w="980" w:type="dxa"/>
            <w:vAlign w:val="bottom"/>
          </w:tcPr>
          <w:p>
            <w:pPr>
              <w:spacing w:after="0"/>
              <w:rPr>
                <w:sz w:val="19"/>
                <w:szCs w:val="19"/>
                <w:color w:val="auto"/>
              </w:rPr>
            </w:pPr>
          </w:p>
        </w:tc>
        <w:tc>
          <w:tcPr>
            <w:tcW w:w="460" w:type="dxa"/>
            <w:vAlign w:val="bottom"/>
          </w:tcPr>
          <w:p>
            <w:pPr>
              <w:jc w:val="center"/>
              <w:ind w:left="30"/>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Derivatives entered into during the period</w:t>
            </w:r>
          </w:p>
        </w:tc>
        <w:tc>
          <w:tcPr>
            <w:tcW w:w="98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(26)</w:t>
            </w:r>
          </w:p>
        </w:tc>
        <w:tc>
          <w:tcPr>
            <w:tcW w:w="0" w:type="dxa"/>
            <w:vAlign w:val="bottom"/>
          </w:tcPr>
          <w:p>
            <w:pPr>
              <w:spacing w:after="0"/>
              <w:rPr>
                <w:sz w:val="1"/>
                <w:szCs w:val="1"/>
                <w:color w:val="auto"/>
              </w:rPr>
            </w:pP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Change in unrealized gains/(losses) included in earnings relating to Level 3 derivatives still held at the end of the</w:t>
            </w:r>
          </w:p>
        </w:tc>
        <w:tc>
          <w:tcPr>
            <w:tcW w:w="980" w:type="dxa"/>
            <w:vAlign w:val="bottom"/>
            <w:vMerge w:val="restart"/>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98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11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On January 1, 2019, we adopted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w:t>
      </w:r>
      <w:r>
        <w:rPr>
          <w:rFonts w:ascii="Arial" w:cs="Arial" w:eastAsia="Arial" w:hAnsi="Arial"/>
          <w:sz w:val="17"/>
          <w:szCs w:val="17"/>
          <w:i w:val="1"/>
          <w:iCs w:val="1"/>
          <w:color w:val="auto"/>
        </w:rPr>
        <w:t>,</w:t>
      </w:r>
      <w:r>
        <w:rPr>
          <w:rFonts w:ascii="Arial" w:cs="Arial" w:eastAsia="Arial" w:hAnsi="Arial"/>
          <w:sz w:val="17"/>
          <w:szCs w:val="17"/>
          <w:color w:val="auto"/>
        </w:rPr>
        <w:t xml:space="preserve"> using the optional transitional method, thereby applying the new guidance at the effective date, without adjusting the comparative periods. Therefore, results for reporting periods beginning after January 1, 2019 are presented under Topic 842, while prior period amounts are not adjusted and continue to be reported in accordance with our historic accounting under ASC Topic 840, </w:t>
      </w:r>
      <w:r>
        <w:rPr>
          <w:rFonts w:ascii="Arial" w:cs="Arial" w:eastAsia="Arial" w:hAnsi="Arial"/>
          <w:sz w:val="17"/>
          <w:szCs w:val="17"/>
          <w:i w:val="1"/>
          <w:iCs w:val="1"/>
          <w:color w:val="auto"/>
        </w:rPr>
        <w:t xml:space="preserve">Leases </w:t>
      </w:r>
      <w:r>
        <w:rPr>
          <w:rFonts w:ascii="Arial" w:cs="Arial" w:eastAsia="Arial" w:hAnsi="Arial"/>
          <w:sz w:val="17"/>
          <w:szCs w:val="17"/>
          <w:color w:val="auto"/>
        </w:rPr>
        <w:t>(“Topic 840”). We evaluate all agreements entered into or modified after the date of adoption of Topic 842 that convey to us the use of property or</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for a term to determine whether the agreement is or contains a lease. We lease certain property and equipment under noncancelable and cancelable operating and finance leases. Our operating leases primarily relate to railcars, office space, land, vehicles, and storage tanks, and our finance leases primarily relate to tractor trailers, land,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Our lease agreements have remaining lease terms ranging from one year to approximately 60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21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21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7" w:name="page168"/>
    <w:bookmarkEnd w:id="1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components of lease cost, including both amounts recognized in income and amounts capitalized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828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Cost</w:t>
            </w: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8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2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26"/>
                <w:szCs w:val="26"/>
                <w:color w:val="auto"/>
                <w:vertAlign w:val="subscript"/>
              </w:rPr>
              <w:t>Other</w:t>
            </w:r>
            <w:r>
              <w:rPr>
                <w:rFonts w:ascii="Arial" w:cs="Arial" w:eastAsia="Arial" w:hAnsi="Arial"/>
                <w:sz w:val="10"/>
                <w:szCs w:val="10"/>
                <w:color w:val="auto"/>
              </w:rPr>
              <w:t xml:space="preserve"> (1) (2)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80" w:type="dxa"/>
            <w:vAlign w:val="bottom"/>
            <w:gridSpan w:val="2"/>
          </w:tcPr>
          <w:p>
            <w:pPr>
              <w:ind w:left="14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Includes finance lease costs, variable lease costs and sublease income.</w:t>
      </w:r>
    </w:p>
    <w:p>
      <w:pPr>
        <w:spacing w:after="0" w:line="117" w:lineRule="exact"/>
        <w:rPr>
          <w:sz w:val="20"/>
          <w:szCs w:val="20"/>
          <w:color w:val="auto"/>
        </w:rPr>
      </w:pPr>
    </w:p>
    <w:p>
      <w:pPr>
        <w:ind w:left="20" w:right="620" w:hanging="11"/>
        <w:spacing w:after="0" w:line="277" w:lineRule="auto"/>
        <w:rPr>
          <w:sz w:val="20"/>
          <w:szCs w:val="20"/>
          <w:color w:val="auto"/>
        </w:rPr>
      </w:pPr>
      <w:r>
        <w:rPr>
          <w:rFonts w:ascii="Arial" w:cs="Arial" w:eastAsia="Arial" w:hAnsi="Arial"/>
          <w:sz w:val="18"/>
          <w:szCs w:val="18"/>
          <w:color w:val="auto"/>
        </w:rPr>
        <w:t>Includes approximately $6 million for the year ended December 31, 2020 associated with leased storage tanks owned by an equity method investee, in which we own a 50% interest.</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 cost for the year ended December 31, 2018, accounted for in accordance with Topic 840, was $199 million.</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information related to cash flows arising from lease transactions (in millions):</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8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Non-cash change in lease liabilities arising from obtaining new right-of-use assets or modifications: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8280" w:type="dxa"/>
            <w:vAlign w:val="bottom"/>
          </w:tcPr>
          <w:p>
            <w:pPr>
              <w:ind w:left="14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24599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60" w:right="60" w:hanging="652"/>
        <w:spacing w:after="0" w:line="227" w:lineRule="auto"/>
        <w:tabs>
          <w:tab w:leader="none" w:pos="648" w:val="left"/>
        </w:tabs>
        <w:numPr>
          <w:ilvl w:val="0"/>
          <w:numId w:val="98"/>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$25 million and $12 million for the years ended December 31, 2020 and 2019, respectively, associated with leased storage tanks owned by an equity method investee, in which we own a 50% interest.</w:t>
      </w:r>
    </w:p>
    <w:p>
      <w:pPr>
        <w:spacing w:after="0" w:line="229"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color w:val="auto"/>
        </w:rPr>
        <w:t>Information related to the weighted-average remaining lease term and discount rate is presented in the table below:</w:t>
      </w:r>
    </w:p>
    <w:p>
      <w:pPr>
        <w:spacing w:after="0" w:line="284"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4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902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9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902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580" w:type="dxa"/>
            <w:vAlign w:val="bottom"/>
          </w:tcPr>
          <w:p>
            <w:pPr>
              <w:jc w:val="right"/>
              <w:spacing w:after="0"/>
              <w:rPr>
                <w:sz w:val="20"/>
                <w:szCs w:val="20"/>
                <w:color w:val="auto"/>
              </w:rPr>
            </w:pPr>
            <w:r>
              <w:rPr>
                <w:rFonts w:ascii="Arial" w:cs="Arial" w:eastAsia="Arial" w:hAnsi="Arial"/>
                <w:sz w:val="18"/>
                <w:szCs w:val="18"/>
                <w:color w:val="auto"/>
              </w:rPr>
              <w:t>4.5 %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9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11.1 %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8" w:name="page169"/>
    <w:bookmarkEnd w:id="1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presents the amount and location of our operating and finance lease right-of-use assets and liabilities on our Consolidated Balance Sheets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8"/>
        </w:trPr>
        <w:tc>
          <w:tcPr>
            <w:tcW w:w="36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4"/>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4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29"/>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Operating lease right-of-use assets</w:t>
            </w: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Long-term operating lease right-of-use assets,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36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Finance lease right-of-use assets </w:t>
            </w:r>
            <w:r>
              <w:rPr>
                <w:rFonts w:ascii="Arial" w:cs="Arial" w:eastAsia="Arial" w:hAnsi="Arial"/>
                <w:sz w:val="23"/>
                <w:szCs w:val="23"/>
                <w:color w:val="auto"/>
                <w:vertAlign w:val="superscript"/>
              </w:rPr>
              <w:t>(1)</w:t>
            </w: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Property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Property and equipment,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lease right-of-use assets</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4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660" w:type="dxa"/>
            <w:vAlign w:val="bottom"/>
            <w:gridSpan w:val="2"/>
          </w:tcPr>
          <w:p>
            <w:pPr>
              <w:ind w:left="240"/>
              <w:spacing w:after="0"/>
              <w:rPr>
                <w:sz w:val="20"/>
                <w:szCs w:val="20"/>
                <w:color w:val="auto"/>
              </w:rPr>
            </w:pPr>
            <w:r>
              <w:rPr>
                <w:rFonts w:ascii="Arial" w:cs="Arial" w:eastAsia="Arial" w:hAnsi="Arial"/>
                <w:sz w:val="18"/>
                <w:szCs w:val="18"/>
                <w:color w:val="auto"/>
              </w:rPr>
              <w:t>Current</w:t>
            </w: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Other current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Noncurrent</w:t>
            </w:r>
          </w:p>
        </w:tc>
        <w:tc>
          <w:tcPr>
            <w:tcW w:w="4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Long-term 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3"/>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Total operating lease liabilities</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36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3"/>
                <w:szCs w:val="23"/>
                <w:color w:val="auto"/>
                <w:vertAlign w:val="superscript"/>
              </w:rPr>
              <w:t>(1)</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Current</w:t>
            </w:r>
          </w:p>
        </w:tc>
        <w:tc>
          <w:tcPr>
            <w:tcW w:w="4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Short-term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3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Noncurrent</w:t>
            </w:r>
          </w:p>
        </w:tc>
        <w:tc>
          <w:tcPr>
            <w:tcW w:w="46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1"/>
              </w:rPr>
              <w:t>Other long-term debt,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finance lease liabilities</w:t>
            </w:r>
          </w:p>
        </w:tc>
        <w:tc>
          <w:tcPr>
            <w:tcW w:w="4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35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5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48"/>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4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38" w:lineRule="auto"/>
        <w:tabs>
          <w:tab w:leader="none" w:pos="648" w:val="left"/>
        </w:tabs>
        <w:numPr>
          <w:ilvl w:val="0"/>
          <w:numId w:val="99"/>
        </w:numPr>
        <w:rPr>
          <w:rFonts w:ascii="Arial" w:cs="Arial" w:eastAsia="Arial" w:hAnsi="Arial"/>
          <w:sz w:val="22"/>
          <w:szCs w:val="22"/>
          <w:color w:val="auto"/>
          <w:vertAlign w:val="superscript"/>
        </w:rPr>
      </w:pPr>
      <w:r>
        <w:rPr>
          <w:rFonts w:ascii="Arial" w:cs="Arial" w:eastAsia="Arial" w:hAnsi="Arial"/>
          <w:sz w:val="17"/>
          <w:szCs w:val="17"/>
          <w:color w:val="auto"/>
        </w:rPr>
        <w:t>Includes right-of-use assets of $35 million and $12 million and lease liabilities of $36 million and $12 million as of December 31, 2020 and 2019, respectively, associated with leased storage tanks owned by an equity method investee, in which we own a 50%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9" w:name="page170"/>
    <w:bookmarkEnd w:id="1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maturity of undiscounted cash flows for future minimum lease payments under noncancelable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reconciled to our lease liabilities on our Consolidated Balance Sheet (amounts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7"/>
                <w:szCs w:val="17"/>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 xml:space="preserve">Finance </w:t>
            </w:r>
            <w:r>
              <w:rPr>
                <w:rFonts w:ascii="Arial" w:cs="Arial" w:eastAsia="Arial" w:hAnsi="Arial"/>
                <w:sz w:val="18"/>
                <w:szCs w:val="18"/>
                <w:b w:val="1"/>
                <w:bCs w:val="1"/>
                <w:color w:val="auto"/>
                <w:vertAlign w:val="superscript"/>
              </w:rPr>
              <w:t>(2)</w:t>
            </w:r>
          </w:p>
        </w:tc>
      </w:tr>
      <w:tr>
        <w:trPr>
          <w:trHeight w:val="210"/>
        </w:trPr>
        <w:tc>
          <w:tcPr>
            <w:tcW w:w="82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Future minimum lease payments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2021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826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Present value discount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Excludes future minimum payments for short-term and other immaterial leases not included on our Consolidated Balance Sheet.</w:t>
      </w:r>
    </w:p>
    <w:p>
      <w:pPr>
        <w:spacing w:after="0" w:line="129" w:lineRule="exact"/>
        <w:rPr>
          <w:sz w:val="20"/>
          <w:szCs w:val="20"/>
          <w:color w:val="auto"/>
        </w:rPr>
      </w:pPr>
    </w:p>
    <w:p>
      <w:pPr>
        <w:ind w:left="20" w:right="720" w:hanging="11"/>
        <w:spacing w:after="0" w:line="308" w:lineRule="auto"/>
        <w:rPr>
          <w:sz w:val="20"/>
          <w:szCs w:val="20"/>
          <w:color w:val="auto"/>
        </w:rPr>
      </w:pPr>
      <w:r>
        <w:rPr>
          <w:rFonts w:ascii="Arial" w:cs="Arial" w:eastAsia="Arial" w:hAnsi="Arial"/>
          <w:sz w:val="17"/>
          <w:szCs w:val="17"/>
          <w:color w:val="auto"/>
        </w:rPr>
        <w:t>Includes payments of approximately $6 million for each of the years ending 2021 through 2025 and approximately $64 million thereafter associated with leased storage tanks owned by an equity method investee, in which we own a 50% interest.</w:t>
      </w:r>
    </w:p>
    <w:p>
      <w:pPr>
        <w:spacing w:after="0" w:line="173"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evaluate all agreements entered into or modified after the date of adoption of Topic 842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w:t>
      </w:r>
    </w:p>
    <w:p>
      <w:pPr>
        <w:spacing w:after="0" w:line="21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Facilities and Transportation segments enter into agreements to conduct fee-based activities associated with (i) providing storage services primarily for crude oil, NGL and natural gas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 under Topic 842. For the years ended December 31, 2020 and 2019, our lease revenue was not material.</w:t>
      </w:r>
    </w:p>
    <w:p>
      <w:pPr>
        <w:spacing w:after="0" w:line="21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table below presents the maturity of lease payments for operating lease agreements in effect as of December 31, 2020. This presentation includes minimum fixed lease payments and does not include an estimate of variable lease consideration. These agreements have remaining lease terms ranging from one year to 21 years. The following table presents the undiscounted cash flows expected to be received related to these agreements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revenue</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0" w:name="page171"/>
    <w:bookmarkEnd w:id="1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2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2020 and 2019, we had not recognized any material amounts in connection with uncertainty in income taxes.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5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As an MLP, we are not subject to U.S. federal income taxes; rather the tax effect of our operations is passed through to our unitholders. Although we are subject to state income taxes in some states, the impact to the years ended December 31, 2020, 2019, and 2018 was immaterial.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5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State income tax</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Canadian federal and provincial income tax</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income tax expense</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36"/>
        </w:trPr>
        <w:tc>
          <w:tcPr>
            <w:tcW w:w="67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Deferred income tax expense/(benefit):</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Canadian federal and provincial income tax</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expense/(benefit)</w:t>
            </w:r>
          </w:p>
        </w:tc>
        <w:tc>
          <w:tcPr>
            <w:tcW w:w="98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(70)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expense/(benefit)</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1" w:name="page172"/>
    <w:bookmarkEnd w:id="1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difference between income tax expense based on the statutory federal income tax rate and our effective income tax expense is summarized as follows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Income/(loss) before tax</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2,414</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Partnership (earnings)/loss not subject to current Canadian tax</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(1,690)</w:t>
            </w:r>
          </w:p>
        </w:tc>
      </w:tr>
      <w:tr>
        <w:trPr>
          <w:trHeight w:val="223"/>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724</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Canadian federal and provincial corporate tax rate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 at statutory rate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195</w:t>
            </w:r>
          </w:p>
        </w:tc>
      </w:tr>
      <w:tr>
        <w:trPr>
          <w:trHeight w:val="257"/>
        </w:trPr>
        <w:tc>
          <w:tcPr>
            <w:tcW w:w="6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Canadian permanent differences and rate changes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income tax</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income tax expense/(benefit)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The 2020 Canadian permanent differences and rate changes are primarily related to an impairment of goodwill that was recognized during 2020. A portion of the goodwill that was impaired had no basis for Canadian income tax purposes and thus was not a deductible expense in determining taxable</w:t>
      </w:r>
    </w:p>
    <w:p>
      <w:pPr>
        <w:spacing w:after="0"/>
        <w:rPr>
          <w:sz w:val="20"/>
          <w:szCs w:val="20"/>
          <w:color w:val="auto"/>
        </w:rPr>
      </w:pPr>
      <w:r>
        <w:rPr>
          <w:rFonts w:ascii="Arial" w:cs="Arial" w:eastAsia="Arial" w:hAnsi="Arial"/>
          <w:sz w:val="18"/>
          <w:szCs w:val="18"/>
          <w:color w:val="auto"/>
        </w:rPr>
        <w:t>income, resulting in a permanent difference for Canadian tax purposes. See Note 8 for additional information regarding this impairment.</w:t>
      </w:r>
    </w:p>
    <w:p>
      <w:pPr>
        <w:spacing w:after="0" w:line="25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During the second quarter of 2019, the Alberta government enacted legislation that reduces the Alberta provincial corporate income tax rate from 12% to 8% over the period from July 1, 2019 through January 1, 2022. As a result, during the second quarter of 2019, we recognized a reduction of our deferred income tax liability of approximately $60 million and a corresponding deferred tax benefit. In the fourth quarter of 2020, the Alberta government changed the timing of the rate reduction to decrease the corporate income tax rate to 8% starting July 1, 2020.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Deferred tax assets and liabilities are aggregated by the applicable tax paying entity and jurisdiction and result from the following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496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11"/>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4220" w:type="dxa"/>
            <w:vAlign w:val="bottom"/>
            <w:gridSpan w:val="2"/>
          </w:tcPr>
          <w:p>
            <w:pPr>
              <w:jc w:val="right"/>
              <w:ind w:right="73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Net operating losses</w:t>
            </w:r>
          </w:p>
        </w:tc>
        <w:tc>
          <w:tcPr>
            <w:tcW w:w="3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r>
      <w:tr>
        <w:trPr>
          <w:trHeight w:val="257"/>
        </w:trPr>
        <w:tc>
          <w:tcPr>
            <w:tcW w:w="4960" w:type="dxa"/>
            <w:vAlign w:val="bottom"/>
            <w:shd w:val="clear" w:color="auto" w:fill="CCEEFF"/>
          </w:tcPr>
          <w:p>
            <w:pPr>
              <w:spacing w:after="0"/>
              <w:rPr>
                <w:sz w:val="22"/>
                <w:szCs w:val="22"/>
                <w:color w:val="auto"/>
              </w:rPr>
            </w:pPr>
          </w:p>
        </w:tc>
        <w:tc>
          <w:tcPr>
            <w:tcW w:w="3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in excess of tax values</w:t>
            </w:r>
          </w:p>
        </w:tc>
        <w:tc>
          <w:tcPr>
            <w:tcW w:w="3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9"/>
                <w:szCs w:val="19"/>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3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assets</w:t>
            </w:r>
          </w:p>
        </w:tc>
        <w:tc>
          <w:tcPr>
            <w:tcW w:w="3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2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9"/>
                <w:szCs w:val="19"/>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328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9"/>
                <w:szCs w:val="19"/>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9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Balance sheet classification of deferred tax assets/(liabilities):</w:t>
            </w:r>
          </w:p>
        </w:tc>
        <w:tc>
          <w:tcPr>
            <w:tcW w:w="3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assets, net</w:t>
            </w:r>
          </w:p>
        </w:tc>
        <w:tc>
          <w:tcPr>
            <w:tcW w:w="4220" w:type="dxa"/>
            <w:vAlign w:val="bottom"/>
            <w:gridSpan w:val="2"/>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 and deferred credits</w:t>
            </w:r>
          </w:p>
        </w:tc>
        <w:tc>
          <w:tcPr>
            <w:tcW w:w="32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9"/>
                <w:szCs w:val="19"/>
                <w:color w:val="auto"/>
              </w:rPr>
            </w:pPr>
          </w:p>
        </w:tc>
      </w:tr>
      <w:tr>
        <w:trPr>
          <w:trHeight w:val="248"/>
        </w:trPr>
        <w:tc>
          <w:tcPr>
            <w:tcW w:w="496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21"/>
                <w:szCs w:val="2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1"/>
        </w:trPr>
        <w:tc>
          <w:tcPr>
            <w:tcW w:w="4960" w:type="dxa"/>
            <w:vAlign w:val="bottom"/>
          </w:tcPr>
          <w:p>
            <w:pPr>
              <w:spacing w:after="0"/>
              <w:rPr>
                <w:sz w:val="24"/>
                <w:szCs w:val="24"/>
                <w:color w:val="auto"/>
              </w:rPr>
            </w:pPr>
          </w:p>
        </w:tc>
        <w:tc>
          <w:tcPr>
            <w:tcW w:w="4220" w:type="dxa"/>
            <w:vAlign w:val="bottom"/>
            <w:gridSpan w:val="2"/>
          </w:tcPr>
          <w:p>
            <w:pPr>
              <w:jc w:val="right"/>
              <w:ind w:right="3296"/>
              <w:spacing w:after="0"/>
              <w:rPr>
                <w:sz w:val="20"/>
                <w:szCs w:val="20"/>
                <w:color w:val="auto"/>
              </w:rPr>
            </w:pPr>
            <w:r>
              <w:rPr>
                <w:rFonts w:ascii="Arial" w:cs="Arial" w:eastAsia="Arial" w:hAnsi="Arial"/>
                <w:sz w:val="18"/>
                <w:szCs w:val="18"/>
                <w:color w:val="auto"/>
              </w:rPr>
              <w:t>F-52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2" w:name="page173"/>
    <w:bookmarkEnd w:id="1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we had foreign net operating loss carryforwards of $9 million, which will expire beginning in 2034.</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2016 through 2020. Our U.S. and state tax years are generally open to examination from 2017 to 2020.</w:t>
      </w:r>
    </w:p>
    <w:p>
      <w:pPr>
        <w:spacing w:after="0" w:line="197"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As of December 31, 2020, in reference to tax years 2008 to 2015,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$91 million (based on the exchange rate as of December 31, 2020). Payment of a portion of the assessment is required in order to file a notice of objection to dispute the reassessment. Accordingly, we have remitted approximately $64 million (based on the exchange rate as of December 31, 2020)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2020, we believe that our tax position associated with these matters is “more likely than not” to be sustained and have not recognized any amounts for uncertainty in income taxes related to these notices.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16—Major Customers and Concentration of Credit Risk</w:t>
      </w:r>
    </w:p>
    <w:p>
      <w:pPr>
        <w:spacing w:after="0" w:line="25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Marathon Petroleum Corporation and its subsidiaries accounted for 13%, 12% and 14% of our revenues for the years ended December 31, 2020, 2019 and 2018, respectively. ExxonMobil Corporation and its subsidiaries accounted for 12%, 12% and 14% of our revenues for the years ended December 31, 2020, 2019 and 2018, respectively. Phillips 66 Company and its subsidiaries accounted for 11% of our revenues for the year ended December 31, 2019. No other customers accounted for 10% or more of our revenues during any of the three years ended December 31, 2020.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20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2020 and 2019, we owned 547,717,762 and 549,538,139, respectively, Class C shares of PAGP. Each Class C share represents a non-economic limited partner interest in PAGP. The number of Class C shares that we own is equal to the number of outstanding common units and Series A preferred units that are entitled to vote, pro rata with the holders of PAGP Class A and Class B shares, for the election of eligible PAGP GP directors. The Class C shares function as a “pass-through” voting mechanism through which we vote at the direction of and as proxy for our common unitholders and Series A preferred unitholders in such director elections. Common units held by AAP and Series B preferred units are not entitled to vote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3" w:name="page174"/>
    <w:bookmarkEnd w:id="1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Our General Partner and its Affiliates</w:t>
      </w:r>
    </w:p>
    <w:p>
      <w:pPr>
        <w:spacing w:after="0" w:line="252"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Our general partner provides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the conduct of our business.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2020, 2019 and 2018 were $553 million, $580 million and $494 million,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Plains Entities entered into an Omnibus Agreement on November 15, 2016, which provides for the following:</w:t>
      </w:r>
    </w:p>
    <w:p>
      <w:pPr>
        <w:spacing w:after="0" w:line="252" w:lineRule="exact"/>
        <w:rPr>
          <w:sz w:val="20"/>
          <w:szCs w:val="20"/>
          <w:color w:val="auto"/>
        </w:rPr>
      </w:pPr>
    </w:p>
    <w:p>
      <w:pPr>
        <w:ind w:left="660" w:right="120" w:hanging="328"/>
        <w:spacing w:after="0" w:line="259"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We paid $5 million of such expenses during the year ended December 31, 2020 and $4 million in each of the years ended December 31, 2019 and 2018;</w:t>
      </w:r>
    </w:p>
    <w:p>
      <w:pPr>
        <w:spacing w:after="0" w:line="213" w:lineRule="exact"/>
        <w:rPr>
          <w:rFonts w:ascii="Arial" w:cs="Arial" w:eastAsia="Arial" w:hAnsi="Arial"/>
          <w:sz w:val="18"/>
          <w:szCs w:val="18"/>
          <w:color w:val="auto"/>
        </w:rPr>
      </w:pPr>
    </w:p>
    <w:p>
      <w:pPr>
        <w:ind w:left="660" w:right="140" w:hanging="328"/>
        <w:spacing w:after="0" w:line="308" w:lineRule="auto"/>
        <w:tabs>
          <w:tab w:leader="none" w:pos="6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ability of PAGP to issue additional Class A shares and use the net proceeds therefrom to purchase a like number of AAP units from AAP, and the corresponding ability of AAP to use the net proceeds therefrom to purchase a like number of our common units from us; and</w:t>
      </w:r>
    </w:p>
    <w:p>
      <w:pPr>
        <w:spacing w:after="0" w:line="173"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ability of PAGP to lend proceeds of any future indebtedness incurred by it to AAP, and AAP’s corresponding ability to lend such proceeds to us, in each case on substantially the same terms as incurred by PAGP.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other related parties include (i) principal owners and their affiliated entities and (ii) entities in which we hold investments and account for under the equity method of accounting (see Note 9 for information regarding such entities). We recognize as our principal owners entities that have a designated representative on the board of directors of PAGP GP and/or own greater than 10% of the limited partner interests in AAP. Such limited partner interests in AAP translates into a significantly smaller indirect ownership interest in PAA. We also consider subsidiaries or funds identified as affiliated with principal owners to be related parties.</w:t>
      </w:r>
    </w:p>
    <w:p>
      <w:pPr>
        <w:spacing w:after="0" w:line="21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of December 31, 2020, Kayne Anderson Capital Advisors, L.P. was a principal owner. Through various transactions by an affiliate of The Energy &amp; Minerals Group (“EMG”) in May 2019, EMG’s limited partner interest in AAP was significantly reduced, which caused EMG to lose its right to designate a representative on the board of directors of PAGP GP. As a result, EMG’s board designee, John T. Raymond, was automatically removed from the PAGP GP board. Subsequent to such removal, Mr. Raymond was elected to continue to serve as a director of the PAGP GP board. Additionally, as a result of various transactions by Oxy in September 2019, Oxy no longer holds a limited partner interest in AAP and lost its right to designate a representative on the board of directors of PAGP GP. As a result, Oxy’s board designee, Oscar Brown, was automatically removed from the PAGP GP board. Following these transactions, we no longer recognize EMG or Oxy as a principal owner.</w:t>
      </w:r>
    </w:p>
    <w:p>
      <w:pPr>
        <w:spacing w:after="0" w:line="20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years ended December 31, 2020, we recognized sales and transportation revenues, purchased petroleum products and utilized transportation and storage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4" w:name="page175"/>
    <w:bookmarkEnd w:id="1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Consolidated Statements of Operations from these transactions is included below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70"/>
        </w:trPr>
        <w:tc>
          <w:tcPr>
            <w:tcW w:w="6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6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6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27" w:lineRule="auto"/>
        <w:tabs>
          <w:tab w:leader="none" w:pos="648" w:val="left"/>
        </w:tabs>
        <w:numPr>
          <w:ilvl w:val="0"/>
          <w:numId w:val="101"/>
        </w:numPr>
        <w:rPr>
          <w:rFonts w:ascii="Arial" w:cs="Arial" w:eastAsia="Arial" w:hAnsi="Arial"/>
          <w:sz w:val="23"/>
          <w:szCs w:val="23"/>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229"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6"/>
          <w:szCs w:val="16"/>
          <w:color w:val="auto"/>
        </w:rPr>
        <w:t>Our receivable and payable amounts with these related parties as reflected on our Consolidated Balance Sheets were as follows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57"/>
        </w:trPr>
        <w:tc>
          <w:tcPr>
            <w:tcW w:w="8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8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80" w:hanging="11"/>
        <w:spacing w:after="0" w:line="277" w:lineRule="auto"/>
        <w:rPr>
          <w:sz w:val="20"/>
          <w:szCs w:val="20"/>
          <w:color w:val="auto"/>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62" w:lineRule="exact"/>
        <w:rPr>
          <w:sz w:val="20"/>
          <w:szCs w:val="20"/>
          <w:color w:val="auto"/>
        </w:rPr>
      </w:pPr>
    </w:p>
    <w:p>
      <w:pPr>
        <w:ind w:right="160" w:hanging="11"/>
        <w:spacing w:after="0" w:line="263" w:lineRule="auto"/>
        <w:rPr>
          <w:sz w:val="20"/>
          <w:szCs w:val="20"/>
          <w:color w:val="auto"/>
        </w:rPr>
      </w:pPr>
      <w:r>
        <w:rPr>
          <w:rFonts w:ascii="Arial" w:cs="Arial" w:eastAsia="Arial" w:hAnsi="Arial"/>
          <w:sz w:val="18"/>
          <w:szCs w:val="18"/>
          <w:color w:val="auto"/>
        </w:rPr>
        <w:t>We have agreements to store at facilities and transport crude oil on pipelines that are owned by equity method investees, in which we own a 50% interest. A portion of our commitment to transport is supported by crude oil buy/sell or other agreements with third parties with commensurate quantities.</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18—Equity-Indexed Compensation Plans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equity-indexed compensation plans primarily include PAA LTIPs. 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pacing w:after="0" w:line="21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 For awards with market conditions, the probable outcomes are determined on the respective dates that the fair values are calculated, and the resulting expense is accrued over the service period.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5" w:name="page176"/>
    <w:bookmarkEnd w:id="1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awards authorized under our LTIPs as of December 31, 2020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LTIP</w:t>
            </w:r>
          </w:p>
        </w:tc>
        <w:tc>
          <w:tcPr>
            <w:tcW w:w="2180" w:type="dxa"/>
            <w:vAlign w:val="bottom"/>
          </w:tcPr>
          <w:p>
            <w:pPr>
              <w:jc w:val="right"/>
              <w:ind w:right="696"/>
              <w:spacing w:after="0"/>
              <w:rPr>
                <w:sz w:val="20"/>
                <w:szCs w:val="20"/>
                <w:color w:val="auto"/>
              </w:rPr>
            </w:pPr>
            <w:r>
              <w:rPr>
                <w:rFonts w:ascii="Arial" w:cs="Arial" w:eastAsia="Arial" w:hAnsi="Arial"/>
                <w:sz w:val="14"/>
                <w:szCs w:val="14"/>
                <w:b w:val="1"/>
                <w:bCs w:val="1"/>
                <w:color w:val="auto"/>
              </w:rPr>
              <w:t>PAA LTIP</w:t>
            </w:r>
          </w:p>
        </w:tc>
        <w:tc>
          <w:tcPr>
            <w:tcW w:w="0" w:type="dxa"/>
            <w:vAlign w:val="bottom"/>
          </w:tcPr>
          <w:p>
            <w:pPr>
              <w:spacing w:after="0"/>
              <w:rPr>
                <w:sz w:val="1"/>
                <w:szCs w:val="1"/>
                <w:color w:val="auto"/>
              </w:rPr>
            </w:pPr>
          </w:p>
        </w:tc>
      </w:tr>
      <w:tr>
        <w:trPr>
          <w:trHeight w:val="188"/>
        </w:trPr>
        <w:tc>
          <w:tcPr>
            <w:tcW w:w="9020" w:type="dxa"/>
            <w:vAlign w:val="bottom"/>
            <w:gridSpan w:val="2"/>
            <w:vMerge w:val="continue"/>
          </w:tcPr>
          <w:p>
            <w:pPr>
              <w:spacing w:after="0"/>
              <w:rPr>
                <w:sz w:val="16"/>
                <w:szCs w:val="16"/>
                <w:color w:val="auto"/>
              </w:rPr>
            </w:pPr>
          </w:p>
        </w:tc>
        <w:tc>
          <w:tcPr>
            <w:tcW w:w="2180" w:type="dxa"/>
            <w:vAlign w:val="bottom"/>
          </w:tcPr>
          <w:p>
            <w:pPr>
              <w:jc w:val="right"/>
              <w:ind w:right="416"/>
              <w:spacing w:after="0"/>
              <w:rPr>
                <w:sz w:val="20"/>
                <w:szCs w:val="20"/>
                <w:color w:val="auto"/>
              </w:rPr>
            </w:pPr>
            <w:r>
              <w:rPr>
                <w:rFonts w:ascii="Arial" w:cs="Arial" w:eastAsia="Arial" w:hAnsi="Arial"/>
                <w:sz w:val="14"/>
                <w:szCs w:val="14"/>
                <w:b w:val="1"/>
                <w:bCs w:val="1"/>
                <w:color w:val="auto"/>
              </w:rPr>
              <w:t>Awards Authorized</w:t>
            </w:r>
          </w:p>
        </w:tc>
        <w:tc>
          <w:tcPr>
            <w:tcW w:w="0" w:type="dxa"/>
            <w:vAlign w:val="bottom"/>
          </w:tcPr>
          <w:p>
            <w:pPr>
              <w:spacing w:after="0"/>
              <w:rPr>
                <w:sz w:val="1"/>
                <w:szCs w:val="1"/>
                <w:color w:val="auto"/>
              </w:rPr>
            </w:pPr>
          </w:p>
        </w:tc>
      </w:tr>
      <w:tr>
        <w:trPr>
          <w:trHeight w:val="224"/>
        </w:trPr>
        <w:tc>
          <w:tcPr>
            <w:tcW w:w="8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Plains All American 2013 Long-Term Incentive Plan</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Plains All American PNG Successor Long-Term Incentive Plan</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Plains All American GP LLC 2006 Long-Term Incentive Tracking Unit Plan</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9020" w:type="dxa"/>
            <w:vAlign w:val="bottom"/>
            <w:gridSpan w:val="2"/>
          </w:tcPr>
          <w:p>
            <w:pPr>
              <w:ind w:left="14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
        </w:trPr>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40" w:hanging="652"/>
        <w:spacing w:after="0" w:line="227" w:lineRule="auto"/>
        <w:tabs>
          <w:tab w:leader="none" w:pos="648" w:val="left"/>
        </w:tabs>
        <w:numPr>
          <w:ilvl w:val="0"/>
          <w:numId w:val="102"/>
        </w:numPr>
        <w:rPr>
          <w:rFonts w:ascii="Arial" w:cs="Arial" w:eastAsia="Arial" w:hAnsi="Arial"/>
          <w:sz w:val="23"/>
          <w:szCs w:val="23"/>
          <w:color w:val="auto"/>
          <w:vertAlign w:val="superscript"/>
        </w:rPr>
      </w:pPr>
      <w:r>
        <w:rPr>
          <w:rFonts w:ascii="Arial" w:cs="Arial" w:eastAsia="Arial" w:hAnsi="Arial"/>
          <w:sz w:val="18"/>
          <w:szCs w:val="18"/>
          <w:color w:val="auto"/>
        </w:rPr>
        <w:t>Of the 25.2 million total awards authorized, 2.1 million awards are currently available. The remaining balance has already vested or is currently outstanding.</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Although other types of awards are contemplated under certain of the LTIPs, currently outstanding awards are limited to “phantom units,” which mature into the right to receive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PAA common unit. The DERs terminate with the vesting or forfeiture of the underlying LTIP award.</w:t>
      </w:r>
    </w:p>
    <w:p>
      <w:pPr>
        <w:spacing w:after="0" w:line="21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December 31, 2020, 9.6 million LTIP awards were outstanding. Of this amount, 6.9 million include DERs. At December 31, 2020, certain of the outstanding LTIP awards were considered probable of vesting and such awards are expected to vest at various dates between January 2021 and August 2026.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2020 are summarized below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6"/>
                <w:szCs w:val="16"/>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Total</w:t>
            </w:r>
          </w:p>
        </w:tc>
      </w:tr>
      <w:tr>
        <w:trPr>
          <w:trHeight w:val="229"/>
        </w:trPr>
        <w:tc>
          <w:tcPr>
            <w:tcW w:w="410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30"/>
        </w:trPr>
        <w:tc>
          <w:tcPr>
            <w:tcW w:w="41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480" w:hanging="11"/>
        <w:spacing w:after="0" w:line="277"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office space, (iii) land, (iv) vehicles, (v) storage tanks and (vi) tractor trailers. See Note 14 for additional information.</w:t>
      </w:r>
    </w:p>
    <w:p>
      <w:pPr>
        <w:spacing w:after="0" w:line="197" w:lineRule="exact"/>
        <w:rPr>
          <w:sz w:val="20"/>
          <w:szCs w:val="20"/>
          <w:color w:val="auto"/>
        </w:rPr>
      </w:pPr>
    </w:p>
    <w:p>
      <w:pPr>
        <w:ind w:right="60" w:hanging="11"/>
        <w:spacing w:after="0" w:line="255" w:lineRule="auto"/>
        <w:rPr>
          <w:sz w:val="20"/>
          <w:szCs w:val="20"/>
          <w:color w:val="auto"/>
        </w:rPr>
      </w:pPr>
      <w:r>
        <w:rPr>
          <w:rFonts w:ascii="Arial" w:cs="Arial" w:eastAsia="Arial" w:hAnsi="Arial"/>
          <w:sz w:val="18"/>
          <w:szCs w:val="18"/>
          <w:color w:val="auto"/>
        </w:rPr>
        <w:t>Primarily includes storage, transportation and pipeline throughput agreements, as well as certain rights-of-way easements. Expense associated with our storage, transportation and pipeline throughput agreements was approximately $265 million, $236 million and $228 million for 2020, 2019 and 2018, respectively. A majority of the storage, transportation and pipeline throughput commitments are associated with agreements to store crude oil at facilities and transport crude oil on pipelines owned by equity method investees, in which we own a 50% interest, at posted tariff rates or prices that we believe approximate market. A portion of our commitment to transport is supported by crude oil buy/sell or other agreements with third parties with commensurate quantities.</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6" w:name="page177"/>
    <w:bookmarkEnd w:id="1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203"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9"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7" w:name="page178"/>
    <w:bookmarkEnd w:id="1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At December 31, 2020, our estimated undiscounted reserve for environmental liabilities (including liabilities related to the Line 901 incident, as discussed further below) totaled $141 million, of which $94 million was classified as short-term and $47 million was classified as long-term. At December 31, 2019, our estimated undiscounted reserve for environmental liabilities (including liabilities related to the Line 901 incident) totaled $140 million, of which $60 million was classified as short-term and $80 million was classified as long-term. Such short-term liabilities are reflected in “Trade accounts payable” and “Other current liabilities” and long-term liabilities are reflected in “Other long-term liabilities and deferred credits” on our Consolidated Balance Sheets. At December 31, 2020, we had recorded receivables totaling $97 million for amounts probable of recovery under insurance and from third parties under indemnification agreements, of which $96 million was classified as short-term and $1 million was classified as long-term. At December 31, 2019, we had recorded $72 million of such receivables, of which $35 million was classified as short-term and $37 million was classified as long-term. Such short- and long-term receivables are reflected in “Trade accounts receivable and other receivables, net” and “Other long-term assets, net,” respectively, on our Consolidated Balance Sheets.</w:t>
      </w:r>
    </w:p>
    <w:p>
      <w:pPr>
        <w:spacing w:after="0" w:line="21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78" w:name="page179"/>
    <w:bookmarkEnd w:id="1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claims asserted by the regulatory agencies.</w:t>
      </w:r>
    </w:p>
    <w:p>
      <w:pPr>
        <w:spacing w:after="0" w:line="198"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only pending matter relating to these proceedings is that the Superior Court indicated that it would conduct further hearings on the issue of whether there were any “direct victims” of the spill that are entitled to restitution under applicable law.</w:t>
      </w:r>
    </w:p>
    <w:p>
      <w:pPr>
        <w:spacing w:after="0" w:line="21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We are vigorously defending against those claims. A September 2020 trial date initially set by the Court has been postponed indefinitely due to COVID-19 related trial suspensions.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19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four unitholder derivative lawsuits were filed by certain purported investors in the Partnership against PAGP and certain of the Partnership’s affiliates, officers and directors. After various claims were either dismissed or consolidated, one proceeding against PAGP remains pending in Delaware Chancery Court. Generally, the plaintiffs claim that PAGP failed to exercise proper oversight over the Partnership’s pipeline integrity efforts. We will vigorously defend the claim. No trial date has been set in this action.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9" w:name="page180"/>
    <w:bookmarkEnd w:id="1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have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Remaining claims include claims for lost revenue or profit asserted by a former oil producer that declared bankruptcy and shut in its offshore production platform following the Line 901 incident, a state agency that received royalties on oil produced from that platform until it was abandoned by its owner, and various companies and individuals who provided labor, goods, or services associated with oil production activities they claim were disrupted following the Line 901 incident. The courts have not finally resolved whether those claims are legally viable; however, if necessary, we will mount vigorous defenses to them. We may be subject to additional claims and lawsuits, which could materially impact the liabilities and costs we currently expect to incur as a result of the Line 901 incident.</w:t>
      </w:r>
    </w:p>
    <w:p>
      <w:pPr>
        <w:spacing w:after="0" w:line="20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December 31, 2020, we estimate that the aggregate total costs we have incurred or will incur with respect to the Line 901 incident will be approximately $460 million, which estimate includes actual and projected emergency response and clean-up costs, natural resource damage assessments, fines and penalties payable pursuant to the Consent Decree and certain third-party claims settlements, as well as estimates for certain legal fees.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2020, we had a remaining undiscounted gross liability of $86 million related to this event, which is reflected in “Trade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“Other current liabilities” on our Consolidated Balance Sheet. We maintain insurance coverage, which is subject to certain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exclusions and deductibles, in the event of such environmental liabilities. Subject to such exclusions and deductibles, we believe that our coverage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adequate to cover the current estimated total emergency response and clean-up costs, claims settlement costs and remediation costs and we believe that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coverage is also adequate to cover any potential increase in the estimates for these costs that exceed the amounts currently identified.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we had collected, subject to customary reservations, $245 million out of the approximate $335 million of release costs that we believe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probable of recovery from insurance carriers, net of deductibles. Therefore, as of December 31, 2020, we have recognized a receivable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$90 million for the portion of the release costs that we believe is probable of recovery from insurance, net of deductibles and amounts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already collected. Such amount is recognized as a current asset in “Trade accounts receivable and other receivables, net” on our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Sheet. We have completed the required clean-up and remediation work as determined by the Unified Command and the Unified Command has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dissolved; however, we expect to make payments for additional costs associated with restoration of the impacted areas, as well as legal, professional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regulatory costs during future periods.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18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0" w:name="page181"/>
    <w:bookmarkEnd w:id="1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21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Assets we have acquired or will acquire in the future may have environmental remediation liabilities for which we are not indemnified. We have in the past experienced and in the future likely will experience releases of hydrocarbon products into the environment from our pipeline, rail, storage and other facility operations. We also may discover environmental impacts from past releases that were previously unidentified.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21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1" w:name="page182"/>
    <w:bookmarkEnd w:id="1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20—Quarterly Financial Data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Fourth</w:t>
            </w:r>
          </w:p>
        </w:tc>
        <w:tc>
          <w:tcPr>
            <w:tcW w:w="240" w:type="dxa"/>
            <w:vAlign w:val="bottom"/>
          </w:tcPr>
          <w:p>
            <w:pPr>
              <w:spacing w:after="0"/>
              <w:rPr>
                <w:sz w:val="14"/>
                <w:szCs w:val="14"/>
                <w:color w:val="auto"/>
              </w:rPr>
            </w:pPr>
          </w:p>
        </w:tc>
        <w:tc>
          <w:tcPr>
            <w:tcW w:w="9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6"/>
          </w:tcPr>
          <w:p>
            <w:pPr>
              <w:jc w:val="center"/>
              <w:ind w:left="553"/>
              <w:spacing w:after="0"/>
              <w:rPr>
                <w:sz w:val="20"/>
                <w:szCs w:val="20"/>
                <w:color w:val="auto"/>
              </w:rPr>
            </w:pPr>
            <w:r>
              <w:rPr>
                <w:rFonts w:ascii="Arial" w:cs="Arial" w:eastAsia="Arial" w:hAnsi="Arial"/>
                <w:sz w:val="14"/>
                <w:szCs w:val="14"/>
                <w:b w:val="1"/>
                <w:bCs w:val="1"/>
                <w:color w:val="auto"/>
                <w:w w:val="93"/>
              </w:rPr>
              <w:t>(in millions, except per unit data)</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2020</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8,269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5,963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Operating income/(loss)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Net income/(loss) attributable to PAA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income/(loss) per common unit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Diluted net income/(loss)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2019</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8,253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9,154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Net income attributable to PAA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Diluted net income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four quarters may not equal the total year due to rounding.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Gross margin is calculated as Total revenues less (i) Purchases and related costs, (ii) Field operating costs, (iii) Depreciation and amortization and</w:t>
      </w:r>
    </w:p>
    <w:p>
      <w:pPr>
        <w:spacing w:after="0" w:line="46" w:lineRule="exact"/>
        <w:rPr>
          <w:sz w:val="20"/>
          <w:szCs w:val="20"/>
          <w:color w:val="auto"/>
        </w:rPr>
      </w:pPr>
    </w:p>
    <w:p>
      <w:pPr>
        <w:ind w:right="5420" w:firstLine="16"/>
        <w:spacing w:after="0" w:line="464" w:lineRule="auto"/>
        <w:tabs>
          <w:tab w:leader="none" w:pos="31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(Gains)/losses on asset sales and asset impairments, net. Represents cash distributions declared and paid in the period presented.</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quarterly financial data in the table above includes the impact of:</w:t>
      </w:r>
    </w:p>
    <w:p>
      <w:pPr>
        <w:spacing w:after="0" w:line="185" w:lineRule="exact"/>
        <w:rPr>
          <w:sz w:val="20"/>
          <w:szCs w:val="20"/>
          <w:color w:val="auto"/>
        </w:rPr>
      </w:pPr>
    </w:p>
    <w:p>
      <w:pPr>
        <w:ind w:left="340" w:hanging="324"/>
        <w:spacing w:after="0" w:line="311" w:lineRule="auto"/>
        <w:tabs>
          <w:tab w:leader="none" w:pos="3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impairments of long-lived assets of $446 million and $95 million in the first and fourth quarter of 2020, respectively, as well as $167 million of non-cash impairments recognized upon classification to assets held for sale during the first quarter of 2020. Such amounts are reflected in “(Gains)/losses on asset sales and asset impairments, net” in our Consolidated Statement of Operations. See Note 6 for additional information;</w:t>
      </w:r>
    </w:p>
    <w:p>
      <w:pPr>
        <w:spacing w:after="0" w:line="121" w:lineRule="exact"/>
        <w:rPr>
          <w:rFonts w:ascii="Arial" w:cs="Arial" w:eastAsia="Arial" w:hAnsi="Arial"/>
          <w:sz w:val="16"/>
          <w:szCs w:val="16"/>
          <w:color w:val="auto"/>
        </w:rPr>
      </w:pPr>
    </w:p>
    <w:p>
      <w:pPr>
        <w:ind w:left="340" w:right="800" w:hanging="324"/>
        <w:spacing w:after="0" w:line="277"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goodwill impairment losses of $2.515 billion in the first quarter of 2020, which is reflected in “Goodwill impairment losses” in our Consolidated Statement of Operations. See Note 8 for additional information; and</w:t>
      </w:r>
    </w:p>
    <w:p>
      <w:pPr>
        <w:spacing w:after="0" w:line="129" w:lineRule="exact"/>
        <w:rPr>
          <w:rFonts w:ascii="Arial" w:cs="Arial" w:eastAsia="Arial" w:hAnsi="Arial"/>
          <w:sz w:val="18"/>
          <w:szCs w:val="18"/>
          <w:color w:val="auto"/>
        </w:rPr>
      </w:pPr>
    </w:p>
    <w:p>
      <w:pPr>
        <w:ind w:left="340" w:right="140" w:hanging="324"/>
        <w:spacing w:after="0" w:line="257"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other-than-temporary impairments of certain of our investments in unconsolidated entities of $69 million and $91 million in the second and third quarter of 2020, respectively, as well as a write-down of certain of our investments of $43 million in the first quarter of 2020. The first and third quarter of 2019 include a gain on our investment in Capline LLC of $267 million and $2 million, respectively. Such amounts are reflected in “Gain on/(impairment of) investments in unconsolidated entities, net” in our Consolidated Statements of Operations. See Note 9 for additional information.</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2" w:name="page183"/>
    <w:bookmarkEnd w:id="1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21—Operating Segments</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See Note 3 for a summary of the types of products and services from which each segment derives its revenues. Our Chief Operating Decision Maker (“CODM”) (our Chief Executive Officer) evaluates segment performance based on measures including Segment Adjusted EBITDA (as defined below) and maintenance capital investment.</w:t>
      </w:r>
    </w:p>
    <w:p>
      <w:pPr>
        <w:spacing w:after="0" w:line="17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w:t>
      </w:r>
    </w:p>
    <w:p>
      <w:pPr>
        <w:spacing w:after="0" w:line="19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3" w:name="page184"/>
    <w:bookmarkEnd w:id="1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Investment and acquisition capital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12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24"/>
                <w:szCs w:val="2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388</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Investment and acquisition capital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84" w:name="page185"/>
    <w:bookmarkEnd w:id="1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3"/>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93"/>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Investment and acquisition capital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240" w:hanging="11"/>
        <w:spacing w:after="0" w:line="296" w:lineRule="auto"/>
        <w:rPr>
          <w:sz w:val="20"/>
          <w:szCs w:val="20"/>
          <w:color w:val="auto"/>
        </w:rPr>
      </w:pPr>
      <w:r>
        <w:rPr>
          <w:rFonts w:ascii="Arial" w:cs="Arial" w:eastAsia="Arial" w:hAnsi="Arial"/>
          <w:sz w:val="16"/>
          <w:szCs w:val="16"/>
          <w:color w:val="auto"/>
        </w:rPr>
        <w:t>Transportation revenues from External customers include certain inventory exchanges with our customers where our Supply and Logistics segment has transacted the inventory exchange and serves as the shipper on our pipeline systems. See Note 3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Consolidated Statements of Operations. This presentation is consistent with the information provided to our CODM.</w:t>
      </w:r>
    </w:p>
    <w:p>
      <w:pPr>
        <w:spacing w:after="0" w:line="53" w:lineRule="exact"/>
        <w:rPr>
          <w:sz w:val="20"/>
          <w:szCs w:val="20"/>
          <w:color w:val="auto"/>
        </w:rPr>
      </w:pPr>
    </w:p>
    <w:p>
      <w:pPr>
        <w:ind w:left="20" w:right="120" w:hanging="11"/>
        <w:spacing w:after="0" w:line="311" w:lineRule="auto"/>
        <w:rPr>
          <w:sz w:val="20"/>
          <w:szCs w:val="20"/>
          <w:color w:val="auto"/>
        </w:rPr>
      </w:pPr>
      <w:r>
        <w:rPr>
          <w:rFonts w:ascii="Arial" w:cs="Arial" w:eastAsia="Arial" w:hAnsi="Arial"/>
          <w:sz w:val="16"/>
          <w:szCs w:val="16"/>
          <w:color w:val="auto"/>
        </w:rPr>
        <w:t>Segment revenues include intersegment amounts that are eliminated in Purchases and related costs and Field operating costs in our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Investment and acquisition capital expenditures, including investments in unconsolidated entities.</w:t>
      </w:r>
    </w:p>
    <w:p>
      <w:pPr>
        <w:spacing w:after="0" w:line="200" w:lineRule="exact"/>
        <w:rPr>
          <w:sz w:val="20"/>
          <w:szCs w:val="20"/>
          <w:color w:val="auto"/>
        </w:rPr>
      </w:pPr>
    </w:p>
    <w:p>
      <w:pPr>
        <w:sectPr>
          <w:pgSz w:w="11900" w:h="16838" w:orient="portrait"/>
          <w:cols w:equalWidth="0" w:num="2">
            <w:col w:w="140" w:space="500"/>
            <w:col w:w="10540"/>
          </w:cols>
          <w:pgMar w:left="320" w:top="1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85" w:name="page186"/>
    <w:bookmarkEnd w:id="1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PAA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r>
      <w:tr>
        <w:trPr>
          <w:trHeight w:val="229"/>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67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3"/>
                <w:szCs w:val="23"/>
                <w:color w:val="auto"/>
                <w:vertAlign w:val="superscript"/>
              </w:rPr>
              <w:t>(3)</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29"/>
        </w:trPr>
        <w:tc>
          <w:tcPr>
            <w:tcW w:w="6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7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67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(9)</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Income/(loss) before tax</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(expense)/benefit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29"/>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(2,590)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our proportionate share of the depreciation and amortization of unconsolidated entities.</w:t>
      </w:r>
    </w:p>
    <w:p>
      <w:pPr>
        <w:spacing w:after="0" w:line="117"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87" w:lineRule="exact"/>
        <w:rPr>
          <w:sz w:val="20"/>
          <w:szCs w:val="20"/>
          <w:color w:val="auto"/>
        </w:rPr>
      </w:pPr>
    </w:p>
    <w:p>
      <w:pPr>
        <w:ind w:left="20"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6" w:name="page187"/>
    <w:bookmarkEnd w:id="1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89" w:lineRule="exact"/>
        <w:rPr>
          <w:sz w:val="20"/>
          <w:szCs w:val="20"/>
          <w:color w:val="auto"/>
        </w:rPr>
      </w:pPr>
    </w:p>
    <w:p>
      <w:pPr>
        <w:ind w:left="20" w:right="6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Includes equity-indexed compensation expense associated with awards that will or may be settled in units.</w:t>
      </w:r>
    </w:p>
    <w:p>
      <w:pPr>
        <w:spacing w:after="0" w:line="117" w:lineRule="exact"/>
        <w:rPr>
          <w:sz w:val="20"/>
          <w:szCs w:val="20"/>
          <w:color w:val="auto"/>
        </w:rPr>
      </w:pPr>
    </w:p>
    <w:p>
      <w:pPr>
        <w:ind w:left="20" w:right="260" w:hanging="11"/>
        <w:spacing w:after="0" w:line="277" w:lineRule="auto"/>
        <w:rPr>
          <w:sz w:val="20"/>
          <w:szCs w:val="20"/>
          <w:color w:val="auto"/>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62"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19 for additional information regarding the Line 901 incident.</w:t>
      </w:r>
    </w:p>
    <w:p>
      <w:pPr>
        <w:spacing w:after="0" w:line="62" w:lineRule="exact"/>
        <w:rPr>
          <w:sz w:val="20"/>
          <w:szCs w:val="20"/>
          <w:color w:val="auto"/>
        </w:rPr>
      </w:pPr>
    </w:p>
    <w:p>
      <w:pPr>
        <w:ind w:left="20" w:right="180" w:hanging="11"/>
        <w:spacing w:after="0" w:line="286" w:lineRule="auto"/>
        <w:rPr>
          <w:sz w:val="20"/>
          <w:szCs w:val="20"/>
          <w:color w:val="auto"/>
        </w:rPr>
      </w:pPr>
      <w:r>
        <w:rPr>
          <w:rFonts w:ascii="Arial" w:cs="Arial" w:eastAsia="Arial" w:hAnsi="Arial"/>
          <w:sz w:val="17"/>
          <w:szCs w:val="17"/>
          <w:color w:val="auto"/>
        </w:rPr>
        <w:t>Includes acquisition-related expenses associated with the Felix Midstream LLC acquisition. See Note 7 for additional discussion. An adjustment for these non-recurring expenses is included in the calculation of Segment Adjusted EBITDA for the year ended December 31, 2020 as our CODM does not view such expenses as integral to understanding our core segment operating performance.</w:t>
      </w:r>
    </w:p>
    <w:p>
      <w:pPr>
        <w:spacing w:after="0" w:line="192"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9"/>
        </w:trPr>
        <w:tc>
          <w:tcPr>
            <w:tcW w:w="67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18"/>
                <w:szCs w:val="18"/>
                <w:b w:val="1"/>
                <w:bCs w:val="1"/>
                <w:color w:val="auto"/>
                <w:vertAlign w:val="superscript"/>
              </w:rPr>
              <w:t>(1)</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28,362</w:t>
            </w: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w:t>
            </w: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8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9"/>
        </w:trPr>
        <w:tc>
          <w:tcPr>
            <w:tcW w:w="824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18"/>
                <w:szCs w:val="18"/>
                <w:b w:val="1"/>
                <w:bCs w:val="1"/>
                <w:color w:val="auto"/>
                <w:vertAlign w:val="superscript"/>
              </w:rPr>
              <w:t>(1)</w:t>
            </w: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3"/>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17,565</w:t>
            </w: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r>
      <w:tr>
        <w:trPr>
          <w:trHeight w:val="248"/>
        </w:trPr>
        <w:tc>
          <w:tcPr>
            <w:tcW w:w="8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8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06"/>
        </w:numPr>
        <w:rPr>
          <w:rFonts w:ascii="Arial" w:cs="Arial" w:eastAsia="Arial" w:hAnsi="Arial"/>
          <w:sz w:val="23"/>
          <w:szCs w:val="23"/>
          <w:color w:val="auto"/>
          <w:vertAlign w:val="superscript"/>
        </w:rPr>
      </w:pPr>
      <w:r>
        <w:rPr>
          <w:rFonts w:ascii="Arial" w:cs="Arial" w:eastAsia="Arial" w:hAnsi="Arial"/>
          <w:sz w:val="18"/>
          <w:szCs w:val="18"/>
          <w:color w:val="auto"/>
        </w:rPr>
        <w:t>Excludes long-term derivative assets, long-term deferred tax assets and goodwill.</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82" w:lineRule="exact"/>
        <w:rPr>
          <w:rFonts w:ascii="Arial" w:cs="Arial" w:eastAsia="Arial" w:hAnsi="Arial"/>
          <w:sz w:val="23"/>
          <w:szCs w:val="23"/>
          <w:color w:val="auto"/>
          <w:vertAlign w:val="superscript"/>
        </w:rPr>
      </w:pPr>
    </w:p>
    <w:p>
      <w:pPr>
        <w:ind w:left="5460"/>
        <w:spacing w:after="0"/>
        <w:rPr>
          <w:rFonts w:ascii="Arial" w:cs="Arial" w:eastAsia="Arial" w:hAnsi="Arial"/>
          <w:sz w:val="23"/>
          <w:szCs w:val="23"/>
          <w:color w:val="auto"/>
          <w:vertAlign w:val="superscript"/>
        </w:rPr>
      </w:pPr>
      <w:r>
        <w:rPr>
          <w:rFonts w:ascii="Arial" w:cs="Arial" w:eastAsia="Arial" w:hAnsi="Arial"/>
          <w:sz w:val="18"/>
          <w:szCs w:val="18"/>
          <w:color w:val="auto"/>
        </w:rPr>
        <w:t>F-67</w:t>
      </w:r>
    </w:p>
    <w:p>
      <w:pPr>
        <w:sectPr>
          <w:pgSz w:w="11900" w:h="16838" w:orient="portrait"/>
          <w:cols w:equalWidth="0" w:num="1">
            <w:col w:w="11220"/>
          </w:cols>
          <w:pgMar w:left="320" w:top="125" w:right="359" w:bottom="1440" w:gutter="0" w:footer="0" w:header="0"/>
          <w:type w:val="continuous"/>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Exhibit 4.19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40" w:right="300"/>
        <w:spacing w:after="0" w:line="256" w:lineRule="auto"/>
        <w:rPr>
          <w:sz w:val="20"/>
          <w:szCs w:val="20"/>
          <w:color w:val="auto"/>
        </w:rPr>
      </w:pPr>
      <w:r>
        <w:rPr>
          <w:rFonts w:ascii="Arial" w:cs="Arial" w:eastAsia="Arial" w:hAnsi="Arial"/>
          <w:sz w:val="22"/>
          <w:szCs w:val="22"/>
          <w:b w:val="1"/>
          <w:bCs w:val="1"/>
          <w:color w:val="auto"/>
        </w:rPr>
        <w:t>DESCRIPTION OF THE REGISTRANT’S SECURITIES REGISTERED PURSUANT TO SECTION 12 OF THE SECURITIES EXCHANGE ACT OF 1934</w:t>
      </w:r>
    </w:p>
    <w:p>
      <w:pPr>
        <w:spacing w:after="0" w:line="202"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As of December 31, 2020, Plains All American Pipeline L.P. has one class of securities registered under Section 12 of the Securities Exchange Act of 1934, as amended (the “Exchange Act”): its common units representing limited partner interests, which are described in this Exhibit. The following definitions are used in this Exhibit:</w:t>
      </w:r>
    </w:p>
    <w:p>
      <w:pPr>
        <w:spacing w:after="0" w:line="209"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"Partnership," "Plains," "PAA," "we," "us," "our," "ours" and similar terms refer to Plains All American Pipeline, L.P. and its subsidiaries; and</w:t>
      </w:r>
    </w:p>
    <w:p>
      <w:pPr>
        <w:spacing w:after="0" w:line="250" w:lineRule="exact"/>
        <w:rPr>
          <w:rFonts w:ascii="Arial" w:cs="Arial" w:eastAsia="Arial" w:hAnsi="Arial"/>
          <w:sz w:val="17"/>
          <w:szCs w:val="17"/>
          <w:color w:val="auto"/>
        </w:rPr>
      </w:pPr>
    </w:p>
    <w:p>
      <w:pPr>
        <w:ind w:left="660" w:right="20" w:hanging="328"/>
        <w:spacing w:after="0" w:line="261"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"General partner," refers to, as the context requires, any or all of PAA GP Holdings LLC ("PAGP GP"), Plains GP Holdings, L.P. ("PAGP"), Plains AAP, L.P. ("AAP") and Plains All American GP LLC ("GP LLC").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UNITS</w:t>
      </w:r>
    </w:p>
    <w:p>
      <w:pPr>
        <w:spacing w:after="0" w:line="243"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"Our Cash Distribution Policy."</w:t>
      </w:r>
    </w:p>
    <w:p>
      <w:pPr>
        <w:spacing w:after="0" w:line="209"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Our outstanding common units are listed on the Nasdaq Global Select Market under the symbol "PAA." Any additional common units we issue will also be listed on Nasdaq.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43"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below.</w:t>
      </w:r>
    </w:p>
    <w:p>
      <w:pPr>
        <w:spacing w:after="0" w:line="21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spacing w:after="0" w:line="209"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Subject to limited exceptions, PAGP GP’s Third Amended and Restated Limited Liability Company Agreement (as amended, the “PAGP GP LLC Agreement”) provides that the Board will consist of up to 13 members, including the CEO and, based on current ownership levels, up to two designated directors. In addition, if PAA fails to make three distributions on its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216"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The Board is divided into three staggered classes. 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ectPr>
          <w:pgSz w:w="11900" w:h="16838" w:orient="portrait"/>
          <w:cols w:equalWidth="0" w:num="1">
            <w:col w:w="11240"/>
          </w:cols>
          <w:pgMar w:left="320" w:top="126" w:right="339" w:bottom="1440" w:gutter="0" w:footer="0" w:header="0"/>
        </w:sectPr>
      </w:pPr>
    </w:p>
    <w:bookmarkStart w:id="188" w:name="page189"/>
    <w:bookmarkEnd w:id="188"/>
    <w:p>
      <w:pPr>
        <w:spacing w:after="0" w:line="239" w:lineRule="auto"/>
        <w:rPr>
          <w:sz w:val="20"/>
          <w:szCs w:val="20"/>
          <w:color w:val="auto"/>
        </w:rPr>
      </w:pPr>
      <w:r>
        <w:rPr>
          <w:rFonts w:ascii="Arial" w:cs="Arial" w:eastAsia="Arial" w:hAnsi="Arial"/>
          <w:sz w:val="18"/>
          <w:szCs w:val="18"/>
          <w:color w:val="auto"/>
        </w:rPr>
        <w:t>PAGP holds annual shareholder meetings for the purpose of electing eligible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eligible directors at PAGP’s annual meeting. We will vote (or refrain from voting) our Class C shares for the election of eligible directors at the direction and on behalf of our eligible common and Series A preferred unitholders in the same proportion as the votes received from or withheld by our limited partners. Common units held by AAP will not be voted and will not be counted for purposes of determining whether a quorum exists.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4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Except as described under "Description of Our Partnership Agreement—Limited Liability," the common units will be fully paid, and common unitholders will not be required to make additional capital contributions to us.</w:t>
      </w:r>
    </w:p>
    <w:p>
      <w:pPr>
        <w:spacing w:after="0" w:line="198"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7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43"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any), in each case, to PAGP. The AAP Class A units transferred to AAP will be canceled, the PAGP Class B shares transferred to PAGP will be canceled and the general partner units transferred to PAGP will remain outstanding and increase PAGP's ownership percentage in PAGP GP.</w:t>
      </w:r>
    </w:p>
    <w:p>
      <w:pPr>
        <w:spacing w:after="0" w:line="18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As long as PAGP's Class A shares are publicly traded, a holder of Class B units of AAP (the “AAP management units”) will be entitled to convert his or her vested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vested AAP management units who convert such units into AAP Class A units and PAGP Class B shares will not receive general partner units and thus will not need to include any general partner units in a transfer or the exercise of their Redemption Right.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OUR CASH DISTRIBUTION POLICY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will distribute to our unitholders, on a quarterly basis, all of our available cash in the manner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20" w:top="1421" w:right="399" w:bottom="1440" w:gutter="0" w:footer="0" w:header="0"/>
        </w:sectPr>
      </w:pPr>
    </w:p>
    <w:bookmarkStart w:id="189" w:name="page190"/>
    <w:bookmarkEnd w:id="189"/>
    <w:p>
      <w:pPr>
        <w:ind w:right="120"/>
        <w:spacing w:after="0" w:line="261"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and cash equivalents on hand at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that quarter less reserves established in the reasonable discretion of the general partner for future requirements to:</w:t>
      </w:r>
    </w:p>
    <w:p>
      <w:pPr>
        <w:spacing w:after="0" w:line="198" w:lineRule="exact"/>
        <w:rPr>
          <w:sz w:val="20"/>
          <w:szCs w:val="20"/>
          <w:color w:val="auto"/>
        </w:rPr>
      </w:pPr>
    </w:p>
    <w:p>
      <w:pPr>
        <w:ind w:left="660" w:right="200" w:hanging="328"/>
        <w:spacing w:after="0" w:line="261"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provide for the proper conduct of our business and the business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comply with applicable law or any loan agreement, security agreement, mortgage, debt instrument or other agreement or obligation; or</w:t>
      </w:r>
    </w:p>
    <w:p>
      <w:pPr>
        <w:spacing w:after="0" w:line="115" w:lineRule="exact"/>
        <w:rPr>
          <w:rFonts w:ascii="Arial" w:cs="Arial" w:eastAsia="Arial" w:hAnsi="Arial"/>
          <w:sz w:val="17"/>
          <w:szCs w:val="17"/>
          <w:color w:val="auto"/>
        </w:rPr>
      </w:pPr>
    </w:p>
    <w:p>
      <w:pPr>
        <w:ind w:left="660" w:right="300" w:hanging="328"/>
        <w:spacing w:after="0" w:line="261"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provide funds for distributions to our Series A and Series B preferred unitholders or distributions to our common unitholders for of any one or more of the next four quarters.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43"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Cash distributions to our common unitholders will be characterized as either operating surplus or capital surplus. We distribute available cash</w:t>
      </w:r>
      <w:r>
        <w:rPr>
          <w:rFonts w:ascii="Arial" w:cs="Arial" w:eastAsia="Arial" w:hAnsi="Arial"/>
          <w:sz w:val="17"/>
          <w:szCs w:val="17"/>
          <w:i w:val="1"/>
          <w:iCs w:val="1"/>
          <w:color w:val="auto"/>
        </w:rPr>
        <w:t xml:space="preserve"> </w:t>
      </w:r>
      <w:r>
        <w:rPr>
          <w:rFonts w:ascii="Arial" w:cs="Arial" w:eastAsia="Arial" w:hAnsi="Arial"/>
          <w:sz w:val="17"/>
          <w:szCs w:val="17"/>
          <w:color w:val="auto"/>
        </w:rPr>
        <w:t>from operating surplus differently than available cash from capital surplus. See "—Quarterly Distributions of Available Cash."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Definition of Operating Surplus. </w:t>
      </w:r>
      <w:r>
        <w:rPr>
          <w:rFonts w:ascii="Arial" w:cs="Arial" w:eastAsia="Arial" w:hAnsi="Arial"/>
          <w:sz w:val="18"/>
          <w:szCs w:val="18"/>
          <w:color w:val="auto"/>
        </w:rPr>
        <w:t>Operating surplus refers generally to:</w:t>
      </w:r>
    </w:p>
    <w:p>
      <w:pPr>
        <w:spacing w:after="0" w:line="239"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103" w:lineRule="exact"/>
        <w:rPr>
          <w:rFonts w:ascii="Arial" w:cs="Arial" w:eastAsia="Arial" w:hAnsi="Arial"/>
          <w:sz w:val="18"/>
          <w:szCs w:val="18"/>
          <w:color w:val="auto"/>
        </w:rPr>
      </w:pPr>
    </w:p>
    <w:p>
      <w:pPr>
        <w:ind w:left="660" w:right="440" w:hanging="328"/>
        <w:spacing w:after="0" w:line="324" w:lineRule="auto"/>
        <w:tabs>
          <w:tab w:leader="none" w:pos="65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Definition of Capital Surplus. </w:t>
      </w:r>
      <w:r>
        <w:rPr>
          <w:rFonts w:ascii="Arial" w:cs="Arial" w:eastAsia="Arial" w:hAnsi="Arial"/>
          <w:sz w:val="18"/>
          <w:szCs w:val="18"/>
          <w:color w:val="auto"/>
        </w:rPr>
        <w:t>Capital surplus will generally be generated only by:</w:t>
      </w:r>
    </w:p>
    <w:p>
      <w:pPr>
        <w:spacing w:after="0" w:line="239"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sales or other dispositions of assets for cash, other than inventory, accounts receivable and other assets in the ordinary course of business.</w:t>
      </w:r>
    </w:p>
    <w:p>
      <w:pPr>
        <w:spacing w:after="0" w:line="250"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20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can issue additional common units or other equity securities for consideration and under terms and conditions approved by our general partner in its sole discretion and without the approval of our unitholders, other than current holders of our Series A preferred units and Series B preferred units in certain circumstances. We may fund acquisitions through the issuance of additional common units or other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421" w:right="399" w:bottom="1440" w:gutter="0" w:footer="0" w:header="0"/>
        </w:sectPr>
      </w:pPr>
    </w:p>
    <w:bookmarkStart w:id="190" w:name="page191"/>
    <w:bookmarkEnd w:id="190"/>
    <w:p>
      <w:pPr>
        <w:ind w:right="560"/>
        <w:spacing w:after="0" w:line="324" w:lineRule="auto"/>
        <w:rPr>
          <w:sz w:val="20"/>
          <w:szCs w:val="20"/>
          <w:color w:val="auto"/>
        </w:rPr>
      </w:pPr>
      <w:r>
        <w:rPr>
          <w:rFonts w:ascii="Arial" w:cs="Arial" w:eastAsia="Arial" w:hAnsi="Arial"/>
          <w:sz w:val="16"/>
          <w:szCs w:val="16"/>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4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43"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43"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Arial" w:cs="Arial" w:eastAsia="Arial" w:hAnsi="Arial"/>
          <w:sz w:val="23"/>
          <w:szCs w:val="23"/>
          <w:color w:val="auto"/>
          <w:vertAlign w:val="superscript"/>
        </w:rPr>
        <w:t>2</w:t>
      </w:r>
      <w:r>
        <w:rPr>
          <w:rFonts w:ascii="Arial" w:cs="Arial" w:eastAsia="Arial" w:hAnsi="Arial"/>
          <w:sz w:val="18"/>
          <w:szCs w:val="18"/>
          <w:color w:val="auto"/>
        </w:rPr>
        <w:t>/3% of the outstanding Series B preferred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4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certain material provisions of our partnership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4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partnership agreement is governed by Delaware law. Our partnership agreement requires that any claims, suits, actions or proceedings:</w:t>
      </w:r>
    </w:p>
    <w:p>
      <w:pPr>
        <w:spacing w:after="0" w:line="250" w:lineRule="exact"/>
        <w:rPr>
          <w:sz w:val="20"/>
          <w:szCs w:val="20"/>
          <w:color w:val="auto"/>
        </w:rPr>
      </w:pPr>
    </w:p>
    <w:p>
      <w:pPr>
        <w:ind w:left="660" w:hanging="328"/>
        <w:spacing w:after="0"/>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ind w:left="660" w:right="20" w:hanging="328"/>
        <w:spacing w:after="0" w:line="234"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unitholders;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Delaware Revised Uniform Limited Partnership Act (the “Delaware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1" w:right="339" w:bottom="1440" w:gutter="0" w:footer="0" w:header="0"/>
        </w:sectPr>
      </w:pPr>
    </w:p>
    <w:bookmarkStart w:id="191" w:name="page192"/>
    <w:bookmarkEnd w:id="191"/>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4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209"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9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4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1"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43"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215"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216"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215" w:lineRule="exact"/>
        <w:rPr>
          <w:sz w:val="20"/>
          <w:szCs w:val="20"/>
          <w:color w:val="auto"/>
        </w:rPr>
      </w:pPr>
    </w:p>
    <w:p>
      <w:pPr>
        <w:ind w:right="500" w:firstLine="324"/>
        <w:spacing w:after="0" w:line="291" w:lineRule="auto"/>
        <w:rPr>
          <w:sz w:val="20"/>
          <w:szCs w:val="20"/>
          <w:color w:val="auto"/>
        </w:rPr>
      </w:pPr>
      <w:r>
        <w:rPr>
          <w:rFonts w:ascii="Arial" w:cs="Arial" w:eastAsia="Arial" w:hAnsi="Arial"/>
          <w:sz w:val="17"/>
          <w:szCs w:val="17"/>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7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43"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color w:val="auto"/>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20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43"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9"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7" w:right="339" w:bottom="1440" w:gutter="0" w:footer="0" w:header="0"/>
        </w:sectPr>
      </w:pPr>
    </w:p>
    <w:bookmarkStart w:id="193" w:name="page194"/>
    <w:bookmarkEnd w:id="193"/>
    <w:p>
      <w:pPr>
        <w:ind w:left="660" w:right="500" w:hanging="328"/>
        <w:spacing w:after="0" w:line="261"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3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4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8" w:lineRule="exact"/>
        <w:rPr>
          <w:sz w:val="20"/>
          <w:szCs w:val="20"/>
          <w:color w:val="auto"/>
        </w:rPr>
      </w:pPr>
    </w:p>
    <w:p>
      <w:pPr>
        <w:ind w:left="660" w:right="320" w:hanging="328"/>
        <w:spacing w:after="0" w:line="261"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62"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43" w:lineRule="exact"/>
        <w:rPr>
          <w:sz w:val="20"/>
          <w:szCs w:val="20"/>
          <w:color w:val="auto"/>
        </w:rPr>
      </w:pPr>
    </w:p>
    <w:p>
      <w:pPr>
        <w:ind w:right="60" w:firstLine="324"/>
        <w:spacing w:after="0" w:line="254" w:lineRule="auto"/>
        <w:rPr>
          <w:sz w:val="20"/>
          <w:szCs w:val="20"/>
          <w:color w:val="auto"/>
        </w:rPr>
      </w:pPr>
      <w:r>
        <w:rPr>
          <w:rFonts w:ascii="Arial" w:cs="Arial" w:eastAsia="Arial" w:hAnsi="Arial"/>
          <w:sz w:val="17"/>
          <w:szCs w:val="17"/>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08"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43"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43" w:lineRule="exact"/>
        <w:rPr>
          <w:sz w:val="20"/>
          <w:szCs w:val="20"/>
          <w:color w:val="auto"/>
        </w:rPr>
      </w:pPr>
    </w:p>
    <w:p>
      <w:pPr>
        <w:jc w:val="both"/>
        <w:ind w:right="300"/>
        <w:spacing w:after="0" w:line="294" w:lineRule="auto"/>
        <w:rPr>
          <w:sz w:val="20"/>
          <w:szCs w:val="20"/>
          <w:color w:val="auto"/>
        </w:rPr>
      </w:pPr>
      <w:r>
        <w:rPr>
          <w:rFonts w:ascii="Arial" w:cs="Arial" w:eastAsia="Arial" w:hAnsi="Arial"/>
          <w:sz w:val="16"/>
          <w:szCs w:val="16"/>
          <w:color w:val="auto"/>
        </w:rPr>
        <w:t>Assuming that a limited partner does not participate in the control of our business within the meaning of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421" w:right="379" w:bottom="1440" w:gutter="0" w:footer="0" w:header="0"/>
        </w:sectPr>
      </w:pPr>
    </w:p>
    <w:bookmarkStart w:id="194" w:name="page195"/>
    <w:bookmarkEnd w:id="194"/>
    <w:p>
      <w:pPr>
        <w:spacing w:after="0" w:line="238" w:lineRule="auto"/>
        <w:rPr>
          <w:sz w:val="20"/>
          <w:szCs w:val="20"/>
          <w:color w:val="auto"/>
        </w:rPr>
      </w:pPr>
      <w:r>
        <w:rPr>
          <w:rFonts w:ascii="Arial" w:cs="Arial" w:eastAsia="Arial" w:hAnsi="Arial"/>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221" w:lineRule="exact"/>
        <w:rPr>
          <w:sz w:val="20"/>
          <w:szCs w:val="20"/>
          <w:color w:val="auto"/>
        </w:rPr>
      </w:pPr>
    </w:p>
    <w:p>
      <w:pPr>
        <w:ind w:right="40" w:firstLine="324"/>
        <w:spacing w:after="0" w:line="262" w:lineRule="auto"/>
        <w:rPr>
          <w:sz w:val="20"/>
          <w:szCs w:val="20"/>
          <w:color w:val="auto"/>
        </w:rPr>
      </w:pPr>
      <w:r>
        <w:rPr>
          <w:rFonts w:ascii="Arial" w:cs="Arial" w:eastAsia="Arial" w:hAnsi="Arial"/>
          <w:sz w:val="17"/>
          <w:szCs w:val="17"/>
          <w:color w:val="auto"/>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1" w:right="35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b w:val="1"/>
          <w:bCs w:val="1"/>
          <w:color w:val="auto"/>
        </w:rPr>
        <w:t>Exhibit 10.53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2117090" cy="6083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83">
                      <a:extLst>
                        <a:ext uri="{28A0092B-C50C-407E-A947-70E740481C1C}"/>
                      </a:extLst>
                    </a:blip>
                    <a:srcRect/>
                    <a:stretch>
                      <a:fillRect/>
                    </a:stretch>
                  </pic:blipFill>
                  <pic:spPr bwMode="auto">
                    <a:xfrm>
                      <a:off x="0" y="0"/>
                      <a:ext cx="21170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SPECIAL RETENTION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LTIP GRANT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20, 2019</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[City, State Zip]</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 am pleased to inform you that you have been granted [LTIPs] Phantom Units as of the above date pursuant to the Company’s 2013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02" w:lineRule="exact"/>
        <w:rPr>
          <w:sz w:val="20"/>
          <w:szCs w:val="20"/>
          <w:color w:val="auto"/>
        </w:rPr>
      </w:pPr>
    </w:p>
    <w:p>
      <w:pPr>
        <w:ind w:left="980" w:hanging="324"/>
        <w:spacing w:after="0" w:line="251" w:lineRule="auto"/>
        <w:tabs>
          <w:tab w:leader="none" w:pos="9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shall vest (become payable in the form of one Common Unit of PAA for each Phantom Unit) as follows:</w:t>
      </w:r>
    </w:p>
    <w:p>
      <w:pPr>
        <w:spacing w:after="0" w:line="1" w:lineRule="exact"/>
        <w:rPr>
          <w:rFonts w:ascii="Arial" w:cs="Arial" w:eastAsia="Arial" w:hAnsi="Arial"/>
          <w:sz w:val="22"/>
          <w:szCs w:val="22"/>
          <w:color w:val="auto"/>
        </w:rPr>
      </w:pPr>
    </w:p>
    <w:p>
      <w:pPr>
        <w:ind w:left="1620" w:right="20" w:hanging="316"/>
        <w:spacing w:after="0" w:line="243" w:lineRule="auto"/>
        <w:tabs>
          <w:tab w:leader="none" w:pos="1608"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Tranche A, which shall consist of 50% of the total number of Phantom Units covered by this grant letter, shall vest on the August 2026 Distribution Date;</w:t>
      </w:r>
    </w:p>
    <w:p>
      <w:pPr>
        <w:jc w:val="both"/>
        <w:ind w:left="1620" w:hanging="316"/>
        <w:spacing w:after="0" w:line="243" w:lineRule="auto"/>
        <w:tabs>
          <w:tab w:leader="none" w:pos="162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Tranche B, which shall consist of 25% of the total number of Phantom Units covered by this grant letter, shall vest on the later of the August 2026 Distribution Date and the first Distribution Date following the date on which the Partnership generates distributable cash flow (“DCF”) per common unit and common unit equivalent on a trailing four quarter basis of at least $2.80; and</w:t>
      </w:r>
    </w:p>
    <w:p>
      <w:pPr>
        <w:spacing w:after="0" w:line="1" w:lineRule="exact"/>
        <w:rPr>
          <w:rFonts w:ascii="Arial" w:cs="Arial" w:eastAsia="Arial" w:hAnsi="Arial"/>
          <w:sz w:val="22"/>
          <w:szCs w:val="22"/>
          <w:color w:val="auto"/>
        </w:rPr>
      </w:pPr>
    </w:p>
    <w:p>
      <w:pPr>
        <w:jc w:val="both"/>
        <w:ind w:left="1620" w:hanging="316"/>
        <w:spacing w:after="0" w:line="244" w:lineRule="auto"/>
        <w:tabs>
          <w:tab w:leader="none" w:pos="1608"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Tranche C, which shall consist of 25% of the total number of Phantom Units covered by this grant letter, shall vest on the later of the August 2026 Distribution Date and the first Distribution Date following the date on which the Partnership generates DCF per common unit and common unit equivalent on a trailing four quarter basis of at least $3.15.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126"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20,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404"/>
        <w:spacing w:after="0" w:line="247" w:lineRule="auto"/>
        <w:rPr>
          <w:sz w:val="20"/>
          <w:szCs w:val="20"/>
          <w:color w:val="auto"/>
        </w:rPr>
      </w:pPr>
      <w:r>
        <w:rPr>
          <w:rFonts w:ascii="Arial" w:cs="Arial" w:eastAsia="Arial" w:hAnsi="Arial"/>
          <w:sz w:val="22"/>
          <w:szCs w:val="22"/>
          <w:color w:val="auto"/>
        </w:rPr>
        <w:t>The DCF performance thresholds described in this paragraph shall apply to any trailing four-quarter period beginning on or after January 1, 2020. Any remaining Phantom Units that have not vested on or before the August 2028 Distribution Date, and any associated DERs (regardless of vesting), shall expire on such date. The DCF per common unit and common unit equivalent amounts referenced in this paragraph are subject to adjustment in the reasonable discretion of the Board based on a recommendation of the CEO to account for significant asset sales, acquisitions or capital transactions.</w:t>
      </w:r>
    </w:p>
    <w:p>
      <w:pPr>
        <w:spacing w:after="0" w:line="193" w:lineRule="exact"/>
        <w:rPr>
          <w:sz w:val="20"/>
          <w:szCs w:val="20"/>
          <w:color w:val="auto"/>
        </w:rPr>
      </w:pPr>
    </w:p>
    <w:p>
      <w:pPr>
        <w:jc w:val="both"/>
        <w:ind w:left="404" w:hanging="404"/>
        <w:spacing w:after="0" w:line="287" w:lineRule="auto"/>
        <w:tabs>
          <w:tab w:leader="none" w:pos="39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DERs shall vest (become payable in cash) as follows: (i) one-fifth of your DERs shall vest upon and effective with the August 2020 Distribution Date; (ii) one-fifth of your DERs shall vest upon and effective with the August 2021 Distribution Date; (iii) one-fifth of your DERs shall vest upon and effective with the August 2022 Distribution Date; (iv) one-fifth of your DERs shall vest upon and effective with the first Distribution Date following the date on which the Partnership generates DCF per common unit and common unit equivalent on a trailing four quarter basis of at least $2.70; and (v) one fifth of your DERs shall vest upon and effective with the first Distribution Date following the date on which the Partnership generates DCF per common unit and common unit equivalent on a trailing four quarter basis of at least $2.90. The DCF performance thresholds described in sections (iv) and (v) of this paragraph shall apply to any trailing four-quarter period beginning on or after January 1, 2020. The DCF per common unit and common unit equivalent amounts referenced in this paragraph are subject to adjustment in the reasonable discretion of the Board based on a recommendation of the CEO to account for significant asset sales, acquisitions or capital transactions.</w:t>
      </w:r>
    </w:p>
    <w:p>
      <w:pPr>
        <w:spacing w:after="0" w:line="185" w:lineRule="exact"/>
        <w:rPr>
          <w:rFonts w:ascii="Arial" w:cs="Arial" w:eastAsia="Arial" w:hAnsi="Arial"/>
          <w:sz w:val="19"/>
          <w:szCs w:val="19"/>
          <w:color w:val="auto"/>
        </w:rPr>
      </w:pPr>
    </w:p>
    <w:p>
      <w:pPr>
        <w:ind w:left="424" w:hanging="424"/>
        <w:spacing w:after="0"/>
        <w:tabs>
          <w:tab w:leader="none" w:pos="42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46" w:lineRule="exact"/>
        <w:rPr>
          <w:rFonts w:ascii="Arial" w:cs="Arial" w:eastAsia="Arial" w:hAnsi="Arial"/>
          <w:sz w:val="22"/>
          <w:szCs w:val="22"/>
          <w:color w:val="auto"/>
        </w:rPr>
      </w:pPr>
    </w:p>
    <w:p>
      <w:pPr>
        <w:jc w:val="both"/>
        <w:ind w:left="424" w:hanging="424"/>
        <w:spacing w:after="0" w:line="312" w:lineRule="auto"/>
        <w:tabs>
          <w:tab w:leader="none" w:pos="42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number of Phantom Units subject to this award and any DCF per common unit and common unit equivalent level required for vesting under paragraphs 1 or 2 above shall be proportionately reduced or increased for any split or reverse split, respectively, of the Units, or any event or transaction having a similar effect.</w:t>
      </w:r>
    </w:p>
    <w:p>
      <w:pPr>
        <w:spacing w:after="0" w:line="160" w:lineRule="exact"/>
        <w:rPr>
          <w:rFonts w:ascii="Arial" w:cs="Arial" w:eastAsia="Arial" w:hAnsi="Arial"/>
          <w:sz w:val="19"/>
          <w:szCs w:val="19"/>
          <w:color w:val="auto"/>
        </w:rPr>
      </w:pPr>
    </w:p>
    <w:p>
      <w:pPr>
        <w:jc w:val="both"/>
        <w:ind w:left="424" w:hanging="424"/>
        <w:spacing w:after="0" w:line="253" w:lineRule="auto"/>
        <w:tabs>
          <w:tab w:leader="none" w:pos="42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vested prior to, or that would vest as of, the Distribution Date on which the Phantom Units vest, shall be payable on such Distribution Date prior to their expiration.</w:t>
      </w:r>
    </w:p>
    <w:p>
      <w:pPr>
        <w:sectPr>
          <w:pgSz w:w="11900" w:h="16838" w:orient="portrait"/>
          <w:cols w:equalWidth="0" w:num="1">
            <w:col w:w="10584"/>
          </w:cols>
          <w:pgMar w:left="976" w:top="132"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20,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424" w:hanging="424"/>
        <w:spacing w:after="0" w:line="284" w:lineRule="auto"/>
        <w:tabs>
          <w:tab w:leader="none" w:pos="42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for any reason (other than in connection with a Change in Status or by reason of your death or “disability,” as defined in paragraph 7 below), all of your then outstanding DERs (regardless of vesting) and Phantom Units shall automatically be forfeited as of the date of termination; provided, however, that if the Company or its Affiliates terminate your employment other than as a result of a Termination for Cause, the following provisions shall apply: (i) if such termination occurs prior to the second anniversary of the date of this grant letter, 20% of your unvested Phantom Units shall be deemed nonforfeitable on the date of termination, and shall vest on the next following Distribution Date; (ii) if such termination occurs on or after the second anniversary of the date of this grant letter but prior to the third anniversary of the date of this grant letter, 40% of your unvested Phantom Units shall be deemed nonforfeitable on the date of termination, and shall vest on the next following Distribution Date; (iii) if such termination occurs on or after the third anniversary of the date of this grant letter but prior to the fourth anniversary of the date of this grant letter, 60% of your unvested Phantom Units shall be deemed nonforfeitable on the date of termination, and shall vest on the next following Distribution Date; (iv) if such termination occurs on or after the fourth anniversary of the date of this grant letter but prior to the fifth anniversary of the date of this grant letter, 80% of your unvested Phantom Units shall be deemed nonforfeitable on the date of termination, and shall vest on the next following Distribution Date; (v) if such termination occurs on or after the fifth anniversary of the date of this grant letter, 100% of your unvested Phantom Units shall be deemed nonforfeitable on the date of termination, and shall vest on the next following Distribution Date; and (vi) any DERs associated with such unvested, nonforfeitable Phantom Units described in clauses (i)-(v) immediately preceding shall not be forfeited on the date of termination, but shall vest in accordance with paragraph 2 above and if vested shall be payable and shall expire in accordance with paragraph 1 or paragraph 5 above.</w:t>
      </w:r>
    </w:p>
    <w:p>
      <w:pPr>
        <w:sectPr>
          <w:pgSz w:w="11900" w:h="16838" w:orient="portrait"/>
          <w:cols w:equalWidth="0" w:num="1">
            <w:col w:w="10584"/>
          </w:cols>
          <w:pgMar w:left="976" w:top="132"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20,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080" w:hanging="424"/>
        <w:spacing w:after="0" w:line="286" w:lineRule="auto"/>
        <w:tabs>
          <w:tab w:leader="none" w:pos="10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second anniversary of the date of this grant letter, all of your then outstanding Phantom Units and DERs shall automatically be forfeited as of the date of termination and (ii) if such termination takes place on or after the second anniversary of the date of this grant, 100% of the unvested Phantom Units covered by paragraph 1(a) above, and any unvested Phantom Units covered by paragraphs 1(b) and 1(c) above with respect to which the Partnership has, as of the date of termination, achieved the applicable DCF vesting criteria for such Phantom Units, shall be deemed nonforfeitable on the date of termination and shall vest on the next following Distribution Date (and any DERs associated with such unvested, nonforfeitable Phantom Units shall not be forfeited on the date of termination, but shall vest in accordance with paragraph 2 above and if vested shall be payable and shall expire in accordance with paragraph 1 or paragraph 5 above). As soon as administratively practicable after the vesting of any Phantom Units pursuant to this paragraph 7, payment will be made in cash in an amount equal to the Market Value of the number of Phantom Units vesting.</w:t>
      </w:r>
    </w:p>
    <w:p>
      <w:pPr>
        <w:spacing w:after="0" w:line="188" w:lineRule="exact"/>
        <w:rPr>
          <w:rFonts w:ascii="Arial" w:cs="Arial" w:eastAsia="Arial" w:hAnsi="Arial"/>
          <w:sz w:val="19"/>
          <w:szCs w:val="19"/>
          <w:color w:val="auto"/>
        </w:rPr>
      </w:pPr>
    </w:p>
    <w:p>
      <w:pPr>
        <w:ind w:left="1080" w:hanging="424"/>
        <w:spacing w:after="0" w:line="343" w:lineRule="auto"/>
        <w:tabs>
          <w:tab w:leader="none" w:pos="10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In the event of a Change in Status, all of your then outstanding Phantom Units and tandem DERs shall be deemed 100% nonforfeitable on such date, and such Phantom Units shall vest in full upon the next Distribution Date.</w:t>
      </w:r>
    </w:p>
    <w:p>
      <w:pPr>
        <w:spacing w:after="0" w:line="131" w:lineRule="exact"/>
        <w:rPr>
          <w:rFonts w:ascii="Arial" w:cs="Arial" w:eastAsia="Arial" w:hAnsi="Arial"/>
          <w:sz w:val="19"/>
          <w:szCs w:val="19"/>
          <w:color w:val="auto"/>
        </w:rPr>
      </w:pPr>
    </w:p>
    <w:p>
      <w:pPr>
        <w:jc w:val="both"/>
        <w:ind w:left="1080" w:hanging="424"/>
        <w:spacing w:after="0" w:line="250" w:lineRule="auto"/>
        <w:tabs>
          <w:tab w:leader="none" w:pos="10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(iii) “Market Value” means the average of the closing sales prices for a Common Unit on the New York Stock Exchange for the five trading days preceding the then most recent “ex dividend” date for payment of a distribution by the Partnership; and (iv) “Board” means the board of directors of PAGP GP (defined below).</w:t>
      </w:r>
    </w:p>
    <w:p>
      <w:pPr>
        <w:sectPr>
          <w:pgSz w:w="11900" w:h="16838" w:orient="portrait"/>
          <w:cols w:equalWidth="0" w:num="1">
            <w:col w:w="11240"/>
          </w:cols>
          <w:pgMar w:left="320" w:top="132"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20,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Chief Executive Officer of the Company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pacing w:after="0" w:line="202" w:lineRule="exact"/>
        <w:rPr>
          <w:sz w:val="20"/>
          <w:szCs w:val="20"/>
          <w:color w:val="auto"/>
        </w:rPr>
      </w:pPr>
    </w:p>
    <w:p>
      <w:pPr>
        <w:jc w:val="both"/>
        <w:ind w:left="1580" w:hanging="924"/>
        <w:spacing w:after="0" w:line="247" w:lineRule="auto"/>
        <w:tabs>
          <w:tab w:leader="none" w:pos="157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p>
    <w:p>
      <w:pPr>
        <w:spacing w:after="0" w:line="2" w:lineRule="exact"/>
        <w:rPr>
          <w:rFonts w:ascii="Arial" w:cs="Arial" w:eastAsia="Arial" w:hAnsi="Arial"/>
          <w:sz w:val="22"/>
          <w:szCs w:val="22"/>
          <w:color w:val="auto"/>
        </w:rPr>
      </w:pPr>
    </w:p>
    <w:p>
      <w:pPr>
        <w:jc w:val="both"/>
        <w:ind w:left="1580" w:hanging="924"/>
        <w:spacing w:after="0" w:line="243" w:lineRule="auto"/>
        <w:tabs>
          <w:tab w:leader="none" w:pos="1577"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1" w:lineRule="exact"/>
        <w:rPr>
          <w:rFonts w:ascii="Arial" w:cs="Arial" w:eastAsia="Arial" w:hAnsi="Arial"/>
          <w:sz w:val="22"/>
          <w:szCs w:val="22"/>
          <w:color w:val="auto"/>
        </w:rPr>
      </w:pPr>
    </w:p>
    <w:p>
      <w:pPr>
        <w:ind w:left="1580" w:hanging="924"/>
        <w:spacing w:after="0" w:line="243" w:lineRule="auto"/>
        <w:tabs>
          <w:tab w:leader="none" w:pos="156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jc w:val="both"/>
        <w:ind w:left="1580" w:hanging="924"/>
        <w:spacing w:after="0" w:line="244" w:lineRule="auto"/>
        <w:tabs>
          <w:tab w:leader="none" w:pos="157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ectPr>
          <w:pgSz w:w="11900" w:h="16838" w:orient="portrait"/>
          <w:cols w:equalWidth="0" w:num="1">
            <w:col w:w="11240"/>
          </w:cols>
          <w:pgMar w:left="320" w:top="132"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20,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12" w:lineRule="exact"/>
        <w:rPr>
          <w:sz w:val="20"/>
          <w:szCs w:val="20"/>
          <w:color w:val="auto"/>
        </w:rPr>
      </w:pPr>
    </w:p>
    <w:p>
      <w:pPr>
        <w:jc w:val="both"/>
        <w:ind w:firstLine="565"/>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240"/>
          </w:cols>
          <w:pgMar w:left="320" w:top="132"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20,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Please execute and return a copy of this grant letter to Richard McGee and retain a copy for your records.</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7220" w:type="dxa"/>
            <w:vAlign w:val="bottom"/>
            <w:gridSpan w:val="4"/>
          </w:tcPr>
          <w:p>
            <w:pPr>
              <w:ind w:left="80"/>
              <w:spacing w:after="0"/>
              <w:rPr>
                <w:sz w:val="20"/>
                <w:szCs w:val="20"/>
                <w:color w:val="auto"/>
              </w:rPr>
            </w:pPr>
            <w:r>
              <w:rPr>
                <w:rFonts w:ascii="Arial" w:cs="Arial" w:eastAsia="Arial" w:hAnsi="Arial"/>
                <w:sz w:val="22"/>
                <w:szCs w:val="22"/>
                <w:color w:val="auto"/>
              </w:rPr>
              <w:t>By:  ______________________________</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w w:val="92"/>
              </w:rPr>
              <w:t>Name:</w:t>
            </w:r>
          </w:p>
        </w:tc>
        <w:tc>
          <w:tcPr>
            <w:tcW w:w="2960" w:type="dxa"/>
            <w:vAlign w:val="bottom"/>
            <w:gridSpan w:val="2"/>
          </w:tcPr>
          <w:p>
            <w:pPr>
              <w:ind w:left="160"/>
              <w:spacing w:after="0"/>
              <w:rPr>
                <w:sz w:val="20"/>
                <w:szCs w:val="20"/>
                <w:color w:val="auto"/>
              </w:rPr>
            </w:pPr>
            <w:r>
              <w:rPr>
                <w:rFonts w:ascii="Arial" w:cs="Arial" w:eastAsia="Arial" w:hAnsi="Arial"/>
                <w:sz w:val="22"/>
                <w:szCs w:val="22"/>
                <w:color w:val="auto"/>
              </w:rPr>
              <w:t>Willie Chiang</w:t>
            </w:r>
          </w:p>
        </w:tc>
        <w:tc>
          <w:tcPr>
            <w:tcW w:w="3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2960" w:type="dxa"/>
            <w:vAlign w:val="bottom"/>
            <w:gridSpan w:val="2"/>
          </w:tcPr>
          <w:p>
            <w:pPr>
              <w:ind w:left="60"/>
              <w:spacing w:after="0"/>
              <w:rPr>
                <w:sz w:val="20"/>
                <w:szCs w:val="20"/>
                <w:color w:val="auto"/>
              </w:rPr>
            </w:pPr>
            <w:r>
              <w:rPr>
                <w:rFonts w:ascii="Arial" w:cs="Arial" w:eastAsia="Arial" w:hAnsi="Arial"/>
                <w:sz w:val="22"/>
                <w:szCs w:val="22"/>
                <w:color w:val="auto"/>
              </w:rPr>
              <w:t>Chief Executive Officer</w:t>
            </w: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6"/>
        </w:trPr>
        <w:tc>
          <w:tcPr>
            <w:tcW w:w="10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020" w:type="dxa"/>
            <w:vAlign w:val="bottom"/>
          </w:tcPr>
          <w:p>
            <w:pPr>
              <w:ind w:left="20"/>
              <w:spacing w:after="0"/>
              <w:rPr>
                <w:sz w:val="20"/>
                <w:szCs w:val="20"/>
                <w:color w:val="auto"/>
              </w:rPr>
            </w:pPr>
            <w:r>
              <w:rPr>
                <w:rFonts w:ascii="Arial" w:cs="Arial" w:eastAsia="Arial" w:hAnsi="Arial"/>
                <w:sz w:val="22"/>
                <w:szCs w:val="22"/>
                <w:color w:val="auto"/>
              </w:rPr>
              <w:t>[Officer]</w:t>
            </w: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20" w:type="dxa"/>
            <w:vAlign w:val="bottom"/>
          </w:tcPr>
          <w:p>
            <w:pPr>
              <w:ind w:left="20"/>
              <w:spacing w:after="0"/>
              <w:rPr>
                <w:sz w:val="20"/>
                <w:szCs w:val="20"/>
                <w:color w:val="auto"/>
              </w:rPr>
            </w:pPr>
            <w:r>
              <w:rPr>
                <w:rFonts w:ascii="Arial" w:cs="Arial" w:eastAsia="Arial" w:hAnsi="Arial"/>
                <w:sz w:val="22"/>
                <w:szCs w:val="22"/>
                <w:color w:val="auto"/>
              </w:rPr>
              <w:t>Units:</w:t>
            </w:r>
          </w:p>
        </w:tc>
        <w:tc>
          <w:tcPr>
            <w:tcW w:w="3500" w:type="dxa"/>
            <w:vAlign w:val="bottom"/>
            <w:gridSpan w:val="2"/>
          </w:tcPr>
          <w:p>
            <w:pPr>
              <w:ind w:left="20"/>
              <w:spacing w:after="0"/>
              <w:rPr>
                <w:sz w:val="20"/>
                <w:szCs w:val="20"/>
                <w:color w:val="auto"/>
              </w:rPr>
            </w:pPr>
            <w:r>
              <w:rPr>
                <w:rFonts w:ascii="Arial" w:cs="Arial" w:eastAsia="Arial" w:hAnsi="Arial"/>
                <w:sz w:val="22"/>
                <w:szCs w:val="22"/>
                <w:color w:val="auto"/>
              </w:rPr>
              <w:t>[LTIP Grant]</w:t>
            </w: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020" w:type="dxa"/>
            <w:vAlign w:val="bottom"/>
            <w:vMerge w:val="restart"/>
          </w:tcPr>
          <w:p>
            <w:pPr>
              <w:ind w:left="20"/>
              <w:spacing w:after="0"/>
              <w:rPr>
                <w:sz w:val="20"/>
                <w:szCs w:val="20"/>
                <w:color w:val="auto"/>
              </w:rPr>
            </w:pPr>
            <w:r>
              <w:rPr>
                <w:rFonts w:ascii="Arial" w:cs="Arial" w:eastAsia="Arial" w:hAnsi="Arial"/>
                <w:sz w:val="22"/>
                <w:szCs w:val="22"/>
                <w:color w:val="auto"/>
              </w:rPr>
              <w:t>Dated:</w:t>
            </w:r>
          </w:p>
        </w:tc>
        <w:tc>
          <w:tcPr>
            <w:tcW w:w="280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102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0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9"/>
        </w:trPr>
        <w:tc>
          <w:tcPr>
            <w:tcW w:w="45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Beneficiary Designation</w:t>
            </w:r>
          </w:p>
        </w:tc>
        <w:tc>
          <w:tcPr>
            <w:tcW w:w="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520" w:type="dxa"/>
            <w:vAlign w:val="bottom"/>
            <w:tcBorders>
              <w:left w:val="single" w:sz="8" w:color="auto"/>
              <w:bottom w:val="single" w:sz="8" w:color="C0C0C0"/>
            </w:tcBorders>
            <w:gridSpan w:val="3"/>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72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c>
          <w:tcPr>
            <w:tcW w:w="0" w:type="dxa"/>
            <w:vAlign w:val="bottom"/>
          </w:tcPr>
          <w:p>
            <w:pPr>
              <w:spacing w:after="0"/>
              <w:rPr>
                <w:sz w:val="1"/>
                <w:szCs w:val="1"/>
                <w:color w:val="auto"/>
              </w:rPr>
            </w:pPr>
          </w:p>
        </w:tc>
      </w:tr>
      <w:tr>
        <w:trPr>
          <w:trHeight w:val="250"/>
        </w:trPr>
        <w:tc>
          <w:tcPr>
            <w:tcW w:w="1020" w:type="dxa"/>
            <w:vAlign w:val="bottom"/>
            <w:tcBorders>
              <w:top w:val="single" w:sz="8" w:color="auto"/>
              <w:left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520" w:type="dxa"/>
            <w:vAlign w:val="bottom"/>
            <w:tcBorders>
              <w:left w:val="single" w:sz="8" w:color="auto"/>
              <w:bottom w:val="single" w:sz="8" w:color="C0C0C0"/>
            </w:tcBorders>
            <w:gridSpan w:val="3"/>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72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c>
          <w:tcPr>
            <w:tcW w:w="0" w:type="dxa"/>
            <w:vAlign w:val="bottom"/>
          </w:tcPr>
          <w:p>
            <w:pPr>
              <w:spacing w:after="0"/>
              <w:rPr>
                <w:sz w:val="1"/>
                <w:szCs w:val="1"/>
                <w:color w:val="auto"/>
              </w:rPr>
            </w:pPr>
          </w:p>
        </w:tc>
      </w:tr>
      <w:tr>
        <w:trPr>
          <w:trHeight w:val="250"/>
        </w:trPr>
        <w:tc>
          <w:tcPr>
            <w:tcW w:w="1020" w:type="dxa"/>
            <w:vAlign w:val="bottom"/>
            <w:tcBorders>
              <w:top w:val="single" w:sz="8" w:color="auto"/>
              <w:left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60" w:hanging="252"/>
        <w:spacing w:after="0"/>
        <w:tabs>
          <w:tab w:leader="none" w:pos="260" w:val="left"/>
        </w:tabs>
        <w:numPr>
          <w:ilvl w:val="0"/>
          <w:numId w:val="121"/>
        </w:numPr>
        <w:rPr>
          <w:rFonts w:ascii="MS PGothic" w:cs="MS PGothic" w:eastAsia="MS PGothic" w:hAnsi="MS PGothic"/>
          <w:sz w:val="22"/>
          <w:szCs w:val="22"/>
          <w:color w:val="auto"/>
        </w:rPr>
      </w:pPr>
      <w:r>
        <w:rPr>
          <w:rFonts w:ascii="Arial" w:cs="Arial" w:eastAsia="Arial" w:hAnsi="Arial"/>
          <w:sz w:val="22"/>
          <w:szCs w:val="22"/>
          <w:color w:val="auto"/>
        </w:rPr>
        <w:t>Check this box only if designation does not apply to prior grants</w:t>
      </w:r>
    </w:p>
    <w:p>
      <w:pPr>
        <w:sectPr>
          <w:pgSz w:w="11900" w:h="16838" w:orient="portrait"/>
          <w:cols w:equalWidth="0" w:num="1">
            <w:col w:w="11240"/>
          </w:cols>
          <w:pgMar w:left="320" w:top="132"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2"/>
          <w:szCs w:val="22"/>
          <w:b w:val="1"/>
          <w:bCs w:val="1"/>
          <w:color w:val="auto"/>
        </w:rPr>
        <w:t>Exhibit 10.54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10795</wp:posOffset>
            </wp:positionV>
            <wp:extent cx="2117090" cy="6083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84">
                      <a:extLst>
                        <a:ext uri="{28A0092B-C50C-407E-A947-70E740481C1C}"/>
                      </a:extLst>
                    </a:blip>
                    <a:srcRect/>
                    <a:stretch>
                      <a:fillRect/>
                    </a:stretch>
                  </pic:blipFill>
                  <pic:spPr bwMode="auto">
                    <a:xfrm>
                      <a:off x="0" y="0"/>
                      <a:ext cx="21170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21, 2017</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Jeremy Goebel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Jeremy:</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 am pleased to inform you that you have been granted 150,000 Phantom Units as of the above date pursuant to the Company’s 2013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02" w:lineRule="exact"/>
        <w:rPr>
          <w:sz w:val="20"/>
          <w:szCs w:val="20"/>
          <w:color w:val="auto"/>
        </w:rPr>
      </w:pPr>
    </w:p>
    <w:p>
      <w:pPr>
        <w:jc w:val="both"/>
        <w:ind w:left="980" w:hanging="324"/>
        <w:spacing w:after="0" w:line="291" w:lineRule="auto"/>
        <w:tabs>
          <w:tab w:leader="none" w:pos="9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Subject to the further provisions of this Agreement, your Phantom Units shall vest (become payable in the form of one Common Unit of PAA for each Phantom Unit) as follows: 20% of your Phantom Units (30,000) will vest on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each calendar year beginning January 1, 2019 and continuing thereafter through January 1, 2023.</w:t>
      </w:r>
    </w:p>
    <w:p>
      <w:pPr>
        <w:spacing w:after="0" w:line="92" w:lineRule="exact"/>
        <w:rPr>
          <w:rFonts w:ascii="Arial" w:cs="Arial" w:eastAsia="Arial" w:hAnsi="Arial"/>
          <w:sz w:val="20"/>
          <w:szCs w:val="20"/>
          <w:color w:val="auto"/>
        </w:rPr>
      </w:pPr>
    </w:p>
    <w:p>
      <w:pPr>
        <w:ind w:left="1060" w:hanging="404"/>
        <w:spacing w:after="0" w:line="263" w:lineRule="auto"/>
        <w:tabs>
          <w:tab w:leader="none" w:pos="105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100% your DERs shall vest (become payable in cash) upon and effective with the February 2018 Distribution Date.</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46" w:lineRule="exact"/>
        <w:rPr>
          <w:rFonts w:ascii="Arial" w:cs="Arial" w:eastAsia="Arial" w:hAnsi="Arial"/>
          <w:sz w:val="22"/>
          <w:szCs w:val="22"/>
          <w:color w:val="auto"/>
        </w:rPr>
      </w:pPr>
    </w:p>
    <w:p>
      <w:pPr>
        <w:ind w:left="1080" w:hanging="424"/>
        <w:spacing w:after="0" w:line="263" w:lineRule="auto"/>
        <w:tabs>
          <w:tab w:leader="none" w:pos="10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number of Phantom Units subject to this award shall be proportionately reduced or increased for any split or reverse split, respectively, of the Units, or any event or transaction having a similar effect.</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Upon vesting of your Phantom Units, an equivalent number of your DERs will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126" w:right="33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080" w:hanging="424"/>
        <w:spacing w:after="0" w:line="292" w:lineRule="auto"/>
        <w:tabs>
          <w:tab w:leader="none" w:pos="108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for any reason (other than in connection with a Change in Status or by reason of your death or “disability,” as defined in paragraph 7 below), all of your then outstanding DERs and Phantom Units shall automatically be forfeited as of the date of termination; provided, however, that if the Company or its Affiliates terminate your employment other than as a result of a Termination for Cause: (i) any unvested Phantom Units shall be deemed nonforfeitable on the date of termination, and shall vest on the next following Distribution Date; and (ii) any remaining DERs shall not be forfeited on the date of termination, but shall be payable and shall expire in accordance with paragraph 5 above.</w:t>
      </w:r>
    </w:p>
    <w:p>
      <w:pPr>
        <w:spacing w:after="0" w:line="177" w:lineRule="exact"/>
        <w:rPr>
          <w:rFonts w:ascii="Arial" w:cs="Arial" w:eastAsia="Arial" w:hAnsi="Arial"/>
          <w:sz w:val="19"/>
          <w:szCs w:val="19"/>
          <w:color w:val="auto"/>
        </w:rPr>
      </w:pPr>
    </w:p>
    <w:p>
      <w:pPr>
        <w:jc w:val="both"/>
        <w:ind w:left="1080" w:hanging="424"/>
        <w:spacing w:after="0" w:line="259" w:lineRule="auto"/>
        <w:tabs>
          <w:tab w:leader="none" w:pos="108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your then outstanding Phantom Units shall be deemed nonforfeitable on the date of termination and shall vest on the next following Distribution Date (and any remaining DERs shall not be forfeited on the date of termination, but shall be payable and shall expire in accordance with paragraph 5 above). As soon as administratively practicable after the vesting of any Phantom Units pursuant to this paragraph 7, payment will be made in cash in an amount equal to the Market Value of the number of Phantom Units vesting.</w:t>
      </w:r>
    </w:p>
    <w:p>
      <w:pPr>
        <w:spacing w:after="0" w:line="210" w:lineRule="exact"/>
        <w:rPr>
          <w:rFonts w:ascii="Arial" w:cs="Arial" w:eastAsia="Arial" w:hAnsi="Arial"/>
          <w:sz w:val="21"/>
          <w:szCs w:val="21"/>
          <w:color w:val="auto"/>
        </w:rPr>
      </w:pPr>
    </w:p>
    <w:p>
      <w:pPr>
        <w:ind w:left="1080" w:hanging="424"/>
        <w:spacing w:after="0" w:line="263" w:lineRule="auto"/>
        <w:tabs>
          <w:tab w:leader="none" w:pos="10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In the event of a Change in Status, all of your then outstanding Phantom Units shall be deemed 100% nonforfeitable on such date, and such Phantom Units shall vest in full upon the next Distribution Date.</w:t>
      </w:r>
    </w:p>
    <w:p>
      <w:pPr>
        <w:spacing w:after="0" w:line="201" w:lineRule="exact"/>
        <w:rPr>
          <w:rFonts w:ascii="Arial" w:cs="Arial" w:eastAsia="Arial" w:hAnsi="Arial"/>
          <w:sz w:val="22"/>
          <w:szCs w:val="22"/>
          <w:color w:val="auto"/>
        </w:rPr>
      </w:pPr>
    </w:p>
    <w:p>
      <w:pPr>
        <w:jc w:val="both"/>
        <w:ind w:left="1080" w:hanging="424"/>
        <w:spacing w:after="0" w:line="250" w:lineRule="auto"/>
        <w:tabs>
          <w:tab w:leader="none" w:pos="10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ectPr>
          <w:pgSz w:w="11900" w:h="16838" w:orient="portrait"/>
          <w:cols w:equalWidth="0" w:num="1">
            <w:col w:w="11240"/>
          </w:cols>
          <w:pgMar w:left="320" w:top="132" w:right="3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with the Company as a result of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the Partnership or their respective affiliates),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used herein, the term “Owner Affiliates” shall mean KAFU Holdings, L.P. and its affiliates, EMG Investment, LLC and its affiliates, Oxy Holding Company (Pipeline), Inc. and its affiliates, Mark Strome and his affiliates, Windy, LLC and its affiliates, PAGP and its affiliates, Jay Chernosky, Kipp PAA Trust, Paul Riddle, Russell Clingman, David Humphreys and Philip Trinder.</w:t>
      </w:r>
    </w:p>
    <w:p>
      <w:pPr>
        <w:sectPr>
          <w:pgSz w:w="11900" w:h="16838" w:orient="portrait"/>
          <w:cols w:equalWidth="0" w:num="1">
            <w:col w:w="11240"/>
          </w:cols>
          <w:pgMar w:left="320" w:top="132" w:right="33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12" w:lineRule="exact"/>
        <w:rPr>
          <w:sz w:val="20"/>
          <w:szCs w:val="20"/>
          <w:color w:val="auto"/>
        </w:rPr>
      </w:pPr>
    </w:p>
    <w:p>
      <w:pPr>
        <w:jc w:val="both"/>
        <w:ind w:firstLine="565"/>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240"/>
          </w:cols>
          <w:pgMar w:left="320" w:top="132" w:right="3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me and retain a copy for your records.</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580" w:type="dxa"/>
            <w:vAlign w:val="bottom"/>
          </w:tcPr>
          <w:p>
            <w:pPr>
              <w:ind w:left="3900"/>
              <w:spacing w:after="0"/>
              <w:rPr>
                <w:sz w:val="20"/>
                <w:szCs w:val="20"/>
                <w:color w:val="auto"/>
              </w:rPr>
            </w:pPr>
            <w:r>
              <w:rPr>
                <w:rFonts w:ascii="Arial" w:cs="Arial" w:eastAsia="Arial" w:hAnsi="Arial"/>
                <w:sz w:val="22"/>
                <w:szCs w:val="22"/>
                <w:color w:val="auto"/>
              </w:rPr>
              <w:t>Name:</w:t>
            </w:r>
          </w:p>
        </w:tc>
        <w:tc>
          <w:tcPr>
            <w:tcW w:w="2900" w:type="dxa"/>
            <w:vAlign w:val="bottom"/>
            <w:gridSpan w:val="2"/>
          </w:tcPr>
          <w:p>
            <w:pPr>
              <w:ind w:left="100"/>
              <w:spacing w:after="0"/>
              <w:rPr>
                <w:sz w:val="20"/>
                <w:szCs w:val="20"/>
                <w:color w:val="auto"/>
              </w:rPr>
            </w:pPr>
            <w:r>
              <w:rPr>
                <w:rFonts w:ascii="Arial" w:cs="Arial" w:eastAsia="Arial" w:hAnsi="Arial"/>
                <w:sz w:val="22"/>
                <w:szCs w:val="22"/>
                <w:color w:val="auto"/>
              </w:rPr>
              <w:t>Greg L. Armstrong</w:t>
            </w:r>
          </w:p>
        </w:tc>
        <w:tc>
          <w:tcPr>
            <w:tcW w:w="3560" w:type="dxa"/>
            <w:vAlign w:val="bottom"/>
          </w:tcPr>
          <w:p>
            <w:pPr>
              <w:spacing w:after="0"/>
              <w:rPr>
                <w:sz w:val="21"/>
                <w:szCs w:val="21"/>
                <w:color w:val="auto"/>
              </w:rPr>
            </w:pPr>
          </w:p>
        </w:tc>
      </w:tr>
      <w:tr>
        <w:trPr>
          <w:trHeight w:val="274"/>
        </w:trPr>
        <w:tc>
          <w:tcPr>
            <w:tcW w:w="11040" w:type="dxa"/>
            <w:vAlign w:val="bottom"/>
            <w:gridSpan w:val="4"/>
          </w:tcPr>
          <w:p>
            <w:pPr>
              <w:ind w:left="3900"/>
              <w:spacing w:after="0"/>
              <w:rPr>
                <w:sz w:val="20"/>
                <w:szCs w:val="20"/>
                <w:color w:val="auto"/>
              </w:rPr>
            </w:pPr>
            <w:r>
              <w:rPr>
                <w:rFonts w:ascii="Arial" w:cs="Arial" w:eastAsia="Arial" w:hAnsi="Arial"/>
                <w:sz w:val="22"/>
                <w:szCs w:val="22"/>
                <w:color w:val="auto"/>
              </w:rPr>
              <w:t>Title:  Chairman of the Board and Chief Executive Officer</w:t>
            </w:r>
          </w:p>
        </w:tc>
      </w:tr>
      <w:tr>
        <w:trPr>
          <w:trHeight w:val="753"/>
        </w:trPr>
        <w:tc>
          <w:tcPr>
            <w:tcW w:w="4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Beneficiary Designation</w:t>
            </w:r>
          </w:p>
        </w:tc>
        <w:tc>
          <w:tcPr>
            <w:tcW w:w="6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r>
        <w:trPr>
          <w:trHeight w:val="342"/>
        </w:trPr>
        <w:tc>
          <w:tcPr>
            <w:tcW w:w="4580" w:type="dxa"/>
            <w:vAlign w:val="bottom"/>
            <w:tcBorders>
              <w:left w:val="single" w:sz="8" w:color="auto"/>
              <w:bottom w:val="single" w:sz="8" w:color="C0C0C0"/>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66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458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336"/>
        </w:trPr>
        <w:tc>
          <w:tcPr>
            <w:tcW w:w="4580" w:type="dxa"/>
            <w:vAlign w:val="bottom"/>
            <w:tcBorders>
              <w:left w:val="single" w:sz="8" w:color="auto"/>
              <w:bottom w:val="single" w:sz="8" w:color="C0C0C0"/>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66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458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bl>
    <w:p>
      <w:pPr>
        <w:spacing w:after="0" w:line="181" w:lineRule="exact"/>
        <w:rPr>
          <w:sz w:val="20"/>
          <w:szCs w:val="20"/>
          <w:color w:val="auto"/>
        </w:rPr>
      </w:pPr>
    </w:p>
    <w:p>
      <w:pPr>
        <w:ind w:left="260" w:hanging="252"/>
        <w:spacing w:after="0"/>
        <w:tabs>
          <w:tab w:leader="none" w:pos="260" w:val="left"/>
        </w:tabs>
        <w:numPr>
          <w:ilvl w:val="0"/>
          <w:numId w:val="124"/>
        </w:numPr>
        <w:rPr>
          <w:rFonts w:ascii="MS PGothic" w:cs="MS PGothic" w:eastAsia="MS PGothic" w:hAnsi="MS PGothic"/>
          <w:sz w:val="22"/>
          <w:szCs w:val="22"/>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Jeremy Goebel</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Units: 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7200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8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240"/>
          </w:cols>
          <w:pgMar w:left="320" w:top="132"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b w:val="1"/>
          <w:bCs w:val="1"/>
          <w:color w:val="auto"/>
        </w:rPr>
        <w:t>Exhibit 10.55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10795</wp:posOffset>
            </wp:positionV>
            <wp:extent cx="2117090" cy="6083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86">
                      <a:extLst>
                        <a:ext uri="{28A0092B-C50C-407E-A947-70E740481C1C}"/>
                      </a:extLst>
                    </a:blip>
                    <a:srcRect/>
                    <a:stretch>
                      <a:fillRect/>
                    </a:stretch>
                  </pic:blipFill>
                  <pic:spPr bwMode="auto">
                    <a:xfrm>
                      <a:off x="0" y="0"/>
                      <a:ext cx="21170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1, 2018</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Christopher R. Chandler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Chris:</w:t>
      </w:r>
    </w:p>
    <w:p>
      <w:pPr>
        <w:spacing w:after="0" w:line="2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75,000 Phantom Units as of the above date pursuant to the Company’s PNG Successor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174" w:lineRule="exact"/>
        <w:rPr>
          <w:sz w:val="20"/>
          <w:szCs w:val="20"/>
          <w:color w:val="auto"/>
        </w:rPr>
      </w:pPr>
    </w:p>
    <w:p>
      <w:pPr>
        <w:jc w:val="both"/>
        <w:ind w:left="1060" w:hanging="404"/>
        <w:spacing w:after="0" w:line="247" w:lineRule="auto"/>
        <w:tabs>
          <w:tab w:leader="none" w:pos="10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shall vest (become payable in the form of one Common Unit of PAA for each Phantom Unit) on the May 2021 Distribution Date, assuming your continued service through such date; however, 50% of such Phantom Units may vest prior to the May 2021 Distribution Date if and when PAA shall have generated distributable cash flow per Common Unit on a trailing four quarter basis of at least $2.30 (such amount being subject to adjustment in the reasonable discretion of the CEO to account for significant asset sales).</w:t>
      </w:r>
    </w:p>
    <w:p>
      <w:pPr>
        <w:spacing w:after="0" w:line="219" w:lineRule="exact"/>
        <w:rPr>
          <w:rFonts w:ascii="Arial" w:cs="Arial" w:eastAsia="Arial" w:hAnsi="Arial"/>
          <w:sz w:val="22"/>
          <w:szCs w:val="22"/>
          <w:color w:val="auto"/>
        </w:rPr>
      </w:pPr>
    </w:p>
    <w:p>
      <w:pPr>
        <w:ind w:left="1060" w:hanging="404"/>
        <w:spacing w:after="0" w:line="263" w:lineRule="auto"/>
        <w:tabs>
          <w:tab w:leader="none" w:pos="10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vest (become payable in cash) upon and effective with the May 2018 Distribution Date.</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46" w:lineRule="exact"/>
        <w:rPr>
          <w:rFonts w:ascii="Arial" w:cs="Arial" w:eastAsia="Arial" w:hAnsi="Arial"/>
          <w:sz w:val="22"/>
          <w:szCs w:val="22"/>
          <w:color w:val="auto"/>
        </w:rPr>
      </w:pPr>
    </w:p>
    <w:p>
      <w:pPr>
        <w:jc w:val="both"/>
        <w:ind w:left="1080" w:hanging="424"/>
        <w:spacing w:after="0" w:line="253" w:lineRule="auto"/>
        <w:tabs>
          <w:tab w:leader="none" w:pos="10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number of Phantom Units subject to this award and the distributable cash flow level required for vesting under paragraph 1 above shall be proportionately reduced or increased for any split or reverse split, respectively, of PAA Common Units, or any event or transaction having a similar effect.</w:t>
      </w:r>
    </w:p>
    <w:p>
      <w:pPr>
        <w:spacing w:after="0" w:line="212" w:lineRule="exact"/>
        <w:rPr>
          <w:rFonts w:ascii="Arial" w:cs="Arial" w:eastAsia="Arial" w:hAnsi="Arial"/>
          <w:sz w:val="22"/>
          <w:szCs w:val="22"/>
          <w:color w:val="auto"/>
        </w:rPr>
      </w:pPr>
    </w:p>
    <w:p>
      <w:pPr>
        <w:jc w:val="both"/>
        <w:ind w:left="1080" w:hanging="424"/>
        <w:spacing w:after="0" w:line="253" w:lineRule="auto"/>
        <w:tabs>
          <w:tab w:leader="none" w:pos="10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126" w:right="3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080" w:hanging="424"/>
        <w:spacing w:after="0" w:line="259" w:lineRule="auto"/>
        <w:tabs>
          <w:tab w:leader="none" w:pos="108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for any reason (other than in connection with a Change in Status or by reason of your death or “disability,” as defined in paragraph 7 below), all of your then outstanding Phantom Units and DERs shall automatically be forfeited as of the date of termination; provided, however, that if the Company or its Affiliates terminate your employment other than as a result of a Termination for Cause, (i) all of your then outstanding Phantom Units shall be deemed nonforfeitable on the date of termination and shall vest on the next following Distribution Date, and (ii) any DERs associated with such unvested, nonforfeitable Phantom Units shall not be forfeited on the date of termination, but shall be payable and shall expire on the next following Distribution Date.</w:t>
      </w:r>
    </w:p>
    <w:p>
      <w:pPr>
        <w:spacing w:after="0" w:line="210" w:lineRule="exact"/>
        <w:rPr>
          <w:rFonts w:ascii="Arial" w:cs="Arial" w:eastAsia="Arial" w:hAnsi="Arial"/>
          <w:sz w:val="21"/>
          <w:szCs w:val="21"/>
          <w:color w:val="auto"/>
        </w:rPr>
      </w:pPr>
    </w:p>
    <w:p>
      <w:pPr>
        <w:jc w:val="both"/>
        <w:ind w:left="1080" w:hanging="424"/>
        <w:spacing w:after="0" w:line="287" w:lineRule="auto"/>
        <w:tabs>
          <w:tab w:leader="none" w:pos="108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7, payment will be made in cash in an amount equal to the Market Value of the number of Phantom Units vesting.</w:t>
      </w:r>
    </w:p>
    <w:p>
      <w:pPr>
        <w:spacing w:after="0" w:line="190" w:lineRule="exact"/>
        <w:rPr>
          <w:rFonts w:ascii="Arial" w:cs="Arial" w:eastAsia="Arial" w:hAnsi="Arial"/>
          <w:sz w:val="19"/>
          <w:szCs w:val="19"/>
          <w:color w:val="auto"/>
        </w:rPr>
      </w:pPr>
    </w:p>
    <w:p>
      <w:pPr>
        <w:jc w:val="both"/>
        <w:ind w:left="1080" w:hanging="424"/>
        <w:spacing w:after="0" w:line="250" w:lineRule="auto"/>
        <w:tabs>
          <w:tab w:leader="none" w:pos="10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214" w:lineRule="exact"/>
        <w:rPr>
          <w:rFonts w:ascii="Arial" w:cs="Arial" w:eastAsia="Arial" w:hAnsi="Arial"/>
          <w:sz w:val="22"/>
          <w:szCs w:val="22"/>
          <w:color w:val="auto"/>
        </w:rPr>
      </w:pPr>
    </w:p>
    <w:p>
      <w:pPr>
        <w:jc w:val="both"/>
        <w:ind w:left="1080" w:hanging="424"/>
        <w:spacing w:after="0" w:line="250" w:lineRule="auto"/>
        <w:tabs>
          <w:tab w:leader="none" w:pos="10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ectPr>
          <w:pgSz w:w="11900" w:h="16838" w:orient="portrait"/>
          <w:cols w:equalWidth="0" w:num="1">
            <w:col w:w="11240"/>
          </w:cols>
          <w:pgMar w:left="320" w:top="132" w:right="3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ectPr>
          <w:pgSz w:w="11900" w:h="16838" w:orient="portrait"/>
          <w:cols w:equalWidth="0" w:num="1">
            <w:col w:w="11240"/>
          </w:cols>
          <w:pgMar w:left="320" w:top="132" w:right="3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the Partnership or their respective affiliates),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used herein, the term “Owner Affiliates” shall mean KAFU Holdings, L.P. and its affiliates, EMG Investment, LLC and its affiliates, Oxy Holding Company (Pipeline), Inc. and its affiliates, Mark Strome and his affiliates, Windy, LLC and its affiliates, PAGP and its affiliates, Jay Chernosky, Kipp PAA Trust, Paul Riddle, Russell Clingman, David Humphreys and Philip Trinder.</w:t>
      </w:r>
    </w:p>
    <w:p>
      <w:pPr>
        <w:spacing w:after="0" w:line="2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and COO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(the “Partnership Agreement”).</w:t>
      </w:r>
    </w:p>
    <w:p>
      <w:pPr>
        <w:sectPr>
          <w:pgSz w:w="11900" w:h="16838" w:orient="portrait"/>
          <w:cols w:equalWidth="0" w:num="1">
            <w:col w:w="11240"/>
          </w:cols>
          <w:pgMar w:left="320" w:top="132" w:right="3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565"/>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240"/>
          </w:cols>
          <w:pgMar w:left="320" w:top="132" w:right="3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Richard McGee or Ann Gullion and retain a copy for your records.</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580" w:type="dxa"/>
            <w:vAlign w:val="bottom"/>
          </w:tcPr>
          <w:p>
            <w:pPr>
              <w:ind w:left="3900"/>
              <w:spacing w:after="0"/>
              <w:rPr>
                <w:sz w:val="20"/>
                <w:szCs w:val="20"/>
                <w:color w:val="auto"/>
              </w:rPr>
            </w:pPr>
            <w:r>
              <w:rPr>
                <w:rFonts w:ascii="Arial" w:cs="Arial" w:eastAsia="Arial" w:hAnsi="Arial"/>
                <w:sz w:val="22"/>
                <w:szCs w:val="22"/>
                <w:color w:val="auto"/>
              </w:rPr>
              <w:t>Name:</w:t>
            </w:r>
          </w:p>
        </w:tc>
        <w:tc>
          <w:tcPr>
            <w:tcW w:w="2900" w:type="dxa"/>
            <w:vAlign w:val="bottom"/>
            <w:gridSpan w:val="2"/>
          </w:tcPr>
          <w:p>
            <w:pPr>
              <w:ind w:left="100"/>
              <w:spacing w:after="0"/>
              <w:rPr>
                <w:sz w:val="20"/>
                <w:szCs w:val="20"/>
                <w:color w:val="auto"/>
              </w:rPr>
            </w:pPr>
            <w:r>
              <w:rPr>
                <w:rFonts w:ascii="Arial" w:cs="Arial" w:eastAsia="Arial" w:hAnsi="Arial"/>
                <w:sz w:val="22"/>
                <w:szCs w:val="22"/>
                <w:color w:val="auto"/>
              </w:rPr>
              <w:t>Willie Chiang</w:t>
            </w:r>
          </w:p>
        </w:tc>
        <w:tc>
          <w:tcPr>
            <w:tcW w:w="3560" w:type="dxa"/>
            <w:vAlign w:val="bottom"/>
          </w:tcPr>
          <w:p>
            <w:pPr>
              <w:spacing w:after="0"/>
              <w:rPr>
                <w:sz w:val="21"/>
                <w:szCs w:val="21"/>
                <w:color w:val="auto"/>
              </w:rPr>
            </w:pPr>
          </w:p>
        </w:tc>
      </w:tr>
      <w:tr>
        <w:trPr>
          <w:trHeight w:val="274"/>
        </w:trPr>
        <w:tc>
          <w:tcPr>
            <w:tcW w:w="7480" w:type="dxa"/>
            <w:vAlign w:val="bottom"/>
            <w:gridSpan w:val="3"/>
          </w:tcPr>
          <w:p>
            <w:pPr>
              <w:ind w:left="3900"/>
              <w:spacing w:after="0"/>
              <w:rPr>
                <w:sz w:val="20"/>
                <w:szCs w:val="20"/>
                <w:color w:val="auto"/>
              </w:rPr>
            </w:pPr>
            <w:r>
              <w:rPr>
                <w:rFonts w:ascii="Arial" w:cs="Arial" w:eastAsia="Arial" w:hAnsi="Arial"/>
                <w:sz w:val="22"/>
                <w:szCs w:val="22"/>
                <w:color w:val="auto"/>
                <w:w w:val="93"/>
              </w:rPr>
              <w:t>Title:  Executive Vice President &amp; COO</w:t>
            </w:r>
          </w:p>
        </w:tc>
        <w:tc>
          <w:tcPr>
            <w:tcW w:w="3560" w:type="dxa"/>
            <w:vAlign w:val="bottom"/>
          </w:tcPr>
          <w:p>
            <w:pPr>
              <w:spacing w:after="0"/>
              <w:rPr>
                <w:sz w:val="23"/>
                <w:szCs w:val="23"/>
                <w:color w:val="auto"/>
              </w:rPr>
            </w:pPr>
          </w:p>
        </w:tc>
      </w:tr>
      <w:tr>
        <w:trPr>
          <w:trHeight w:val="753"/>
        </w:trPr>
        <w:tc>
          <w:tcPr>
            <w:tcW w:w="4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Beneficiary Designation</w:t>
            </w:r>
          </w:p>
        </w:tc>
        <w:tc>
          <w:tcPr>
            <w:tcW w:w="6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r>
        <w:trPr>
          <w:trHeight w:val="343"/>
        </w:trPr>
        <w:tc>
          <w:tcPr>
            <w:tcW w:w="4580" w:type="dxa"/>
            <w:vAlign w:val="bottom"/>
            <w:tcBorders>
              <w:left w:val="single" w:sz="8" w:color="auto"/>
              <w:bottom w:val="single" w:sz="8" w:color="C0C0C0"/>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66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458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336"/>
        </w:trPr>
        <w:tc>
          <w:tcPr>
            <w:tcW w:w="4580" w:type="dxa"/>
            <w:vAlign w:val="bottom"/>
            <w:tcBorders>
              <w:left w:val="single" w:sz="8" w:color="auto"/>
              <w:bottom w:val="single" w:sz="8" w:color="C0C0C0"/>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66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458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bl>
    <w:p>
      <w:pPr>
        <w:spacing w:after="0" w:line="195" w:lineRule="exact"/>
        <w:rPr>
          <w:sz w:val="20"/>
          <w:szCs w:val="20"/>
          <w:color w:val="auto"/>
        </w:rPr>
      </w:pPr>
    </w:p>
    <w:p>
      <w:pPr>
        <w:ind w:left="260" w:hanging="252"/>
        <w:spacing w:after="0"/>
        <w:tabs>
          <w:tab w:leader="none" w:pos="260" w:val="left"/>
        </w:tabs>
        <w:numPr>
          <w:ilvl w:val="0"/>
          <w:numId w:val="127"/>
        </w:numPr>
        <w:rPr>
          <w:rFonts w:ascii="MS PGothic" w:cs="MS PGothic" w:eastAsia="MS PGothic" w:hAnsi="MS PGothic"/>
          <w:sz w:val="22"/>
          <w:szCs w:val="22"/>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Christopher R. Chandler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Units: 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7886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240"/>
          </w:cols>
          <w:pgMar w:left="320" w:top="132" w:right="339" w:bottom="1440" w:gutter="0" w:footer="0" w:header="0"/>
        </w:sectPr>
      </w:pPr>
    </w:p>
    <w:bookmarkStart w:id="213" w:name="page214"/>
    <w:bookmarkEnd w:id="213"/>
    <w:p>
      <w:pPr>
        <w:ind w:left="9800"/>
        <w:spacing w:after="0"/>
        <w:rPr>
          <w:sz w:val="20"/>
          <w:szCs w:val="20"/>
          <w:color w:val="auto"/>
        </w:rPr>
      </w:pPr>
      <w:r>
        <w:rPr>
          <w:rFonts w:ascii="Arial" w:cs="Arial" w:eastAsia="Arial" w:hAnsi="Arial"/>
          <w:sz w:val="22"/>
          <w:szCs w:val="22"/>
          <w:b w:val="1"/>
          <w:bCs w:val="1"/>
          <w:color w:val="auto"/>
        </w:rPr>
        <w:t>Exhibit 10.56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10795</wp:posOffset>
            </wp:positionV>
            <wp:extent cx="2117090" cy="6083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88">
                      <a:extLst>
                        <a:ext uri="{28A0092B-C50C-407E-A947-70E740481C1C}"/>
                      </a:extLst>
                    </a:blip>
                    <a:srcRect/>
                    <a:stretch>
                      <a:fillRect/>
                    </a:stretch>
                  </pic:blipFill>
                  <pic:spPr bwMode="auto">
                    <a:xfrm>
                      <a:off x="0" y="0"/>
                      <a:ext cx="21170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1, 2018</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Christopher R. Chandler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Chris:</w:t>
      </w:r>
    </w:p>
    <w:p>
      <w:pPr>
        <w:spacing w:after="0" w:line="2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135,000 Phantom Units as of the above date pursuant to the Company’s PNG Successor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174" w:lineRule="exact"/>
        <w:rPr>
          <w:sz w:val="20"/>
          <w:szCs w:val="20"/>
          <w:color w:val="auto"/>
        </w:rPr>
      </w:pPr>
    </w:p>
    <w:p>
      <w:pPr>
        <w:jc w:val="both"/>
        <w:ind w:left="1060" w:hanging="404"/>
        <w:spacing w:after="0" w:line="302" w:lineRule="auto"/>
        <w:tabs>
          <w:tab w:leader="none" w:pos="106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Phantom Units shall vest (become payable in the form of one Common Unit of PAA for each Phantom Unit) as follows: (i) one-third shall vest on the May 2020 Distribution Date, (ii) one-third shall vest on the May 2021 Distribution Date, and (iii) one-third shall vest on the May 2022 Distribution Date, in each case assuming your continued service through the applicable Distribution Date.</w:t>
      </w:r>
    </w:p>
    <w:p>
      <w:pPr>
        <w:spacing w:after="0" w:line="169" w:lineRule="exact"/>
        <w:rPr>
          <w:rFonts w:ascii="Arial" w:cs="Arial" w:eastAsia="Arial" w:hAnsi="Arial"/>
          <w:sz w:val="19"/>
          <w:szCs w:val="19"/>
          <w:color w:val="auto"/>
        </w:rPr>
      </w:pPr>
    </w:p>
    <w:p>
      <w:pPr>
        <w:ind w:left="1060" w:hanging="404"/>
        <w:spacing w:after="0" w:line="263" w:lineRule="auto"/>
        <w:tabs>
          <w:tab w:leader="none" w:pos="10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vest (become payable in cash) upon and effective with the May 2018 Distribution Date.</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46" w:lineRule="exact"/>
        <w:rPr>
          <w:rFonts w:ascii="Arial" w:cs="Arial" w:eastAsia="Arial" w:hAnsi="Arial"/>
          <w:sz w:val="22"/>
          <w:szCs w:val="22"/>
          <w:color w:val="auto"/>
        </w:rPr>
      </w:pPr>
    </w:p>
    <w:p>
      <w:pPr>
        <w:ind w:left="1080" w:hanging="424"/>
        <w:spacing w:after="0" w:line="287" w:lineRule="auto"/>
        <w:tabs>
          <w:tab w:leader="none" w:pos="108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number of Phantom Units subject to this award shall be proportionately reduced or increased for any split or reverse split, respectively, of PAA Common Units, or any event or transaction having a similar effect.</w:t>
      </w:r>
    </w:p>
    <w:p>
      <w:pPr>
        <w:spacing w:after="0" w:line="178" w:lineRule="exact"/>
        <w:rPr>
          <w:rFonts w:ascii="Arial" w:cs="Arial" w:eastAsia="Arial" w:hAnsi="Arial"/>
          <w:sz w:val="21"/>
          <w:szCs w:val="21"/>
          <w:color w:val="auto"/>
        </w:rPr>
      </w:pPr>
    </w:p>
    <w:p>
      <w:pPr>
        <w:jc w:val="both"/>
        <w:ind w:left="1080" w:hanging="424"/>
        <w:spacing w:after="0" w:line="253" w:lineRule="auto"/>
        <w:tabs>
          <w:tab w:leader="none" w:pos="10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126" w:right="3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080" w:hanging="424"/>
        <w:spacing w:after="0" w:line="259" w:lineRule="auto"/>
        <w:tabs>
          <w:tab w:leader="none" w:pos="108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for any reason (other than in connection with a Change in Status or by reason of your death or “disability,” as defined in paragraph 7 below), all of your then outstanding Phantom Units and DERs shall automatically be forfeited as of the date of termination; provided, however, that if the Company or its Affiliates terminate your employment other than as a result of a Termination for Cause, (i) all of your then outstanding Phantom Units shall be deemed nonforfeitable on the date of termination and shall vest on the next following Distribution Date, and (ii) any DERs associated with such unvested, nonforfeitable Phantom Units shall not be forfeited on the date of termination, but shall be payable and shall expire on the next following Distribution Date.</w:t>
      </w:r>
    </w:p>
    <w:p>
      <w:pPr>
        <w:spacing w:after="0" w:line="210" w:lineRule="exact"/>
        <w:rPr>
          <w:rFonts w:ascii="Arial" w:cs="Arial" w:eastAsia="Arial" w:hAnsi="Arial"/>
          <w:sz w:val="21"/>
          <w:szCs w:val="21"/>
          <w:color w:val="auto"/>
        </w:rPr>
      </w:pPr>
    </w:p>
    <w:p>
      <w:pPr>
        <w:jc w:val="both"/>
        <w:ind w:left="1080" w:hanging="424"/>
        <w:spacing w:after="0" w:line="290" w:lineRule="auto"/>
        <w:tabs>
          <w:tab w:leader="none" w:pos="108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(i) all of your then outstanding Phantom Units shall be deemed nonforfeitable on the date of termination and shall vest on the next following Distribution Date, and (ii)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7, payment will be made in cash in an amount equal to the Market Value of the number of Phantom Units vesting.</w:t>
      </w:r>
    </w:p>
    <w:p>
      <w:pPr>
        <w:spacing w:after="0" w:line="182" w:lineRule="exact"/>
        <w:rPr>
          <w:rFonts w:ascii="Arial" w:cs="Arial" w:eastAsia="Arial" w:hAnsi="Arial"/>
          <w:sz w:val="19"/>
          <w:szCs w:val="19"/>
          <w:color w:val="auto"/>
        </w:rPr>
      </w:pPr>
    </w:p>
    <w:p>
      <w:pPr>
        <w:jc w:val="both"/>
        <w:ind w:left="1080" w:hanging="424"/>
        <w:spacing w:after="0" w:line="250" w:lineRule="auto"/>
        <w:tabs>
          <w:tab w:leader="none" w:pos="10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214" w:lineRule="exact"/>
        <w:rPr>
          <w:rFonts w:ascii="Arial" w:cs="Arial" w:eastAsia="Arial" w:hAnsi="Arial"/>
          <w:sz w:val="22"/>
          <w:szCs w:val="22"/>
          <w:color w:val="auto"/>
        </w:rPr>
      </w:pPr>
    </w:p>
    <w:p>
      <w:pPr>
        <w:jc w:val="both"/>
        <w:ind w:left="1080" w:hanging="424"/>
        <w:spacing w:after="0" w:line="250" w:lineRule="auto"/>
        <w:tabs>
          <w:tab w:leader="none" w:pos="10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ectPr>
          <w:pgSz w:w="11900" w:h="16838" w:orient="portrait"/>
          <w:cols w:equalWidth="0" w:num="1">
            <w:col w:w="11240"/>
          </w:cols>
          <w:pgMar w:left="320" w:top="132" w:right="33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the Partnership or their respective affiliates),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used herein, the term “Owner Affiliates” shall mean KAFU Holdings, L.P. and its affiliates, EMG Investment, LLC and its affiliates, Oxy Holding Company (Pipeline), Inc. and its affiliates, Mark Strome and his affiliates, Windy, LLC and its affiliates, PAGP and its affiliates, Jay Chernosky, Kipp PAA Trust, Paul Riddle, Russell Clingman, David Humphreys and Philip Trinder.</w:t>
      </w:r>
    </w:p>
    <w:p>
      <w:pPr>
        <w:sectPr>
          <w:pgSz w:w="11900" w:h="16838" w:orient="portrait"/>
          <w:cols w:equalWidth="0" w:num="1">
            <w:col w:w="11240"/>
          </w:cols>
          <w:pgMar w:left="320" w:top="132" w:right="33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and COO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(the “Partnership Agreement”).</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240"/>
          </w:cols>
          <w:pgMar w:left="320" w:top="132" w:right="3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Richard McGee or Ann Gullion and retain a copy for your records.</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580" w:type="dxa"/>
            <w:vAlign w:val="bottom"/>
          </w:tcPr>
          <w:p>
            <w:pPr>
              <w:ind w:left="3900"/>
              <w:spacing w:after="0"/>
              <w:rPr>
                <w:sz w:val="20"/>
                <w:szCs w:val="20"/>
                <w:color w:val="auto"/>
              </w:rPr>
            </w:pPr>
            <w:r>
              <w:rPr>
                <w:rFonts w:ascii="Arial" w:cs="Arial" w:eastAsia="Arial" w:hAnsi="Arial"/>
                <w:sz w:val="22"/>
                <w:szCs w:val="22"/>
                <w:color w:val="auto"/>
              </w:rPr>
              <w:t>Name:</w:t>
            </w:r>
          </w:p>
        </w:tc>
        <w:tc>
          <w:tcPr>
            <w:tcW w:w="2900" w:type="dxa"/>
            <w:vAlign w:val="bottom"/>
            <w:gridSpan w:val="2"/>
          </w:tcPr>
          <w:p>
            <w:pPr>
              <w:ind w:left="100"/>
              <w:spacing w:after="0"/>
              <w:rPr>
                <w:sz w:val="20"/>
                <w:szCs w:val="20"/>
                <w:color w:val="auto"/>
              </w:rPr>
            </w:pPr>
            <w:r>
              <w:rPr>
                <w:rFonts w:ascii="Arial" w:cs="Arial" w:eastAsia="Arial" w:hAnsi="Arial"/>
                <w:sz w:val="22"/>
                <w:szCs w:val="22"/>
                <w:color w:val="auto"/>
              </w:rPr>
              <w:t>Willie Chiang</w:t>
            </w:r>
          </w:p>
        </w:tc>
        <w:tc>
          <w:tcPr>
            <w:tcW w:w="3560" w:type="dxa"/>
            <w:vAlign w:val="bottom"/>
          </w:tcPr>
          <w:p>
            <w:pPr>
              <w:spacing w:after="0"/>
              <w:rPr>
                <w:sz w:val="21"/>
                <w:szCs w:val="21"/>
                <w:color w:val="auto"/>
              </w:rPr>
            </w:pPr>
          </w:p>
        </w:tc>
      </w:tr>
      <w:tr>
        <w:trPr>
          <w:trHeight w:val="274"/>
        </w:trPr>
        <w:tc>
          <w:tcPr>
            <w:tcW w:w="7480" w:type="dxa"/>
            <w:vAlign w:val="bottom"/>
            <w:gridSpan w:val="3"/>
          </w:tcPr>
          <w:p>
            <w:pPr>
              <w:ind w:left="3900"/>
              <w:spacing w:after="0"/>
              <w:rPr>
                <w:sz w:val="20"/>
                <w:szCs w:val="20"/>
                <w:color w:val="auto"/>
              </w:rPr>
            </w:pPr>
            <w:r>
              <w:rPr>
                <w:rFonts w:ascii="Arial" w:cs="Arial" w:eastAsia="Arial" w:hAnsi="Arial"/>
                <w:sz w:val="22"/>
                <w:szCs w:val="22"/>
                <w:color w:val="auto"/>
                <w:w w:val="93"/>
              </w:rPr>
              <w:t>Title:  Executive Vice President &amp; COO</w:t>
            </w:r>
          </w:p>
        </w:tc>
        <w:tc>
          <w:tcPr>
            <w:tcW w:w="3560" w:type="dxa"/>
            <w:vAlign w:val="bottom"/>
          </w:tcPr>
          <w:p>
            <w:pPr>
              <w:spacing w:after="0"/>
              <w:rPr>
                <w:sz w:val="23"/>
                <w:szCs w:val="23"/>
                <w:color w:val="auto"/>
              </w:rPr>
            </w:pPr>
          </w:p>
        </w:tc>
      </w:tr>
      <w:tr>
        <w:trPr>
          <w:trHeight w:val="753"/>
        </w:trPr>
        <w:tc>
          <w:tcPr>
            <w:tcW w:w="4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Beneficiary Designation</w:t>
            </w:r>
          </w:p>
        </w:tc>
        <w:tc>
          <w:tcPr>
            <w:tcW w:w="6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r>
        <w:trPr>
          <w:trHeight w:val="343"/>
        </w:trPr>
        <w:tc>
          <w:tcPr>
            <w:tcW w:w="4580" w:type="dxa"/>
            <w:vAlign w:val="bottom"/>
            <w:tcBorders>
              <w:left w:val="single" w:sz="8" w:color="auto"/>
              <w:bottom w:val="single" w:sz="8" w:color="C0C0C0"/>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66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458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336"/>
        </w:trPr>
        <w:tc>
          <w:tcPr>
            <w:tcW w:w="4580" w:type="dxa"/>
            <w:vAlign w:val="bottom"/>
            <w:tcBorders>
              <w:left w:val="single" w:sz="8" w:color="auto"/>
              <w:bottom w:val="single" w:sz="8" w:color="C0C0C0"/>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66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458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bl>
    <w:p>
      <w:pPr>
        <w:spacing w:after="0" w:line="181" w:lineRule="exact"/>
        <w:rPr>
          <w:sz w:val="20"/>
          <w:szCs w:val="20"/>
          <w:color w:val="auto"/>
        </w:rPr>
      </w:pPr>
    </w:p>
    <w:p>
      <w:pPr>
        <w:ind w:left="260" w:hanging="252"/>
        <w:spacing w:after="0"/>
        <w:tabs>
          <w:tab w:leader="none" w:pos="260" w:val="left"/>
        </w:tabs>
        <w:numPr>
          <w:ilvl w:val="0"/>
          <w:numId w:val="130"/>
        </w:numPr>
        <w:rPr>
          <w:rFonts w:ascii="MS PGothic" w:cs="MS PGothic" w:eastAsia="MS PGothic" w:hAnsi="MS PGothic"/>
          <w:sz w:val="22"/>
          <w:szCs w:val="22"/>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Christopher R. Chandler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Units: 135,000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8572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8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240"/>
          </w:cols>
          <w:pgMar w:left="320" w:top="132"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440" w:type="dxa"/>
            <w:vAlign w:val="bottom"/>
            <w:gridSpan w:val="3"/>
          </w:tcPr>
          <w:p>
            <w:pPr>
              <w:jc w:val="center"/>
              <w:ind w:right="3630"/>
              <w:spacing w:after="0"/>
              <w:rPr>
                <w:sz w:val="20"/>
                <w:szCs w:val="20"/>
                <w:color w:val="auto"/>
              </w:rPr>
            </w:pPr>
            <w:r>
              <w:rPr>
                <w:rFonts w:ascii="Arial" w:cs="Arial" w:eastAsia="Arial" w:hAnsi="Arial"/>
                <w:sz w:val="18"/>
                <w:szCs w:val="18"/>
                <w:b w:val="1"/>
                <w:bCs w:val="1"/>
                <w:color w:val="auto"/>
                <w:w w:val="98"/>
              </w:rPr>
              <w:t>SUBSIDIARIES OF</w:t>
            </w:r>
          </w:p>
        </w:tc>
      </w:tr>
      <w:tr>
        <w:trPr>
          <w:trHeight w:val="220"/>
        </w:trPr>
        <w:tc>
          <w:tcPr>
            <w:tcW w:w="3760" w:type="dxa"/>
            <w:vAlign w:val="bottom"/>
          </w:tcPr>
          <w:p>
            <w:pPr>
              <w:spacing w:after="0"/>
              <w:rPr>
                <w:sz w:val="19"/>
                <w:szCs w:val="19"/>
                <w:color w:val="auto"/>
              </w:rPr>
            </w:pPr>
          </w:p>
        </w:tc>
        <w:tc>
          <w:tcPr>
            <w:tcW w:w="744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rPr>
              <w:t>PLAINS ALL AMERICAN PIPELINE, L.P.</w:t>
            </w:r>
          </w:p>
        </w:tc>
      </w:tr>
      <w:tr>
        <w:trPr>
          <w:trHeight w:val="230"/>
        </w:trPr>
        <w:tc>
          <w:tcPr>
            <w:tcW w:w="3760" w:type="dxa"/>
            <w:vAlign w:val="bottom"/>
          </w:tcPr>
          <w:p>
            <w:pPr>
              <w:spacing w:after="0"/>
              <w:rPr>
                <w:sz w:val="20"/>
                <w:szCs w:val="20"/>
                <w:color w:val="auto"/>
              </w:rPr>
            </w:pPr>
          </w:p>
        </w:tc>
        <w:tc>
          <w:tcPr>
            <w:tcW w:w="7440" w:type="dxa"/>
            <w:vAlign w:val="bottom"/>
            <w:gridSpan w:val="3"/>
          </w:tcPr>
          <w:p>
            <w:pPr>
              <w:jc w:val="center"/>
              <w:ind w:right="3630"/>
              <w:spacing w:after="0"/>
              <w:rPr>
                <w:sz w:val="20"/>
                <w:szCs w:val="20"/>
                <w:color w:val="auto"/>
              </w:rPr>
            </w:pPr>
            <w:r>
              <w:rPr>
                <w:rFonts w:ascii="Arial" w:cs="Arial" w:eastAsia="Arial" w:hAnsi="Arial"/>
                <w:sz w:val="18"/>
                <w:szCs w:val="18"/>
                <w:i w:val="1"/>
                <w:iCs w:val="1"/>
                <w:color w:val="auto"/>
                <w:w w:val="90"/>
              </w:rPr>
              <w:t>(As of 1/1/2021)</w:t>
            </w:r>
          </w:p>
        </w:tc>
      </w:tr>
      <w:tr>
        <w:trPr>
          <w:trHeight w:val="21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w:t>
            </w:r>
          </w:p>
        </w:tc>
        <w:tc>
          <w:tcPr>
            <w:tcW w:w="3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Organization</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Aurora Pipeline Company Ltd.</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Bakersfield Crude Terminal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Cactus II Pipeline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Capline Pipeline Company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Eagle Ford Crude Terminal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FM Midstream Holdings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Niobrara Crude Terminal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PAA Finance Corp.</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PAA Luxembourg S.a.r.l.</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PAA Midstream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PAA Natural Gas Canada ULC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Alberta</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PAA Natural Gas Storage,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PAA Natural Gas Storage, L.P.</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PAA Service Corp.</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PAA/Vulcan Gas Storage,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Pacific Pipeline System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Pine Prairie Energy Center,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w w:val="96"/>
              </w:rPr>
              <w:t>Plains All American Emergency Relief Fund, Inc.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Capline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Plains Gas Solutions,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GP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Plains LPG Services GP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LPG Services, L.P.</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Plains Marketing Bondholder,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Marketing Canada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Plains Marketing, L.P.</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Midstream Canada ULC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British Columbia</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Plains Midstream Holdings Canada ULC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Columbia</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Midstream Luxembourg S.a.r.l.</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Plains Midstream Superior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Pipeline, L.P.</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Plains Pipeline Montana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Products Terminals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Plains Rail Holdings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South Texas Gathering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PMC (Nova Scotia) Company</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Nova Scotia</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PNGS GP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PPEC Bondholder,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Rancho LPG Holdings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Red River Pipeline Company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Rocky Mountain Pipeline Montana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SG Resources Mississippi, L.L.C.</w:t>
            </w:r>
          </w:p>
        </w:tc>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891" w:right="339" w:bottom="1440" w:gutter="0" w:footer="0" w:header="0"/>
        </w:sectPr>
      </w:pPr>
    </w:p>
    <w:bookmarkStart w:id="219" w:name="page220"/>
    <w:bookmarkEnd w:id="2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3420" w:type="dxa"/>
            <w:vAlign w:val="bottom"/>
          </w:tcPr>
          <w:p>
            <w:pPr>
              <w:spacing w:after="0"/>
              <w:rPr>
                <w:sz w:val="20"/>
                <w:szCs w:val="20"/>
                <w:color w:val="auto"/>
              </w:rPr>
            </w:pPr>
            <w:r>
              <w:rPr>
                <w:rFonts w:ascii="Arial" w:cs="Arial" w:eastAsia="Arial" w:hAnsi="Arial"/>
                <w:sz w:val="14"/>
                <w:szCs w:val="14"/>
                <w:b w:val="1"/>
                <w:bCs w:val="1"/>
                <w:color w:val="auto"/>
              </w:rPr>
              <w:t>Jurisdiction of Organization</w:t>
            </w:r>
          </w:p>
        </w:tc>
      </w:tr>
      <w:tr>
        <w:trPr>
          <w:trHeight w:val="229"/>
        </w:trPr>
        <w:tc>
          <w:tcPr>
            <w:tcW w:w="7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 James Rail Terminal LLC</w:t>
            </w:r>
          </w:p>
        </w:tc>
        <w:tc>
          <w:tcPr>
            <w:tcW w:w="120" w:type="dxa"/>
            <w:vAlign w:val="bottom"/>
            <w:tcBorders>
              <w:top w:val="single" w:sz="8" w:color="CCEEFF"/>
            </w:tcBorders>
            <w:shd w:val="clear" w:color="auto" w:fill="CCEEFF"/>
          </w:tcPr>
          <w:p>
            <w:pPr>
              <w:spacing w:after="0"/>
              <w:rPr>
                <w:sz w:val="19"/>
                <w:szCs w:val="19"/>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Sunrise Pipeline LLC</w:t>
            </w: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Van Hook Crude Terminal LLC</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Western Corridor Pipeline LLC</w:t>
            </w: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00"/>
          </w:cols>
          <w:pgMar w:left="320" w:top="927" w:right="37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333-138888, 333-155673, 333-162477, 333-214778, 333-221845, 333-227358 and 333-227359) and on Form S-8 (No. 333-91141, 333-74920, 333-122806, 333-141185, 333-193139, and 333-193140) of Plains All American Pipeline, L.P. of our report dated February 26, 2021 relating to the financial statements and the effectiveness of internal control over financial reporting, which appears in this Form 10-K.</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891"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firstLine="656"/>
        <w:spacing w:after="0" w:line="263" w:lineRule="auto"/>
        <w:tabs>
          <w:tab w:leader="none" w:pos="129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656"/>
        <w:spacing w:after="0" w:line="263" w:lineRule="auto"/>
        <w:tabs>
          <w:tab w:leader="none" w:pos="129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240" w:firstLine="656"/>
        <w:spacing w:after="0" w:line="342" w:lineRule="auto"/>
        <w:tabs>
          <w:tab w:leader="none" w:pos="129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20" w:firstLine="656"/>
        <w:spacing w:after="0" w:line="263" w:lineRule="auto"/>
        <w:tabs>
          <w:tab w:leader="none" w:pos="129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60" w:firstLine="656"/>
        <w:spacing w:after="0" w:line="308" w:lineRule="auto"/>
        <w:tabs>
          <w:tab w:leader="none" w:pos="129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40" w:firstLine="656"/>
        <w:spacing w:after="0" w:line="277" w:lineRule="auto"/>
        <w:tabs>
          <w:tab w:leader="none" w:pos="12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9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29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656"/>
        <w:spacing w:after="0" w:line="263" w:lineRule="auto"/>
        <w:tabs>
          <w:tab w:leader="none" w:pos="12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240" w:firstLine="656"/>
        <w:spacing w:after="0" w:line="342" w:lineRule="auto"/>
        <w:tabs>
          <w:tab w:leader="none" w:pos="129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20" w:firstLine="656"/>
        <w:spacing w:after="0" w:line="263" w:lineRule="auto"/>
        <w:tabs>
          <w:tab w:leader="none" w:pos="12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40" w:firstLine="656"/>
        <w:spacing w:after="0" w:line="308" w:lineRule="auto"/>
        <w:tabs>
          <w:tab w:leader="none" w:pos="87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60" w:firstLine="656"/>
        <w:spacing w:after="0" w:line="308" w:lineRule="auto"/>
        <w:tabs>
          <w:tab w:leader="none" w:pos="129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40" w:firstLine="656"/>
        <w:spacing w:after="0" w:line="277" w:lineRule="auto"/>
        <w:tabs>
          <w:tab w:leader="none" w:pos="129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9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52" w:lineRule="exact"/>
        <w:rPr>
          <w:sz w:val="20"/>
          <w:szCs w:val="20"/>
          <w:color w:val="auto"/>
        </w:rPr>
      </w:pPr>
    </w:p>
    <w:p>
      <w:pPr>
        <w:ind w:right="180" w:firstLine="656"/>
        <w:spacing w:after="0" w:line="263" w:lineRule="auto"/>
        <w:tabs>
          <w:tab w:leader="none" w:pos="13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2020 and filed with the Securities and Exchange Commission on the date hereof (the “Report”) by the Company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1340" w:hanging="684"/>
        <w:spacing w:after="0"/>
        <w:tabs>
          <w:tab w:leader="none" w:pos="13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9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February 26, 2021</w:t>
      </w:r>
    </w:p>
    <w:p>
      <w:pPr>
        <w:sectPr>
          <w:pgSz w:w="11900" w:h="16838" w:orient="portrait"/>
          <w:cols w:equalWidth="0" w:num="1">
            <w:col w:w="11240"/>
          </w:cols>
          <w:pgMar w:left="320" w:top="891"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180" w:firstLine="656"/>
        <w:spacing w:after="0" w:line="263" w:lineRule="auto"/>
        <w:tabs>
          <w:tab w:leader="none" w:pos="133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2020 and filed with the Securities and Exchange Commission on the date hereof (the “Report”) by the Company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1340" w:hanging="684"/>
        <w:spacing w:after="0"/>
        <w:tabs>
          <w:tab w:leader="none" w:pos="1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9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February 26,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1)"/>
      <w:numFmt w:val="decimal"/>
      <w:start w:val="1"/>
    </w:lvl>
  </w:abstractNum>
  <w:abstractNum w:abstractNumId="10">
    <w:nsid w:val="51D9C564"/>
    <w:multiLevelType w:val="hybridMultilevel"/>
    <w:lvl w:ilvl="0">
      <w:lvlJc w:val="left"/>
      <w:lvlText w:val="(%1)"/>
      <w:numFmt w:val="decimal"/>
      <w:start w:val="1"/>
    </w:lvl>
  </w:abstractNum>
  <w:abstractNum w:abstractNumId="11">
    <w:nsid w:val="613EFDC5"/>
    <w:multiLevelType w:val="hybridMultilevel"/>
    <w:lvl w:ilvl="0">
      <w:lvlJc w:val="left"/>
      <w:lvlText w:val="(%1)"/>
      <w:numFmt w:val="decimal"/>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1)"/>
      <w:numFmt w:val="lowerRoman"/>
      <w:start w:val="3"/>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1)"/>
      <w:numFmt w:val="decimal"/>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1)"/>
      <w:numFmt w:val="lowerRoman"/>
      <w:start w:val="3"/>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1)"/>
      <w:numFmt w:val="lowerRoman"/>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1)"/>
      <w:numFmt w:val="decimal"/>
      <w:start w:val="1"/>
    </w:lvl>
  </w:abstractNum>
  <w:abstractNum w:abstractNumId="47">
    <w:nsid w:val="60EF0119"/>
    <w:multiLevelType w:val="hybridMultilevel"/>
    <w:lvl w:ilvl="0">
      <w:lvlJc w:val="left"/>
      <w:lvlText w:val="(%1)"/>
      <w:numFmt w:val="lowerRoman"/>
      <w:start w:val="2"/>
    </w:lvl>
  </w:abstractNum>
  <w:abstractNum w:abstractNumId="48">
    <w:nsid w:val="26F324BA"/>
    <w:multiLevelType w:val="hybridMultilevel"/>
    <w:lvl w:ilvl="0">
      <w:lvlJc w:val="left"/>
      <w:lvlText w:val="(%1)"/>
      <w:numFmt w:val="lowerRoman"/>
      <w:start w:val="5"/>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1)"/>
      <w:numFmt w:val="decimal"/>
      <w:start w:val="1"/>
    </w:lvl>
  </w:abstractNum>
  <w:abstractNum w:abstractNumId="51">
    <w:nsid w:val="7055A5F5"/>
    <w:multiLevelType w:val="hybridMultilevel"/>
    <w:lvl w:ilvl="0">
      <w:lvlJc w:val="left"/>
      <w:lvlText w:val="(%1)"/>
      <w:numFmt w:val="decimal"/>
      <w:start w:val="11"/>
    </w:lvl>
  </w:abstractNum>
  <w:abstractNum w:abstractNumId="52">
    <w:nsid w:val="5FB8370B"/>
    <w:multiLevelType w:val="hybridMultilevel"/>
    <w:lvl w:ilvl="0">
      <w:lvlJc w:val="left"/>
      <w:lvlText w:val="(%1)"/>
      <w:numFmt w:val="decimal"/>
      <w:start w:val="3"/>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1)"/>
      <w:numFmt w:val="lowerRoman"/>
      <w:start w:val="3"/>
    </w:lvl>
  </w:abstractNum>
  <w:abstractNum w:abstractNumId="56">
    <w:nsid w:val="6AA78F7F"/>
    <w:multiLevelType w:val="hybridMultilevel"/>
    <w:lvl w:ilvl="0">
      <w:lvlJc w:val="left"/>
      <w:lvlText w:val="(%1)"/>
      <w:numFmt w:val="decimal"/>
      <w:start w:val="1"/>
    </w:lvl>
  </w:abstractNum>
  <w:abstractNum w:abstractNumId="57">
    <w:nsid w:val="7672BD23"/>
    <w:multiLevelType w:val="hybridMultilevel"/>
    <w:lvl w:ilvl="0">
      <w:lvlJc w:val="left"/>
      <w:lvlText w:val="(%1)"/>
      <w:numFmt w:val="lowerRoman"/>
      <w:start w:val="3"/>
    </w:lvl>
  </w:abstractNum>
  <w:abstractNum w:abstractNumId="58">
    <w:nsid w:val="6FC75AF8"/>
    <w:multiLevelType w:val="hybridMultilevel"/>
    <w:lvl w:ilvl="0">
      <w:lvlJc w:val="left"/>
      <w:lvlText w:val="•"/>
      <w:numFmt w:val="bullet"/>
      <w:start w:val="1"/>
    </w:lvl>
  </w:abstractNum>
  <w:abstractNum w:abstractNumId="59">
    <w:nsid w:val="6A5F7029"/>
    <w:multiLevelType w:val="hybridMultilevel"/>
    <w:lvl w:ilvl="0">
      <w:lvlJc w:val="left"/>
      <w:lvlText w:val="(%1)"/>
      <w:numFmt w:val="decimal"/>
      <w:start w:val="3"/>
    </w:lvl>
  </w:abstractNum>
  <w:abstractNum w:abstractNumId="60">
    <w:nsid w:val="7D5E18F8"/>
    <w:multiLevelType w:val="hybridMultilevel"/>
    <w:lvl w:ilvl="0">
      <w:lvlJc w:val="left"/>
      <w:lvlText w:val="•"/>
      <w:numFmt w:val="bullet"/>
      <w:start w:val="1"/>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1)"/>
      <w:numFmt w:val="decimal"/>
      <w:start w:val="1"/>
    </w:lvl>
  </w:abstractNum>
  <w:abstractNum w:abstractNumId="64">
    <w:nsid w:val="555C55B5"/>
    <w:multiLevelType w:val="hybridMultilevel"/>
    <w:lvl w:ilvl="0">
      <w:lvlJc w:val="left"/>
      <w:lvlText w:val="(%1)"/>
      <w:numFmt w:val="decimal"/>
      <w:start w:val="1"/>
    </w:lvl>
  </w:abstractNum>
  <w:abstractNum w:abstractNumId="65">
    <w:nsid w:val="3FA62ACA"/>
    <w:multiLevelType w:val="hybridMultilevel"/>
    <w:lvl w:ilvl="0">
      <w:lvlJc w:val="left"/>
      <w:lvlText w:val="$"/>
      <w:numFmt w:val="bullet"/>
      <w:start w:val="1"/>
    </w:lvl>
  </w:abstractNum>
  <w:abstractNum w:abstractNumId="66">
    <w:nsid w:val="14FCE74E"/>
    <w:multiLevelType w:val="hybridMultilevel"/>
    <w:lvl w:ilvl="0">
      <w:lvlJc w:val="left"/>
      <w:lvlText w:val="(%1)"/>
      <w:numFmt w:val="decimal"/>
      <w:start w:val="1"/>
    </w:lvl>
  </w:abstractNum>
  <w:abstractNum w:abstractNumId="67">
    <w:nsid w:val="6A3DD3E8"/>
    <w:multiLevelType w:val="hybridMultilevel"/>
    <w:lvl w:ilvl="0">
      <w:lvlJc w:val="left"/>
      <w:lvlText w:val="(%1)"/>
      <w:numFmt w:val="decimal"/>
      <w:start w:val="1"/>
    </w:lvl>
  </w:abstractNum>
  <w:abstractNum w:abstractNumId="68">
    <w:nsid w:val="71C91298"/>
    <w:multiLevelType w:val="hybridMultilevel"/>
    <w:lvl w:ilvl="0">
      <w:lvlJc w:val="left"/>
      <w:lvlText w:val="•"/>
      <w:numFmt w:val="bullet"/>
      <w:start w:val="1"/>
    </w:lvl>
  </w:abstractNum>
  <w:abstractNum w:abstractNumId="69">
    <w:nsid w:val="9DAF632"/>
    <w:multiLevelType w:val="hybridMultilevel"/>
    <w:lvl w:ilvl="0">
      <w:lvlJc w:val="left"/>
      <w:lvlText w:val="(%1)"/>
      <w:numFmt w:val="decimal"/>
      <w:start w:val="1"/>
    </w:lvl>
  </w:abstractNum>
  <w:abstractNum w:abstractNumId="70">
    <w:nsid w:val="53299938"/>
    <w:multiLevelType w:val="hybridMultilevel"/>
    <w:lvl w:ilvl="0">
      <w:lvlJc w:val="left"/>
      <w:lvlText w:val="(%1)"/>
      <w:numFmt w:val="lowerLetter"/>
      <w:start w:val="1"/>
    </w:lvl>
  </w:abstractNum>
  <w:abstractNum w:abstractNumId="71">
    <w:nsid w:val="1FBFE8E0"/>
    <w:multiLevelType w:val="hybridMultilevel"/>
    <w:lvl w:ilvl="0">
      <w:lvlJc w:val="left"/>
      <w:lvlText w:val="(%1)"/>
      <w:numFmt w:val="decimal"/>
      <w:start w:val="2"/>
    </w:lvl>
  </w:abstractNum>
  <w:abstractNum w:abstractNumId="72">
    <w:nsid w:val="5092CA79"/>
    <w:multiLevelType w:val="hybridMultilevel"/>
    <w:lvl w:ilvl="0">
      <w:lvlJc w:val="left"/>
      <w:lvlText w:val="(%1)"/>
      <w:numFmt w:val="decimal"/>
      <w:start w:val="3"/>
    </w:lvl>
  </w:abstractNum>
  <w:abstractNum w:abstractNumId="73">
    <w:nsid w:val="1D545C4D"/>
    <w:multiLevelType w:val="hybridMultilevel"/>
    <w:lvl w:ilvl="0">
      <w:lvlJc w:val="left"/>
      <w:lvlText w:val="†"/>
      <w:numFmt w:val="bullet"/>
      <w:start w:val="1"/>
    </w:lvl>
  </w:abstractNum>
  <w:abstractNum w:abstractNumId="74">
    <w:nsid w:val="59ADEA3D"/>
    <w:multiLevelType w:val="hybridMultilevel"/>
    <w:lvl w:ilvl="0">
      <w:lvlJc w:val="left"/>
      <w:lvlText w:val="††"/>
      <w:numFmt w:val="bullet"/>
      <w:start w:val="1"/>
    </w:lvl>
  </w:abstractNum>
  <w:abstractNum w:abstractNumId="75">
    <w:nsid w:val="288F1A34"/>
    <w:multiLevelType w:val="hybridMultilevel"/>
    <w:lvl w:ilvl="0">
      <w:lvlJc w:val="left"/>
      <w:lvlText w:val="*"/>
      <w:numFmt w:val="bullet"/>
      <w:start w:val="1"/>
    </w:lvl>
  </w:abstractNum>
  <w:abstractNum w:abstractNumId="76">
    <w:nsid w:val="2A155DBC"/>
    <w:multiLevelType w:val="hybridMultilevel"/>
    <w:lvl w:ilvl="0">
      <w:lvlJc w:val="left"/>
      <w:lvlText w:val="(%1)"/>
      <w:numFmt w:val="lowerRoman"/>
      <w:start w:val="2"/>
    </w:lvl>
  </w:abstractNum>
  <w:abstractNum w:abstractNumId="77">
    <w:nsid w:val="1D9F6E5F"/>
    <w:multiLevelType w:val="hybridMultilevel"/>
    <w:lvl w:ilvl="0">
      <w:lvlJc w:val="left"/>
      <w:lvlText w:val="(%1)"/>
      <w:numFmt w:val="lowerRoman"/>
      <w:start w:val="3"/>
    </w:lvl>
  </w:abstractNum>
  <w:abstractNum w:abstractNumId="78">
    <w:nsid w:val="97E1B4E"/>
    <w:multiLevelType w:val="hybridMultilevel"/>
    <w:lvl w:ilvl="0">
      <w:lvlJc w:val="left"/>
      <w:lvlText w:val="(%1)"/>
      <w:numFmt w:val="decimal"/>
      <w:start w:val="1"/>
    </w:lvl>
  </w:abstractNum>
  <w:abstractNum w:abstractNumId="79">
    <w:nsid w:val="51088277"/>
    <w:multiLevelType w:val="hybridMultilevel"/>
    <w:lvl w:ilvl="0">
      <w:lvlJc w:val="left"/>
      <w:lvlText w:val="(%1)"/>
      <w:numFmt w:val="decimal"/>
      <w:start w:val="1"/>
    </w:lvl>
  </w:abstractNum>
  <w:abstractNum w:abstractNumId="80">
    <w:nsid w:val="1CA0C5FA"/>
    <w:multiLevelType w:val="hybridMultilevel"/>
    <w:lvl w:ilvl="0">
      <w:lvlJc w:val="left"/>
      <w:lvlText w:val="(%1)"/>
      <w:numFmt w:val="decimal"/>
      <w:start w:val="1"/>
    </w:lvl>
  </w:abstractNum>
  <w:abstractNum w:abstractNumId="81">
    <w:nsid w:val="53584BCB"/>
    <w:multiLevelType w:val="hybridMultilevel"/>
    <w:lvl w:ilvl="0">
      <w:lvlJc w:val="left"/>
      <w:lvlText w:val="(%1)"/>
      <w:numFmt w:val="decimal"/>
      <w:start w:val="2"/>
    </w:lvl>
  </w:abstractNum>
  <w:abstractNum w:abstractNumId="82">
    <w:nsid w:val="415E286C"/>
    <w:multiLevelType w:val="hybridMultilevel"/>
    <w:lvl w:ilvl="0">
      <w:lvlJc w:val="left"/>
      <w:lvlText w:val="(%1)"/>
      <w:numFmt w:val="decimal"/>
      <w:start w:val="1"/>
    </w:lvl>
  </w:abstractNum>
  <w:abstractNum w:abstractNumId="83">
    <w:nsid w:val="7C58FD05"/>
    <w:multiLevelType w:val="hybridMultilevel"/>
    <w:lvl w:ilvl="0">
      <w:lvlJc w:val="left"/>
      <w:lvlText w:val="•"/>
      <w:numFmt w:val="bullet"/>
      <w:start w:val="1"/>
    </w:lvl>
  </w:abstractNum>
  <w:abstractNum w:abstractNumId="84">
    <w:nsid w:val="23D86AAC"/>
    <w:multiLevelType w:val="hybridMultilevel"/>
    <w:lvl w:ilvl="0">
      <w:lvlJc w:val="left"/>
      <w:lvlText w:val="(%1)"/>
      <w:numFmt w:val="decimal"/>
      <w:start w:val="1"/>
    </w:lvl>
  </w:abstractNum>
  <w:abstractNum w:abstractNumId="85">
    <w:nsid w:val="45E6D486"/>
    <w:multiLevelType w:val="hybridMultilevel"/>
    <w:lvl w:ilvl="0">
      <w:lvlJc w:val="left"/>
      <w:lvlText w:val="(%1)"/>
      <w:numFmt w:val="decimal"/>
      <w:start w:val="1"/>
    </w:lvl>
  </w:abstractNum>
  <w:abstractNum w:abstractNumId="86">
    <w:nsid w:val="5C10FE21"/>
    <w:multiLevelType w:val="hybridMultilevel"/>
    <w:lvl w:ilvl="0">
      <w:lvlJc w:val="left"/>
      <w:lvlText w:val="(%1)"/>
      <w:numFmt w:val="decimal"/>
      <w:start w:val="1"/>
    </w:lvl>
  </w:abstractNum>
  <w:abstractNum w:abstractNumId="87">
    <w:nsid w:val="E7FFA2B"/>
    <w:multiLevelType w:val="hybridMultilevel"/>
    <w:lvl w:ilvl="0">
      <w:lvlJc w:val="left"/>
      <w:lvlText w:val="(%1)"/>
      <w:numFmt w:val="decimal"/>
      <w:start w:val="1"/>
    </w:lvl>
  </w:abstractNum>
  <w:abstractNum w:abstractNumId="88">
    <w:nsid w:val="3C5991AA"/>
    <w:multiLevelType w:val="hybridMultilevel"/>
    <w:lvl w:ilvl="0">
      <w:lvlJc w:val="left"/>
      <w:lvlText w:val="•"/>
      <w:numFmt w:val="bullet"/>
      <w:start w:val="1"/>
    </w:lvl>
  </w:abstractNum>
  <w:abstractNum w:abstractNumId="89">
    <w:nsid w:val="4BD8591A"/>
    <w:multiLevelType w:val="hybridMultilevel"/>
    <w:lvl w:ilvl="0">
      <w:lvlJc w:val="left"/>
      <w:lvlText w:val="•"/>
      <w:numFmt w:val="bullet"/>
      <w:start w:val="1"/>
    </w:lvl>
  </w:abstractNum>
  <w:abstractNum w:abstractNumId="90">
    <w:nsid w:val="78DF6A55"/>
    <w:multiLevelType w:val="hybridMultilevel"/>
    <w:lvl w:ilvl="0">
      <w:lvlJc w:val="left"/>
      <w:lvlText w:val="(%1)"/>
      <w:numFmt w:val="decimal"/>
      <w:start w:val="1"/>
    </w:lvl>
  </w:abstractNum>
  <w:abstractNum w:abstractNumId="91">
    <w:nsid w:val="39B7AAA2"/>
    <w:multiLevelType w:val="hybridMultilevel"/>
    <w:lvl w:ilvl="0">
      <w:lvlJc w:val="left"/>
      <w:lvlText w:val="(%1)"/>
      <w:numFmt w:val="decimal"/>
      <w:start w:val="3"/>
    </w:lvl>
  </w:abstractNum>
  <w:abstractNum w:abstractNumId="92">
    <w:nsid w:val="2B0D8DBE"/>
    <w:multiLevelType w:val="hybridMultilevel"/>
    <w:lvl w:ilvl="0">
      <w:lvlJc w:val="left"/>
      <w:lvlText w:val="•"/>
      <w:numFmt w:val="bullet"/>
      <w:start w:val="1"/>
    </w:lvl>
  </w:abstractNum>
  <w:abstractNum w:abstractNumId="93">
    <w:nsid w:val="6C80EC70"/>
    <w:multiLevelType w:val="hybridMultilevel"/>
    <w:lvl w:ilvl="0">
      <w:lvlJc w:val="left"/>
      <w:lvlText w:val="(%1)"/>
      <w:numFmt w:val="decimal"/>
      <w:start w:val="1"/>
    </w:lvl>
  </w:abstractNum>
  <w:abstractNum w:abstractNumId="94">
    <w:nsid w:val="379E21B5"/>
    <w:multiLevelType w:val="hybridMultilevel"/>
    <w:lvl w:ilvl="0">
      <w:lvlJc w:val="left"/>
      <w:lvlText w:val="•"/>
      <w:numFmt w:val="bullet"/>
      <w:start w:val="1"/>
    </w:lvl>
  </w:abstractNum>
  <w:abstractNum w:abstractNumId="95">
    <w:nsid w:val="69E373"/>
    <w:multiLevelType w:val="hybridMultilevel"/>
    <w:lvl w:ilvl="0">
      <w:lvlJc w:val="left"/>
      <w:lvlText w:val="(%1)"/>
      <w:numFmt w:val="decimal"/>
      <w:start w:val="1"/>
    </w:lvl>
  </w:abstractNum>
  <w:abstractNum w:abstractNumId="96">
    <w:nsid w:val="2C27173B"/>
    <w:multiLevelType w:val="hybridMultilevel"/>
    <w:lvl w:ilvl="0">
      <w:lvlJc w:val="left"/>
      <w:lvlText w:val="(%1)"/>
      <w:numFmt w:val="decimal"/>
      <w:start w:val="1"/>
    </w:lvl>
  </w:abstractNum>
  <w:abstractNum w:abstractNumId="97">
    <w:nsid w:val="4C9B0904"/>
    <w:multiLevelType w:val="hybridMultilevel"/>
    <w:lvl w:ilvl="0">
      <w:lvlJc w:val="left"/>
      <w:lvlText w:val="(%1)"/>
      <w:numFmt w:val="decimal"/>
      <w:start w:val="1"/>
    </w:lvl>
  </w:abstractNum>
  <w:abstractNum w:abstractNumId="98">
    <w:nsid w:val="6AA7B75C"/>
    <w:multiLevelType w:val="hybridMultilevel"/>
    <w:lvl w:ilvl="0">
      <w:lvlJc w:val="left"/>
      <w:lvlText w:val="(%1)"/>
      <w:numFmt w:val="decimal"/>
      <w:start w:val="1"/>
    </w:lvl>
  </w:abstractNum>
  <w:abstractNum w:abstractNumId="99">
    <w:nsid w:val="1DF029D3"/>
    <w:multiLevelType w:val="hybridMultilevel"/>
    <w:lvl w:ilvl="0">
      <w:lvlJc w:val="left"/>
      <w:lvlText w:val="•"/>
      <w:numFmt w:val="bullet"/>
      <w:start w:val="1"/>
    </w:lvl>
  </w:abstractNum>
  <w:abstractNum w:abstractNumId="100">
    <w:nsid w:val="5675FF36"/>
    <w:multiLevelType w:val="hybridMultilevel"/>
    <w:lvl w:ilvl="0">
      <w:lvlJc w:val="left"/>
      <w:lvlText w:val="(%1)"/>
      <w:numFmt w:val="decimal"/>
      <w:start w:val="1"/>
    </w:lvl>
  </w:abstractNum>
  <w:abstractNum w:abstractNumId="101">
    <w:nsid w:val="3DD15094"/>
    <w:multiLevelType w:val="hybridMultilevel"/>
    <w:lvl w:ilvl="0">
      <w:lvlJc w:val="left"/>
      <w:lvlText w:val="(%1)"/>
      <w:numFmt w:val="decimal"/>
      <w:start w:val="1"/>
    </w:lvl>
  </w:abstractNum>
  <w:abstractNum w:abstractNumId="102">
    <w:nsid w:val="3DB012B3"/>
    <w:multiLevelType w:val="hybridMultilevel"/>
    <w:lvl w:ilvl="0">
      <w:lvlJc w:val="left"/>
      <w:lvlText w:val="(%1)"/>
      <w:numFmt w:val="lowerRoman"/>
      <w:start w:val="4"/>
    </w:lvl>
  </w:abstractNum>
  <w:abstractNum w:abstractNumId="103">
    <w:nsid w:val="2708C9AF"/>
    <w:multiLevelType w:val="hybridMultilevel"/>
    <w:lvl w:ilvl="0">
      <w:lvlJc w:val="left"/>
      <w:lvlText w:val="•"/>
      <w:numFmt w:val="bullet"/>
      <w:start w:val="1"/>
    </w:lvl>
  </w:abstractNum>
  <w:abstractNum w:abstractNumId="104">
    <w:nsid w:val="5B25ACE2"/>
    <w:multiLevelType w:val="hybridMultilevel"/>
    <w:lvl w:ilvl="0">
      <w:lvlJc w:val="left"/>
      <w:lvlText w:val="(%1)"/>
      <w:numFmt w:val="decimal"/>
      <w:start w:val="1"/>
    </w:lvl>
  </w:abstractNum>
  <w:abstractNum w:abstractNumId="105">
    <w:nsid w:val="175DFCF0"/>
    <w:multiLevelType w:val="hybridMultilevel"/>
    <w:lvl w:ilvl="0">
      <w:lvlJc w:val="left"/>
      <w:lvlText w:val="(%1)"/>
      <w:numFmt w:val="decimal"/>
      <w:start w:val="1"/>
    </w:lvl>
  </w:abstractNum>
  <w:abstractNum w:abstractNumId="106">
    <w:nsid w:val="4F97E3E4"/>
    <w:multiLevelType w:val="hybridMultilevel"/>
    <w:lvl w:ilvl="0">
      <w:lvlJc w:val="left"/>
      <w:lvlText w:val="•"/>
      <w:numFmt w:val="bullet"/>
      <w:start w:val="1"/>
    </w:lvl>
  </w:abstractNum>
  <w:abstractNum w:abstractNumId="107">
    <w:nsid w:val="53B0A9E"/>
    <w:multiLevelType w:val="hybridMultilevel"/>
    <w:lvl w:ilvl="0">
      <w:lvlJc w:val="left"/>
      <w:lvlText w:val="•"/>
      <w:numFmt w:val="bullet"/>
      <w:start w:val="1"/>
    </w:lvl>
  </w:abstractNum>
  <w:abstractNum w:abstractNumId="108">
    <w:nsid w:val="34FD6B4F"/>
    <w:multiLevelType w:val="hybridMultilevel"/>
    <w:lvl w:ilvl="0">
      <w:lvlJc w:val="left"/>
      <w:lvlText w:val="•"/>
      <w:numFmt w:val="bullet"/>
      <w:start w:val="1"/>
    </w:lvl>
  </w:abstractNum>
  <w:abstractNum w:abstractNumId="109">
    <w:nsid w:val="5915FF32"/>
    <w:multiLevelType w:val="hybridMultilevel"/>
    <w:lvl w:ilvl="0">
      <w:lvlJc w:val="left"/>
      <w:lvlText w:val="•"/>
      <w:numFmt w:val="bullet"/>
      <w:start w:val="1"/>
    </w:lvl>
  </w:abstractNum>
  <w:abstractNum w:abstractNumId="110">
    <w:nsid w:val="56438D15"/>
    <w:multiLevelType w:val="hybridMultilevel"/>
    <w:lvl w:ilvl="0">
      <w:lvlJc w:val="left"/>
      <w:lvlText w:val="•"/>
      <w:numFmt w:val="bullet"/>
      <w:start w:val="1"/>
    </w:lvl>
  </w:abstractNum>
  <w:abstractNum w:abstractNumId="111">
    <w:nsid w:val="519E3149"/>
    <w:multiLevelType w:val="hybridMultilevel"/>
    <w:lvl w:ilvl="0">
      <w:lvlJc w:val="left"/>
      <w:lvlText w:val="•"/>
      <w:numFmt w:val="bullet"/>
      <w:start w:val="1"/>
    </w:lvl>
  </w:abstractNum>
  <w:abstractNum w:abstractNumId="112">
    <w:nsid w:val="2C6E4AFD"/>
    <w:multiLevelType w:val="hybridMultilevel"/>
    <w:lvl w:ilvl="0">
      <w:lvlJc w:val="left"/>
      <w:lvlText w:val="•"/>
      <w:numFmt w:val="bullet"/>
      <w:start w:val="1"/>
    </w:lvl>
  </w:abstractNum>
  <w:abstractNum w:abstractNumId="113">
    <w:nsid w:val="17A1B582"/>
    <w:multiLevelType w:val="hybridMultilevel"/>
    <w:lvl w:ilvl="0">
      <w:lvlJc w:val="left"/>
      <w:lvlText w:val="•"/>
      <w:numFmt w:val="bullet"/>
      <w:start w:val="1"/>
    </w:lvl>
  </w:abstractNum>
  <w:abstractNum w:abstractNumId="114">
    <w:nsid w:val="4DF72E4E"/>
    <w:multiLevelType w:val="hybridMultilevel"/>
    <w:lvl w:ilvl="0">
      <w:lvlJc w:val="left"/>
      <w:lvlText w:val="•"/>
      <w:numFmt w:val="bullet"/>
      <w:start w:val="1"/>
    </w:lvl>
  </w:abstractNum>
  <w:abstractNum w:abstractNumId="115">
    <w:nsid w:val="5046B5A9"/>
    <w:multiLevelType w:val="hybridMultilevel"/>
    <w:lvl w:ilvl="0">
      <w:lvlJc w:val="left"/>
      <w:lvlText w:val="%1."/>
      <w:numFmt w:val="decimal"/>
      <w:start w:val="1"/>
    </w:lvl>
    <w:lvl w:ilvl="1">
      <w:lvlJc w:val="left"/>
      <w:lvlText w:val="%2."/>
      <w:numFmt w:val="lowerLetter"/>
      <w:start w:val="1"/>
    </w:lvl>
  </w:abstractNum>
  <w:abstractNum w:abstractNumId="116">
    <w:nsid w:val="5D888A08"/>
    <w:multiLevelType w:val="hybridMultilevel"/>
    <w:lvl w:ilvl="0">
      <w:lvlJc w:val="left"/>
      <w:lvlText w:val="%1."/>
      <w:numFmt w:val="decimal"/>
      <w:start w:val="2"/>
    </w:lvl>
  </w:abstractNum>
  <w:abstractNum w:abstractNumId="117">
    <w:nsid w:val="2A082C70"/>
    <w:multiLevelType w:val="hybridMultilevel"/>
    <w:lvl w:ilvl="0">
      <w:lvlJc w:val="left"/>
      <w:lvlText w:val="%1."/>
      <w:numFmt w:val="decimal"/>
      <w:start w:val="6"/>
    </w:lvl>
  </w:abstractNum>
  <w:abstractNum w:abstractNumId="118">
    <w:nsid w:val="5EC6AFD4"/>
    <w:multiLevelType w:val="hybridMultilevel"/>
    <w:lvl w:ilvl="0">
      <w:lvlJc w:val="left"/>
      <w:lvlText w:val="%1."/>
      <w:numFmt w:val="decimal"/>
      <w:start w:val="7"/>
    </w:lvl>
  </w:abstractNum>
  <w:abstractNum w:abstractNumId="119">
    <w:nsid w:val="19E21BB2"/>
    <w:multiLevelType w:val="hybridMultilevel"/>
    <w:lvl w:ilvl="0">
      <w:lvlJc w:val="left"/>
      <w:lvlText w:val="(%1)"/>
      <w:numFmt w:val="lowerRoman"/>
      <w:start w:val="1"/>
    </w:lvl>
  </w:abstractNum>
  <w:abstractNum w:abstractNumId="120">
    <w:nsid w:val="75E0858A"/>
    <w:multiLevelType w:val="hybridMultilevel"/>
    <w:lvl w:ilvl="0">
      <w:lvlJc w:val="left"/>
      <w:lvlText w:val="☐"/>
      <w:numFmt w:val="bullet"/>
      <w:start w:val="1"/>
    </w:lvl>
  </w:abstractNum>
  <w:abstractNum w:abstractNumId="121">
    <w:nsid w:val="57A61A29"/>
    <w:multiLevelType w:val="hybridMultilevel"/>
    <w:lvl w:ilvl="0">
      <w:lvlJc w:val="left"/>
      <w:lvlText w:val="%1."/>
      <w:numFmt w:val="decimal"/>
      <w:start w:val="1"/>
    </w:lvl>
  </w:abstractNum>
  <w:abstractNum w:abstractNumId="122">
    <w:nsid w:val="5399C654"/>
    <w:multiLevelType w:val="hybridMultilevel"/>
    <w:lvl w:ilvl="0">
      <w:lvlJc w:val="left"/>
      <w:lvlText w:val="%1."/>
      <w:numFmt w:val="decimal"/>
      <w:start w:val="6"/>
    </w:lvl>
  </w:abstractNum>
  <w:abstractNum w:abstractNumId="123">
    <w:nsid w:val="20EE1348"/>
    <w:multiLevelType w:val="hybridMultilevel"/>
    <w:lvl w:ilvl="0">
      <w:lvlJc w:val="left"/>
      <w:lvlText w:val="☐"/>
      <w:numFmt w:val="bullet"/>
      <w:start w:val="1"/>
    </w:lvl>
  </w:abstractNum>
  <w:abstractNum w:abstractNumId="124">
    <w:nsid w:val="4427069A"/>
    <w:multiLevelType w:val="hybridMultilevel"/>
    <w:lvl w:ilvl="0">
      <w:lvlJc w:val="left"/>
      <w:lvlText w:val="%1."/>
      <w:numFmt w:val="decimal"/>
      <w:start w:val="1"/>
    </w:lvl>
  </w:abstractNum>
  <w:abstractNum w:abstractNumId="125">
    <w:nsid w:val="B37E80A"/>
    <w:multiLevelType w:val="hybridMultilevel"/>
    <w:lvl w:ilvl="0">
      <w:lvlJc w:val="left"/>
      <w:lvlText w:val="%1."/>
      <w:numFmt w:val="decimal"/>
      <w:start w:val="6"/>
    </w:lvl>
  </w:abstractNum>
  <w:abstractNum w:abstractNumId="126">
    <w:nsid w:val="2157F6BC"/>
    <w:multiLevelType w:val="hybridMultilevel"/>
    <w:lvl w:ilvl="0">
      <w:lvlJc w:val="left"/>
      <w:lvlText w:val="☐"/>
      <w:numFmt w:val="bullet"/>
      <w:start w:val="1"/>
    </w:lvl>
  </w:abstractNum>
  <w:abstractNum w:abstractNumId="127">
    <w:nsid w:val="704E1DD5"/>
    <w:multiLevelType w:val="hybridMultilevel"/>
    <w:lvl w:ilvl="0">
      <w:lvlJc w:val="left"/>
      <w:lvlText w:val="%1."/>
      <w:numFmt w:val="decimal"/>
      <w:start w:val="1"/>
    </w:lvl>
  </w:abstractNum>
  <w:abstractNum w:abstractNumId="128">
    <w:nsid w:val="57D2F10E"/>
    <w:multiLevelType w:val="hybridMultilevel"/>
    <w:lvl w:ilvl="0">
      <w:lvlJc w:val="left"/>
      <w:lvlText w:val="%1."/>
      <w:numFmt w:val="decimal"/>
      <w:start w:val="6"/>
    </w:lvl>
  </w:abstractNum>
  <w:abstractNum w:abstractNumId="129">
    <w:nsid w:val="BFFAE18"/>
    <w:multiLevelType w:val="hybridMultilevel"/>
    <w:lvl w:ilvl="0">
      <w:lvlJc w:val="left"/>
      <w:lvlText w:val="☐"/>
      <w:numFmt w:val="bullet"/>
      <w:start w:val="1"/>
    </w:lvl>
  </w:abstractNum>
  <w:abstractNum w:abstractNumId="130">
    <w:nsid w:val="E3E47A8"/>
    <w:multiLevelType w:val="hybridMultilevel"/>
    <w:lvl w:ilvl="0">
      <w:lvlJc w:val="left"/>
      <w:lvlText w:val="%1."/>
      <w:numFmt w:val="decimal"/>
      <w:start w:val="1"/>
    </w:lvl>
  </w:abstractNum>
  <w:abstractNum w:abstractNumId="131">
    <w:nsid w:val="2E48F044"/>
    <w:multiLevelType w:val="hybridMultilevel"/>
    <w:lvl w:ilvl="0">
      <w:lvlJc w:val="left"/>
      <w:lvlText w:val="(%1)"/>
      <w:numFmt w:val="lowerLetter"/>
      <w:start w:val="1"/>
    </w:lvl>
  </w:abstractNum>
  <w:abstractNum w:abstractNumId="132">
    <w:nsid w:val="49D0FEAC"/>
    <w:multiLevelType w:val="hybridMultilevel"/>
    <w:lvl w:ilvl="0">
      <w:lvlJc w:val="left"/>
      <w:lvlText w:val="%1."/>
      <w:numFmt w:val="decimal"/>
      <w:start w:val="5"/>
    </w:lvl>
  </w:abstractNum>
  <w:abstractNum w:abstractNumId="133">
    <w:nsid w:val="4BEE5A5B"/>
    <w:multiLevelType w:val="hybridMultilevel"/>
    <w:lvl w:ilvl="0">
      <w:lvlJc w:val="left"/>
      <w:lvlText w:val="(%1)"/>
      <w:numFmt w:val="lowerLetter"/>
      <w:start w:val="1"/>
    </w:lvl>
  </w:abstractNum>
  <w:abstractNum w:abstractNumId="134">
    <w:nsid w:val="5551B9F3"/>
    <w:multiLevelType w:val="hybridMultilevel"/>
    <w:lvl w:ilvl="0">
      <w:lvlJc w:val="left"/>
      <w:lvlText w:val="%1."/>
      <w:numFmt w:val="decimal"/>
      <w:start w:val="1"/>
    </w:lvl>
  </w:abstractNum>
  <w:abstractNum w:abstractNumId="135">
    <w:nsid w:val="24F6AB8E"/>
    <w:multiLevelType w:val="hybridMultilevel"/>
    <w:lvl w:ilvl="0">
      <w:lvlJc w:val="left"/>
      <w:lvlText w:val="(%1)"/>
      <w:numFmt w:val="lowerLetter"/>
      <w:start w:val="1"/>
    </w:lvl>
  </w:abstractNum>
  <w:abstractNum w:abstractNumId="136">
    <w:nsid w:val="634C574C"/>
    <w:multiLevelType w:val="hybridMultilevel"/>
    <w:lvl w:ilvl="0">
      <w:lvlJc w:val="left"/>
      <w:lvlText w:val="%1."/>
      <w:numFmt w:val="decimal"/>
      <w:start w:val="5"/>
    </w:lvl>
  </w:abstractNum>
  <w:abstractNum w:abstractNumId="137">
    <w:nsid w:val="24E99DD7"/>
    <w:multiLevelType w:val="hybridMultilevel"/>
    <w:lvl w:ilvl="0">
      <w:lvlJc w:val="left"/>
      <w:lvlText w:val="(%1)"/>
      <w:numFmt w:val="lowerLetter"/>
      <w:start w:val="1"/>
    </w:lvl>
  </w:abstractNum>
  <w:abstractNum w:abstractNumId="138">
    <w:nsid w:val="2A31B62D"/>
    <w:multiLevelType w:val="hybridMultilevel"/>
    <w:lvl w:ilvl="0">
      <w:lvlJc w:val="left"/>
      <w:lvlText w:val="(%1)"/>
      <w:numFmt w:val="lowerRoman"/>
      <w:start w:val="1"/>
    </w:lvl>
  </w:abstractNum>
  <w:abstractNum w:abstractNumId="139">
    <w:nsid w:val="1849C29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4" Type="http://schemas.openxmlformats.org/officeDocument/2006/relationships/image" Target="media/image146.png"/><Relationship Id="rId182" Type="http://schemas.openxmlformats.org/officeDocument/2006/relationships/image" Target="media/image147.png"/><Relationship Id="rId197" Type="http://schemas.openxmlformats.org/officeDocument/2006/relationships/image" Target="media/image148.png"/><Relationship Id="rId210" Type="http://schemas.openxmlformats.org/officeDocument/2006/relationships/image" Target="media/image149.png"/><Relationship Id="rId227" Type="http://schemas.openxmlformats.org/officeDocument/2006/relationships/image" Target="media/image150.png"/><Relationship Id="rId247" Type="http://schemas.openxmlformats.org/officeDocument/2006/relationships/image" Target="media/image151.png"/><Relationship Id="rId256" Type="http://schemas.openxmlformats.org/officeDocument/2006/relationships/image" Target="media/image152.png"/><Relationship Id="rId257" Type="http://schemas.openxmlformats.org/officeDocument/2006/relationships/image" Target="media/image153.png"/><Relationship Id="rId258" Type="http://schemas.openxmlformats.org/officeDocument/2006/relationships/image" Target="media/image154.png"/><Relationship Id="rId259" Type="http://schemas.openxmlformats.org/officeDocument/2006/relationships/image" Target="media/image155.png"/><Relationship Id="rId260" Type="http://schemas.openxmlformats.org/officeDocument/2006/relationships/image" Target="media/image156.png"/><Relationship Id="rId261" Type="http://schemas.openxmlformats.org/officeDocument/2006/relationships/image" Target="media/image157.png"/><Relationship Id="rId262" Type="http://schemas.openxmlformats.org/officeDocument/2006/relationships/image" Target="media/image158.png"/><Relationship Id="rId263" Type="http://schemas.openxmlformats.org/officeDocument/2006/relationships/image" Target="media/image159.png"/><Relationship Id="rId264" Type="http://schemas.openxmlformats.org/officeDocument/2006/relationships/image" Target="media/image160.png"/><Relationship Id="rId265" Type="http://schemas.openxmlformats.org/officeDocument/2006/relationships/image" Target="media/image161.png"/><Relationship Id="rId266" Type="http://schemas.openxmlformats.org/officeDocument/2006/relationships/image" Target="media/image162.png"/><Relationship Id="rId267" Type="http://schemas.openxmlformats.org/officeDocument/2006/relationships/image" Target="media/image163.png"/><Relationship Id="rId268" Type="http://schemas.openxmlformats.org/officeDocument/2006/relationships/image" Target="media/image164.png"/><Relationship Id="rId269" Type="http://schemas.openxmlformats.org/officeDocument/2006/relationships/image" Target="media/image165.png"/><Relationship Id="rId270" Type="http://schemas.openxmlformats.org/officeDocument/2006/relationships/image" Target="media/image166.png"/><Relationship Id="rId271" Type="http://schemas.openxmlformats.org/officeDocument/2006/relationships/image" Target="media/image167.png"/><Relationship Id="rId272" Type="http://schemas.openxmlformats.org/officeDocument/2006/relationships/image" Target="media/image168.png"/><Relationship Id="rId273" Type="http://schemas.openxmlformats.org/officeDocument/2006/relationships/image" Target="media/image169.png"/><Relationship Id="rId274" Type="http://schemas.openxmlformats.org/officeDocument/2006/relationships/image" Target="media/image170.png"/><Relationship Id="rId275" Type="http://schemas.openxmlformats.org/officeDocument/2006/relationships/image" Target="media/image171.png"/><Relationship Id="rId276" Type="http://schemas.openxmlformats.org/officeDocument/2006/relationships/image" Target="media/image172.png"/><Relationship Id="rId277" Type="http://schemas.openxmlformats.org/officeDocument/2006/relationships/image" Target="media/image173.png"/><Relationship Id="rId278" Type="http://schemas.openxmlformats.org/officeDocument/2006/relationships/image" Target="media/image174.png"/><Relationship Id="rId279" Type="http://schemas.openxmlformats.org/officeDocument/2006/relationships/image" Target="media/image175.png"/><Relationship Id="rId280" Type="http://schemas.openxmlformats.org/officeDocument/2006/relationships/image" Target="media/image176.png"/><Relationship Id="rId281" Type="http://schemas.openxmlformats.org/officeDocument/2006/relationships/image" Target="media/image177.png"/><Relationship Id="rId282" Type="http://schemas.openxmlformats.org/officeDocument/2006/relationships/image" Target="media/image178.png"/><Relationship Id="rId283" Type="http://schemas.openxmlformats.org/officeDocument/2006/relationships/image" Target="media/image179.png"/><Relationship Id="rId284" Type="http://schemas.openxmlformats.org/officeDocument/2006/relationships/image" Target="media/image180.png"/><Relationship Id="rId285" Type="http://schemas.openxmlformats.org/officeDocument/2006/relationships/image" Target="media/image181.png"/><Relationship Id="rId286" Type="http://schemas.openxmlformats.org/officeDocument/2006/relationships/image" Target="media/image182.png"/><Relationship Id="rId287" Type="http://schemas.openxmlformats.org/officeDocument/2006/relationships/image" Target="media/image183.png"/><Relationship Id="rId288" Type="http://schemas.openxmlformats.org/officeDocument/2006/relationships/image" Target="media/image184.png"/><Relationship Id="rId289" Type="http://schemas.openxmlformats.org/officeDocument/2006/relationships/image" Target="media/image185.png"/><Relationship Id="rId290" Type="http://schemas.openxmlformats.org/officeDocument/2006/relationships/image" Target="media/image186.png"/><Relationship Id="rId291" Type="http://schemas.openxmlformats.org/officeDocument/2006/relationships/image" Target="media/image187.png"/><Relationship Id="rId292" Type="http://schemas.openxmlformats.org/officeDocument/2006/relationships/image" Target="media/image188.png"/><Relationship Id="rId293" Type="http://schemas.openxmlformats.org/officeDocument/2006/relationships/image" Target="media/image189.png"/><Relationship Id="rId294" Type="http://schemas.openxmlformats.org/officeDocument/2006/relationships/image" Target="media/image190.png"/><Relationship Id="rId295" Type="http://schemas.openxmlformats.org/officeDocument/2006/relationships/image" Target="media/image191.png"/><Relationship Id="rId296" Type="http://schemas.openxmlformats.org/officeDocument/2006/relationships/image" Target="media/image192.png"/><Relationship Id="rId297" Type="http://schemas.openxmlformats.org/officeDocument/2006/relationships/image" Target="media/image193.png"/><Relationship Id="rId298" Type="http://schemas.openxmlformats.org/officeDocument/2006/relationships/image" Target="media/image194.png"/><Relationship Id="rId299" Type="http://schemas.openxmlformats.org/officeDocument/2006/relationships/image" Target="media/image195.png"/><Relationship Id="rId300" Type="http://schemas.openxmlformats.org/officeDocument/2006/relationships/image" Target="media/image196.png"/><Relationship Id="rId301" Type="http://schemas.openxmlformats.org/officeDocument/2006/relationships/image" Target="media/image197.png"/><Relationship Id="rId302" Type="http://schemas.openxmlformats.org/officeDocument/2006/relationships/image" Target="media/image198.png"/><Relationship Id="rId303" Type="http://schemas.openxmlformats.org/officeDocument/2006/relationships/image" Target="media/image199.png"/><Relationship Id="rId304" Type="http://schemas.openxmlformats.org/officeDocument/2006/relationships/image" Target="media/image200.png"/><Relationship Id="rId305" Type="http://schemas.openxmlformats.org/officeDocument/2006/relationships/image" Target="media/image201.png"/><Relationship Id="rId306" Type="http://schemas.openxmlformats.org/officeDocument/2006/relationships/image" Target="media/image202.png"/><Relationship Id="rId307" Type="http://schemas.openxmlformats.org/officeDocument/2006/relationships/image" Target="media/image203.png"/><Relationship Id="rId308" Type="http://schemas.openxmlformats.org/officeDocument/2006/relationships/image" Target="media/image204.png"/><Relationship Id="rId309" Type="http://schemas.openxmlformats.org/officeDocument/2006/relationships/image" Target="media/image205.png"/><Relationship Id="rId310" Type="http://schemas.openxmlformats.org/officeDocument/2006/relationships/image" Target="media/image206.png"/><Relationship Id="rId311" Type="http://schemas.openxmlformats.org/officeDocument/2006/relationships/image" Target="media/image207.png"/><Relationship Id="rId312" Type="http://schemas.openxmlformats.org/officeDocument/2006/relationships/image" Target="media/image208.png"/><Relationship Id="rId313" Type="http://schemas.openxmlformats.org/officeDocument/2006/relationships/image" Target="media/image209.png"/><Relationship Id="rId314" Type="http://schemas.openxmlformats.org/officeDocument/2006/relationships/image" Target="media/image210.png"/><Relationship Id="rId315" Type="http://schemas.openxmlformats.org/officeDocument/2006/relationships/image" Target="media/image211.png"/><Relationship Id="rId316" Type="http://schemas.openxmlformats.org/officeDocument/2006/relationships/image" Target="media/image212.png"/><Relationship Id="rId317" Type="http://schemas.openxmlformats.org/officeDocument/2006/relationships/image" Target="media/image213.png"/><Relationship Id="rId318" Type="http://schemas.openxmlformats.org/officeDocument/2006/relationships/image" Target="media/image214.png"/><Relationship Id="rId319" Type="http://schemas.openxmlformats.org/officeDocument/2006/relationships/image" Target="media/image215.png"/><Relationship Id="rId320" Type="http://schemas.openxmlformats.org/officeDocument/2006/relationships/image" Target="media/image216.png"/><Relationship Id="rId321" Type="http://schemas.openxmlformats.org/officeDocument/2006/relationships/image" Target="media/image217.png"/><Relationship Id="rId322" Type="http://schemas.openxmlformats.org/officeDocument/2006/relationships/image" Target="media/image218.png"/><Relationship Id="rId323" Type="http://schemas.openxmlformats.org/officeDocument/2006/relationships/image" Target="media/image219.png"/><Relationship Id="rId324" Type="http://schemas.openxmlformats.org/officeDocument/2006/relationships/image" Target="media/image220.png"/><Relationship Id="rId325" Type="http://schemas.openxmlformats.org/officeDocument/2006/relationships/image" Target="media/image221.png"/><Relationship Id="rId326" Type="http://schemas.openxmlformats.org/officeDocument/2006/relationships/image" Target="media/image222.png"/><Relationship Id="rId327" Type="http://schemas.openxmlformats.org/officeDocument/2006/relationships/image" Target="media/image223.png"/><Relationship Id="rId328" Type="http://schemas.openxmlformats.org/officeDocument/2006/relationships/image" Target="media/image224.png"/><Relationship Id="rId329" Type="http://schemas.openxmlformats.org/officeDocument/2006/relationships/image" Target="media/image225.png"/><Relationship Id="rId330" Type="http://schemas.openxmlformats.org/officeDocument/2006/relationships/image" Target="media/image226.png"/><Relationship Id="rId331" Type="http://schemas.openxmlformats.org/officeDocument/2006/relationships/image" Target="media/image227.png"/><Relationship Id="rId332" Type="http://schemas.openxmlformats.org/officeDocument/2006/relationships/image" Target="media/image228.png"/><Relationship Id="rId333" Type="http://schemas.openxmlformats.org/officeDocument/2006/relationships/image" Target="media/image229.png"/><Relationship Id="rId334" Type="http://schemas.openxmlformats.org/officeDocument/2006/relationships/image" Target="media/image230.png"/><Relationship Id="rId335" Type="http://schemas.openxmlformats.org/officeDocument/2006/relationships/image" Target="media/image231.png"/><Relationship Id="rId336" Type="http://schemas.openxmlformats.org/officeDocument/2006/relationships/image" Target="media/image232.png"/><Relationship Id="rId337" Type="http://schemas.openxmlformats.org/officeDocument/2006/relationships/image" Target="media/image233.png"/><Relationship Id="rId338" Type="http://schemas.openxmlformats.org/officeDocument/2006/relationships/image" Target="media/image234.png"/><Relationship Id="rId339" Type="http://schemas.openxmlformats.org/officeDocument/2006/relationships/image" Target="media/image235.png"/><Relationship Id="rId340" Type="http://schemas.openxmlformats.org/officeDocument/2006/relationships/image" Target="media/image236.png"/><Relationship Id="rId341" Type="http://schemas.openxmlformats.org/officeDocument/2006/relationships/image" Target="media/image237.png"/><Relationship Id="rId342" Type="http://schemas.openxmlformats.org/officeDocument/2006/relationships/image" Target="media/image238.png"/><Relationship Id="rId343" Type="http://schemas.openxmlformats.org/officeDocument/2006/relationships/image" Target="media/image239.png"/><Relationship Id="rId344" Type="http://schemas.openxmlformats.org/officeDocument/2006/relationships/image" Target="media/image240.png"/><Relationship Id="rId345" Type="http://schemas.openxmlformats.org/officeDocument/2006/relationships/image" Target="media/image241.png"/><Relationship Id="rId346" Type="http://schemas.openxmlformats.org/officeDocument/2006/relationships/image" Target="media/image242.png"/><Relationship Id="rId347" Type="http://schemas.openxmlformats.org/officeDocument/2006/relationships/image" Target="media/image243.png"/><Relationship Id="rId348" Type="http://schemas.openxmlformats.org/officeDocument/2006/relationships/image" Target="media/image244.png"/><Relationship Id="rId349" Type="http://schemas.openxmlformats.org/officeDocument/2006/relationships/image" Target="media/image245.png"/><Relationship Id="rId350" Type="http://schemas.openxmlformats.org/officeDocument/2006/relationships/image" Target="media/image246.png"/><Relationship Id="rId351" Type="http://schemas.openxmlformats.org/officeDocument/2006/relationships/image" Target="media/image247.png"/><Relationship Id="rId352" Type="http://schemas.openxmlformats.org/officeDocument/2006/relationships/image" Target="media/image248.png"/><Relationship Id="rId353" Type="http://schemas.openxmlformats.org/officeDocument/2006/relationships/image" Target="media/image249.png"/><Relationship Id="rId354" Type="http://schemas.openxmlformats.org/officeDocument/2006/relationships/image" Target="media/image250.png"/><Relationship Id="rId355" Type="http://schemas.openxmlformats.org/officeDocument/2006/relationships/image" Target="media/image251.png"/><Relationship Id="rId356" Type="http://schemas.openxmlformats.org/officeDocument/2006/relationships/image" Target="media/image252.png"/><Relationship Id="rId357" Type="http://schemas.openxmlformats.org/officeDocument/2006/relationships/image" Target="media/image253.png"/><Relationship Id="rId358" Type="http://schemas.openxmlformats.org/officeDocument/2006/relationships/image" Target="media/image254.png"/><Relationship Id="rId359" Type="http://schemas.openxmlformats.org/officeDocument/2006/relationships/image" Target="media/image255.png"/><Relationship Id="rId360" Type="http://schemas.openxmlformats.org/officeDocument/2006/relationships/image" Target="media/image256.png"/><Relationship Id="rId361" Type="http://schemas.openxmlformats.org/officeDocument/2006/relationships/image" Target="media/image257.png"/><Relationship Id="rId362" Type="http://schemas.openxmlformats.org/officeDocument/2006/relationships/image" Target="media/image258.png"/><Relationship Id="rId363" Type="http://schemas.openxmlformats.org/officeDocument/2006/relationships/image" Target="media/image259.png"/><Relationship Id="rId364" Type="http://schemas.openxmlformats.org/officeDocument/2006/relationships/image" Target="media/image260.png"/><Relationship Id="rId365" Type="http://schemas.openxmlformats.org/officeDocument/2006/relationships/image" Target="media/image261.png"/><Relationship Id="rId366" Type="http://schemas.openxmlformats.org/officeDocument/2006/relationships/image" Target="media/image262.png"/><Relationship Id="rId367" Type="http://schemas.openxmlformats.org/officeDocument/2006/relationships/image" Target="media/image263.png"/><Relationship Id="rId368" Type="http://schemas.openxmlformats.org/officeDocument/2006/relationships/image" Target="media/image264.png"/><Relationship Id="rId369" Type="http://schemas.openxmlformats.org/officeDocument/2006/relationships/image" Target="media/image265.png"/><Relationship Id="rId370" Type="http://schemas.openxmlformats.org/officeDocument/2006/relationships/image" Target="media/image266.png"/><Relationship Id="rId371" Type="http://schemas.openxmlformats.org/officeDocument/2006/relationships/image" Target="media/image267.png"/><Relationship Id="rId372" Type="http://schemas.openxmlformats.org/officeDocument/2006/relationships/image" Target="media/image268.png"/><Relationship Id="rId373" Type="http://schemas.openxmlformats.org/officeDocument/2006/relationships/image" Target="media/image269.png"/><Relationship Id="rId374" Type="http://schemas.openxmlformats.org/officeDocument/2006/relationships/image" Target="media/image270.png"/><Relationship Id="rId375" Type="http://schemas.openxmlformats.org/officeDocument/2006/relationships/image" Target="media/image271.png"/><Relationship Id="rId376" Type="http://schemas.openxmlformats.org/officeDocument/2006/relationships/image" Target="media/image272.png"/><Relationship Id="rId377" Type="http://schemas.openxmlformats.org/officeDocument/2006/relationships/image" Target="media/image273.png"/><Relationship Id="rId378" Type="http://schemas.openxmlformats.org/officeDocument/2006/relationships/image" Target="media/image274.png"/><Relationship Id="rId379" Type="http://schemas.openxmlformats.org/officeDocument/2006/relationships/image" Target="media/image275.png"/><Relationship Id="rId380" Type="http://schemas.openxmlformats.org/officeDocument/2006/relationships/image" Target="media/image276.png"/><Relationship Id="rId381" Type="http://schemas.openxmlformats.org/officeDocument/2006/relationships/image" Target="media/image277.png"/><Relationship Id="rId382" Type="http://schemas.openxmlformats.org/officeDocument/2006/relationships/image" Target="media/image278.png"/><Relationship Id="rId383" Type="http://schemas.openxmlformats.org/officeDocument/2006/relationships/image" Target="media/image279.jpeg"/><Relationship Id="rId384" Type="http://schemas.openxmlformats.org/officeDocument/2006/relationships/image" Target="media/image280.jpeg"/><Relationship Id="rId385" Type="http://schemas.openxmlformats.org/officeDocument/2006/relationships/image" Target="media/image281.png"/><Relationship Id="rId386" Type="http://schemas.openxmlformats.org/officeDocument/2006/relationships/image" Target="media/image282.jpeg"/><Relationship Id="rId387" Type="http://schemas.openxmlformats.org/officeDocument/2006/relationships/image" Target="media/image283.png"/><Relationship Id="rId388" Type="http://schemas.openxmlformats.org/officeDocument/2006/relationships/image" Target="media/image284.jpeg"/><Relationship Id="rId389" Type="http://schemas.openxmlformats.org/officeDocument/2006/relationships/image" Target="media/image285.png"/><Relationship Id="rId390" Type="http://schemas.openxmlformats.org/officeDocument/2006/relationships/image" Target="media/image286.png"/><Relationship Id="rId391" Type="http://schemas.openxmlformats.org/officeDocument/2006/relationships/image" Target="media/image287.png"/><Relationship Id="rId392" Type="http://schemas.openxmlformats.org/officeDocument/2006/relationships/image" Target="media/image288.png"/><Relationship Id="rId393" Type="http://schemas.openxmlformats.org/officeDocument/2006/relationships/image" Target="media/image289.png"/><Relationship Id="rId153" Type="http://schemas.openxmlformats.org/officeDocument/2006/relationships/hyperlink" Target="http://www.sec.gov/Archives/edgar/data/1070423/000110465916132668/a16-14925_1ex2d1.htm" TargetMode="External"/><Relationship Id="rId154" Type="http://schemas.openxmlformats.org/officeDocument/2006/relationships/hyperlink" Target="http://www.sec.gov/Archives/edgar/data/1070423/000107042317000009/paa03312017exhibit21.htm" TargetMode="External"/><Relationship Id="rId155" Type="http://schemas.openxmlformats.org/officeDocument/2006/relationships/hyperlink" Target="http://www.sec.gov/Archives/edgar/data/1070423/000107042317000009/paa03312017exhibit22.htm" TargetMode="External"/><Relationship Id="rId156" Type="http://schemas.openxmlformats.org/officeDocument/2006/relationships/hyperlink" Target="http://www.sec.gov/Archives/edgar/data/1070423/000110465917061889/a17-22685_5ex3d1.htm" TargetMode="External"/><Relationship Id="rId157" Type="http://schemas.openxmlformats.org/officeDocument/2006/relationships/hyperlink" Target="http://www.sec.gov/Archives/edgar/data/1070423/000104746904016502/a2135501zex-3_2.htm" TargetMode="External"/><Relationship Id="rId158" Type="http://schemas.openxmlformats.org/officeDocument/2006/relationships/hyperlink" Target="http://www.sec.gov/Archives/edgar/data/1070423/000110465911010359/a11-2319_1ex3d9.htm" TargetMode="External"/><Relationship Id="rId159" Type="http://schemas.openxmlformats.org/officeDocument/2006/relationships/hyperlink" Target="http://www.sec.gov/Archives/edgar/data/1070423/000110465911010359/a11-2319_1ex3d10.htm" TargetMode="External"/><Relationship Id="rId160" Type="http://schemas.openxmlformats.org/officeDocument/2006/relationships/hyperlink" Target="http://www.sec.gov/Archives/edgar/data/1070423/000110465914014322/a13-25941_1ex3d7.htm" TargetMode="External"/><Relationship Id="rId161" Type="http://schemas.openxmlformats.org/officeDocument/2006/relationships/hyperlink" Target="http://www.sec.gov/Archives/edgar/data/1070423/000110465914014322/a13-25941_1ex3d8.htm" TargetMode="External"/><Relationship Id="rId162" Type="http://schemas.openxmlformats.org/officeDocument/2006/relationships/hyperlink" Target="http://www.sec.gov/Archives/edgar/data/1070423/000107042320000004/paa201910-kexhibit37.htm" TargetMode="External"/><Relationship Id="rId163" Type="http://schemas.openxmlformats.org/officeDocument/2006/relationships/hyperlink" Target="http://www.sec.gov/Archives/edgar/data/1070423/000104746904016502/a2135501zex-3_3.htm" TargetMode="External"/><Relationship Id="rId165" Type="http://schemas.openxmlformats.org/officeDocument/2006/relationships/hyperlink" Target="http://www.sec.gov/Archives/edgar/data/1070423/000110465914014322/a13-25941_1ex3d10.htm" TargetMode="External"/><Relationship Id="rId166" Type="http://schemas.openxmlformats.org/officeDocument/2006/relationships/hyperlink" Target="http://www.sec.gov/Archives/edgar/data/1070423/000110465916158355/a16-21841_1ex3d3.htm" TargetMode="External"/><Relationship Id="rId167" Type="http://schemas.openxmlformats.org/officeDocument/2006/relationships/hyperlink" Target="http://www.sec.gov/Archives/edgar/data/1070423/000110465916158355/a16-21841_1ex3d4.htm" TargetMode="External"/><Relationship Id="rId168" Type="http://schemas.openxmlformats.org/officeDocument/2006/relationships/hyperlink" Target="http://www.sec.gov/Archives/edgar/data/1070423/000110465918060011/a18-36196_1ex3d1.htm" TargetMode="External"/><Relationship Id="rId169" Type="http://schemas.openxmlformats.org/officeDocument/2006/relationships/hyperlink" Target="http://www.sec.gov/Archives/edgar/data/1070423/000110465919032810/a19-10856_1ex3d1.htm" TargetMode="External"/><Relationship Id="rId170" Type="http://schemas.openxmlformats.org/officeDocument/2006/relationships/hyperlink" Target="http://www.sec.gov/Archives/edgar/data/1070423/000095012907001096/h43224exv3w10.htm" TargetMode="External"/><Relationship Id="rId171" Type="http://schemas.openxmlformats.org/officeDocument/2006/relationships/hyperlink" Target="http://www.sec.gov/Archives/edgar/data/1070423/000095012907001096/h43224exv3w11.htm" TargetMode="External"/><Relationship Id="rId172" Type="http://schemas.openxmlformats.org/officeDocument/2006/relationships/hyperlink" Target="http://www.sec.gov/Archives/edgar/data/1070423/000095012908000071/h52770exv3w3.htm" TargetMode="External"/><Relationship Id="rId173" Type="http://schemas.openxmlformats.org/officeDocument/2006/relationships/hyperlink" Target="http://www.sec.gov/Archives/edgar/data/1581990/000104746913007875/a2216069zex-3_1.htm" TargetMode="External"/><Relationship Id="rId174" Type="http://schemas.openxmlformats.org/officeDocument/2006/relationships/hyperlink" Target="http://www.sec.gov/Archives/edgar/data/1581990/000110465916158356/a16-21845_1ex3d2.htm" TargetMode="External"/><Relationship Id="rId175" Type="http://schemas.openxmlformats.org/officeDocument/2006/relationships/hyperlink" Target="http://www.sec.gov/Archives/edgar/data/1581990/000158199020000012/exhibit31.htm" TargetMode="External"/><Relationship Id="rId176" Type="http://schemas.openxmlformats.org/officeDocument/2006/relationships/hyperlink" Target="http://www.sec.gov/Archives/edgar/data/1581990/000104746913007875/a2216069zex-3_3.htm" TargetMode="External"/><Relationship Id="rId177" Type="http://schemas.openxmlformats.org/officeDocument/2006/relationships/hyperlink" Target="http://www.sec.gov/Archives/edgar/data/1581990/000110465917010602/a17-6893_1ex3d1.htm" TargetMode="External"/><Relationship Id="rId178" Type="http://schemas.openxmlformats.org/officeDocument/2006/relationships/hyperlink" Target="http://www.sec.gov/Archives/edgar/data/1070423/000110465918052848/a18-18381_3ex3d1.htm" TargetMode="External"/><Relationship Id="rId179" Type="http://schemas.openxmlformats.org/officeDocument/2006/relationships/hyperlink" Target="http://www.sec.gov/Archives/edgar/data/1070423/000110465918072384/a18-41341_1ex3d1.htm" TargetMode="External"/><Relationship Id="rId180" Type="http://schemas.openxmlformats.org/officeDocument/2006/relationships/hyperlink" Target="http://www.sec.gov/Archives/edgar/data/1070423/000110465919067782/tm1923979d1_ex3-1.htm" TargetMode="External"/><Relationship Id="rId181" Type="http://schemas.openxmlformats.org/officeDocument/2006/relationships/hyperlink" Target="http://www.sec.gov/Archives/edgar/data/1070423/000089924302002834/dex41.txt" TargetMode="External"/><Relationship Id="rId183" Type="http://schemas.openxmlformats.org/officeDocument/2006/relationships/hyperlink" Target="http://www.sec.gov/Archives/edgar/data/1070423/000110465906034368/a06-11663_1ex4d1.htm" TargetMode="External"/><Relationship Id="rId184" Type="http://schemas.openxmlformats.org/officeDocument/2006/relationships/hyperlink" Target="http://www.sec.gov/Archives/edgar/data/1070423/000095012906009235/h40667exv4w2.htm" TargetMode="External"/><Relationship Id="rId185" Type="http://schemas.openxmlformats.org/officeDocument/2006/relationships/hyperlink" Target="http://www.sec.gov/Archives/edgar/data/1070423/000119312512132295/d321017dex41.htm" TargetMode="External"/><Relationship Id="rId186" Type="http://schemas.openxmlformats.org/officeDocument/2006/relationships/hyperlink" Target="http://www.sec.gov/Archives/edgar/data/1070423/000119312512132295/d321017dex43.htm" TargetMode="External"/><Relationship Id="rId187" Type="http://schemas.openxmlformats.org/officeDocument/2006/relationships/hyperlink" Target="http://www.sec.gov/Archives/edgar/data/1070423/000119312512499932/d453762dex41.htm" TargetMode="External"/><Relationship Id="rId188" Type="http://schemas.openxmlformats.org/officeDocument/2006/relationships/hyperlink" Target="http://www.sec.gov/Archives/edgar/data/1070423/000119312512499932/d453762dex43.htm" TargetMode="External"/><Relationship Id="rId189" Type="http://schemas.openxmlformats.org/officeDocument/2006/relationships/hyperlink" Target="http://www.sec.gov/Archives/edgar/data/1070423/000119312513336066/d581734dex41.htm" TargetMode="External"/><Relationship Id="rId190" Type="http://schemas.openxmlformats.org/officeDocument/2006/relationships/hyperlink" Target="http://www.sec.gov/Archives/edgar/data/1070423/000119312514164183/d713938dex41.htm" TargetMode="External"/><Relationship Id="rId191" Type="http://schemas.openxmlformats.org/officeDocument/2006/relationships/hyperlink" Target="http://www.sec.gov/Archives/edgar/data/1070423/000119312514338289/d787160dex41.htm" TargetMode="External"/><Relationship Id="rId192" Type="http://schemas.openxmlformats.org/officeDocument/2006/relationships/hyperlink" Target="http://www.sec.gov/Archives/edgar/data/1070423/000119312514440007/d833885dex43.htm" TargetMode="External"/><Relationship Id="rId193" Type="http://schemas.openxmlformats.org/officeDocument/2006/relationships/hyperlink" Target="http://www.sec.gov/Archives/edgar/data/1070423/000119312515302829/d45393dex41.htm" TargetMode="External"/><Relationship Id="rId194" Type="http://schemas.openxmlformats.org/officeDocument/2006/relationships/hyperlink" Target="http://www.sec.gov/Archives/edgar/data/1070423/000110465916159593/a16-22232_1ex4d1.htm" TargetMode="External"/><Relationship Id="rId195" Type="http://schemas.openxmlformats.org/officeDocument/2006/relationships/hyperlink" Target="http://www.sec.gov/Archives/edgar/data/1070423/000141057819001281/tv529555_ex4-1.htm" TargetMode="External"/><Relationship Id="rId196" Type="http://schemas.openxmlformats.org/officeDocument/2006/relationships/hyperlink" Target="http://www.sec.gov/Archives/edgar/data/1070423/000110465920072270/tm2022235d1_ex4-1.htm" TargetMode="External"/><Relationship Id="rId198" Type="http://schemas.openxmlformats.org/officeDocument/2006/relationships/hyperlink" Target="http://www.sec.gov/Archives/edgar/data/1070423/000095012309050401/h68193exv4w1.htm" TargetMode="External"/><Relationship Id="rId199" Type="http://schemas.openxmlformats.org/officeDocument/2006/relationships/hyperlink" Target="http://www.sec.gov/Archives/edgar/data/1070423/000110465916093299/a16-3362_1ex4d1.htm" TargetMode="External"/><Relationship Id="rId200" Type="http://schemas.openxmlformats.org/officeDocument/2006/relationships/hyperlink" Target="http://www.sec.gov/Archives/edgar/data/1070423/000110465916158355/a16-21841_1ex10d4.htm" TargetMode="External"/><Relationship Id="rId201" Type="http://schemas.openxmlformats.org/officeDocument/2006/relationships/hyperlink" Target="http://www.sec.gov/Archives/edgar/data/1070423/000095012311080225/h84381exv10w1.htm" TargetMode="External"/><Relationship Id="rId202" Type="http://schemas.openxmlformats.org/officeDocument/2006/relationships/hyperlink" Target="http://www.sec.gov/Archives/edgar/data/1070423/000119312512293769/d374172dex102.htm" TargetMode="External"/><Relationship Id="rId203" Type="http://schemas.openxmlformats.org/officeDocument/2006/relationships/hyperlink" Target="http://www.sec.gov/Archives/edgar/data/1070423/000119312513340586/d585794dex102.htm" TargetMode="External"/><Relationship Id="rId204" Type="http://schemas.openxmlformats.org/officeDocument/2006/relationships/hyperlink" Target="http://www.sec.gov/Archives/edgar/data/1070423/000110465916140243/a16-16900_1ex10d1.htm" TargetMode="External"/><Relationship Id="rId205" Type="http://schemas.openxmlformats.org/officeDocument/2006/relationships/hyperlink" Target="http://www.sec.gov/Archives/edgar/data/1070423/000095012311080225/h84381exv10w2.htm" TargetMode="External"/><Relationship Id="rId206" Type="http://schemas.openxmlformats.org/officeDocument/2006/relationships/hyperlink" Target="http://www.sec.gov/Archives/edgar/data/1070423/000119312512293769/d374172dex101.htm" TargetMode="External"/><Relationship Id="rId207" Type="http://schemas.openxmlformats.org/officeDocument/2006/relationships/hyperlink" Target="http://www.sec.gov/Archives/edgar/data/1070423/000119312513340586/d585794dex101.htm" TargetMode="External"/><Relationship Id="rId208" Type="http://schemas.openxmlformats.org/officeDocument/2006/relationships/hyperlink" Target="http://www.sec.gov/Archives/edgar/data/1070423/000110465916140243/a16-16900_1ex10d3.htm" TargetMode="External"/><Relationship Id="rId209" Type="http://schemas.openxmlformats.org/officeDocument/2006/relationships/hyperlink" Target="http://www.sec.gov/Archives/edgar/data/1070423/000107042317000021/paa09302017exhibit106.htm" TargetMode="External"/><Relationship Id="rId211" Type="http://schemas.openxmlformats.org/officeDocument/2006/relationships/hyperlink" Target="http://www.sec.gov/Archives/edgar/data/1070423/000095012908000071/h52770exv10w2.htm" TargetMode="External"/><Relationship Id="rId212" Type="http://schemas.openxmlformats.org/officeDocument/2006/relationships/hyperlink" Target="http://www.sec.gov/Archives/edgar/data/1070423/000110465916158355/a16-21841_1ex10d1.htm" TargetMode="External"/><Relationship Id="rId213" Type="http://schemas.openxmlformats.org/officeDocument/2006/relationships/hyperlink" Target="http://www.sec.gov/Archives/edgar/data/1070423/000110465916158355/a16-21841_1ex10d2.htm" TargetMode="External"/><Relationship Id="rId214" Type="http://schemas.openxmlformats.org/officeDocument/2006/relationships/hyperlink" Target="http://www.sec.gov/Archives/edgar/data/1070423/000089924301501783/dex101.txt" TargetMode="External"/><Relationship Id="rId215" Type="http://schemas.openxmlformats.org/officeDocument/2006/relationships/hyperlink" Target="http://www.sec.gov/Archives/edgar/data/1070423/000104746909001897/a2190434zex-10_49.htm" TargetMode="External"/><Relationship Id="rId216" Type="http://schemas.openxmlformats.org/officeDocument/2006/relationships/hyperlink" Target="http://www.sec.gov/Archives/edgar/data/1070423/000110465911010359/a11-2319_1ex10d31.htm" TargetMode="External"/><Relationship Id="rId217" Type="http://schemas.openxmlformats.org/officeDocument/2006/relationships/hyperlink" Target="http://www.sec.gov/Archives/edgar/data/1070423/000110465913078056/a13-22862_1ex10d2.htm" TargetMode="External"/><Relationship Id="rId218" Type="http://schemas.openxmlformats.org/officeDocument/2006/relationships/hyperlink" Target="http://www.sec.gov/Archives/edgar/data/1070423/000107042318000015/paaq32018exhibit106.htm" TargetMode="External"/><Relationship Id="rId219" Type="http://schemas.openxmlformats.org/officeDocument/2006/relationships/hyperlink" Target="http://www.sec.gov/Archives/edgar/data/1070423/000107042320000004/paa201910-kexhibit1031.htm" TargetMode="External"/><Relationship Id="rId220" Type="http://schemas.openxmlformats.org/officeDocument/2006/relationships/hyperlink" Target="http://www.sec.gov/Archives/edgar/data/1070423/000089924301501783/dex102.txt" TargetMode="External"/><Relationship Id="rId221" Type="http://schemas.openxmlformats.org/officeDocument/2006/relationships/hyperlink" Target="http://www.sec.gov/Archives/edgar/data/1070423/000104746909001897/a2190434zex-10_50.htm" TargetMode="External"/><Relationship Id="rId222" Type="http://schemas.openxmlformats.org/officeDocument/2006/relationships/hyperlink" Target="http://www.sec.gov/Archives/edgar/data/1070423/000107042319000013/paaq32019exhibit101.htm" TargetMode="External"/><Relationship Id="rId223" Type="http://schemas.openxmlformats.org/officeDocument/2006/relationships/hyperlink" Target="http://www.sec.gov/Archives/edgar/data/1070423/000110465911010359/a11-2319_1ex10d32.htm" TargetMode="External"/><Relationship Id="rId224" Type="http://schemas.openxmlformats.org/officeDocument/2006/relationships/hyperlink" Target="http://www.sec.gov/Archives/edgar/data/1070423/000110465913078056/a13-22862_1ex10d3.htm" TargetMode="External"/><Relationship Id="rId225" Type="http://schemas.openxmlformats.org/officeDocument/2006/relationships/hyperlink" Target="http://www.sec.gov/Archives/edgar/data/1070423/000110465916100030/a15-24557_1ex10d53.htm" TargetMode="External"/><Relationship Id="rId226" Type="http://schemas.openxmlformats.org/officeDocument/2006/relationships/hyperlink" Target="http://www.sec.gov/Archives/edgar/data/1070423/000107042318000015/paaq32018exhibit107.htm" TargetMode="External"/><Relationship Id="rId228" Type="http://schemas.openxmlformats.org/officeDocument/2006/relationships/hyperlink" Target="http://www.sec.gov/Archives/edgar/data/1070423/000107042316000004/paa09302016exhibit108.htm" TargetMode="External"/><Relationship Id="rId229" Type="http://schemas.openxmlformats.org/officeDocument/2006/relationships/hyperlink" Target="http://www.sec.gov/Archives/edgar/data/1070423/000107042318000009/paaq12018exhibit101.htm" TargetMode="External"/><Relationship Id="rId230" Type="http://schemas.openxmlformats.org/officeDocument/2006/relationships/hyperlink" Target="http://www.sec.gov/Archives/edgar/data/1070423/000107042318000015/paaq32018exhibit108.htm" TargetMode="External"/><Relationship Id="rId231" Type="http://schemas.openxmlformats.org/officeDocument/2006/relationships/hyperlink" Target="http://www.sec.gov/Archives/edgar/data/1070423/000119312513390367/d597666ddef14a.htm#rom597666_10" TargetMode="External"/><Relationship Id="rId232" Type="http://schemas.openxmlformats.org/officeDocument/2006/relationships/hyperlink" Target="http://www.sec.gov/Archives/edgar/data/1070423/000110465913093006/a13-26950_1ex4d4.htm" TargetMode="External"/><Relationship Id="rId233" Type="http://schemas.openxmlformats.org/officeDocument/2006/relationships/hyperlink" Target="http://www.sec.gov/Archives/edgar/data/1481506/000095012310047963/h72950exv10w2.htm" TargetMode="External"/><Relationship Id="rId234" Type="http://schemas.openxmlformats.org/officeDocument/2006/relationships/hyperlink" Target="http://www.sec.gov/Archives/edgar/data/1581990/000110465913078057/a13-22338_2ex10d3.htm" TargetMode="External"/><Relationship Id="rId235" Type="http://schemas.openxmlformats.org/officeDocument/2006/relationships/hyperlink" Target="http://www.sec.gov/Archives/edgar/data/1070423/000095012908000071/h52770exv10w1.htm" TargetMode="External"/><Relationship Id="rId236" Type="http://schemas.openxmlformats.org/officeDocument/2006/relationships/hyperlink" Target="http://www.sec.gov/Archives/edgar/data/1070423/000110465913078056/a13-22862_1ex10d4.htm" TargetMode="External"/><Relationship Id="rId237" Type="http://schemas.openxmlformats.org/officeDocument/2006/relationships/hyperlink" Target="http://www.sec.gov/Archives/edgar/data/1070423/000107042316000004/paa09302016exhibit106.htm" TargetMode="External"/><Relationship Id="rId238" Type="http://schemas.openxmlformats.org/officeDocument/2006/relationships/hyperlink" Target="http://www.sec.gov/Archives/edgar/data/1070423/000107042318000009/paaq12018exhibit102.htm" TargetMode="External"/><Relationship Id="rId239" Type="http://schemas.openxmlformats.org/officeDocument/2006/relationships/hyperlink" Target="http://www.sec.gov/Archives/edgar/data/1070423/000107042316000004/paa09302016exhibit105.htm" TargetMode="External"/><Relationship Id="rId240" Type="http://schemas.openxmlformats.org/officeDocument/2006/relationships/hyperlink" Target="http://www.sec.gov/Archives/edgar/data/1070423/000107042318000009/paaq12018exhibit104.htm" TargetMode="External"/><Relationship Id="rId241" Type="http://schemas.openxmlformats.org/officeDocument/2006/relationships/hyperlink" Target="http://www.sec.gov/Archives/edgar/data/1070423/000107042318000009/paaq12018exhibit105.htm" TargetMode="External"/><Relationship Id="rId242" Type="http://schemas.openxmlformats.org/officeDocument/2006/relationships/hyperlink" Target="http://www.sec.gov/Archives/edgar/data/1070423/000107042317000009/paa03312017exhibit101.htm" TargetMode="External"/><Relationship Id="rId243" Type="http://schemas.openxmlformats.org/officeDocument/2006/relationships/hyperlink" Target="http://www.sec.gov/Archives/edgar/data/1070423/000107042317000009/paa03312017exhibit102.htm" TargetMode="External"/><Relationship Id="rId244" Type="http://schemas.openxmlformats.org/officeDocument/2006/relationships/hyperlink" Target="http://www.sec.gov/Archives/edgar/data/1070423/000107042317000009/paa03312017exhibit103.htm" TargetMode="External"/><Relationship Id="rId245" Type="http://schemas.openxmlformats.org/officeDocument/2006/relationships/hyperlink" Target="http://www.sec.gov/Archives/edgar/data/1581990/000158199017000009/pagp03312017exhibit101.htm" TargetMode="External"/><Relationship Id="rId246" Type="http://schemas.openxmlformats.org/officeDocument/2006/relationships/hyperlink" Target="http://www.sec.gov/Archives/edgar/data/1581990/000158199017000009/pagp03312017exhibit102.htm" TargetMode="External"/><Relationship Id="rId248" Type="http://schemas.openxmlformats.org/officeDocument/2006/relationships/hyperlink" Target="http://www.sec.gov/Archives/edgar/data/1581990/000158199017000009/pagp03312017exhibit103.htm" TargetMode="External"/><Relationship Id="rId249" Type="http://schemas.openxmlformats.org/officeDocument/2006/relationships/hyperlink" Target="http://www.sec.gov/Archives/edgar/data/1070423/000107042319000004/paa201810-kexhibit1066.htm" TargetMode="External"/><Relationship Id="rId250" Type="http://schemas.openxmlformats.org/officeDocument/2006/relationships/hyperlink" Target="http://www.sec.gov/Archives/edgar/data/1070423/000107042319000004/paa201810-kexhibit1067.htm" TargetMode="External"/><Relationship Id="rId251" Type="http://schemas.openxmlformats.org/officeDocument/2006/relationships/hyperlink" Target="http://www.sec.gov/Archives/edgar/data/1070423/000107042319000013/paaq32019exhibit102.htm" TargetMode="External"/><Relationship Id="rId252" Type="http://schemas.openxmlformats.org/officeDocument/2006/relationships/hyperlink" Target="http://www.sec.gov/Archives/edgar/data/1070423/000107042319000013/paaq32019exhibit103.htm" TargetMode="External"/><Relationship Id="rId253" Type="http://schemas.openxmlformats.org/officeDocument/2006/relationships/hyperlink" Target="http://www.sec.gov/Archives/edgar/data/1070423/000107042320000004/paa201910-kexhibit1072.htm" TargetMode="External"/><Relationship Id="rId254" Type="http://schemas.openxmlformats.org/officeDocument/2006/relationships/hyperlink" Target="http://www.sec.gov/Archives/edgar/data/1070423/000107042320000031/paaq3202010-qexhibit101.htm" TargetMode="External"/><Relationship Id="rId255" Type="http://schemas.openxmlformats.org/officeDocument/2006/relationships/hyperlink" Target="http://www.sec.gov/Archives/edgar/data/1070423/000107042320000031/paaq3202010-q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2021-03-01T06:52:42Z</dcterms:created>
  <dcterms:modified xsi:type="dcterms:W3CDTF">2021-03-01T06:52:42Z</dcterms:modified>
</cp:coreProperties>
</file>