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349250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80" w:right="1560" w:hanging="3872"/>
        <w:spacing w:after="0" w:line="402" w:lineRule="auto"/>
        <w:tabs>
          <w:tab w:leader="none" w:pos="46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7240" w:space="720"/>
            <w:col w:w="322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0"/>
              </w:rPr>
              <w:t>Title of each class</w:t>
            </w:r>
          </w:p>
        </w:tc>
        <w:tc>
          <w:tcPr>
            <w:tcW w:w="2720" w:type="dxa"/>
            <w:vAlign w:val="bottom"/>
            <w:tcBorders>
              <w:top w:val="single" w:sz="8" w:color="auto"/>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7"/>
              </w:rPr>
              <w:t>Class A Shares</w:t>
            </w:r>
          </w:p>
        </w:tc>
        <w:tc>
          <w:tcPr>
            <w:tcW w:w="2720" w:type="dxa"/>
            <w:vAlign w:val="bottom"/>
            <w:tcBorders>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87"/>
              </w:rPr>
              <w:t>PAGP</w:t>
            </w:r>
          </w:p>
        </w:tc>
        <w:tc>
          <w:tcPr>
            <w:tcW w:w="4380" w:type="dxa"/>
            <w:vAlign w:val="bottom"/>
            <w:tcBorders>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86"/>
              </w:rPr>
              <w:t>Nasdaq</w:t>
            </w:r>
          </w:p>
        </w:tc>
      </w:tr>
    </w:tbl>
    <w:p>
      <w:pPr>
        <w:spacing w:after="0" w:line="323"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76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68"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July 30, 2021, there were 194,123,869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33"/>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2"/>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2021 and December 31,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June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2"/>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Statements of Comprehensive Income/(Loss): For the three and six months ended June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2"/>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Changes in Accumulated Other Comprehensive Income/(Loss): For the six months ended June 30,</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gridSpan w:val="4"/>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2021 and 2020</w:t>
              </w:r>
            </w:hyperlink>
          </w:p>
        </w:tc>
        <w:tc>
          <w:tcPr>
            <w:tcW w:w="70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380" w:type="dxa"/>
            <w:vAlign w:val="bottom"/>
            <w:gridSpan w:val="24"/>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 For the six months ended June 30, 2021 and 2020</w:t>
              </w:r>
            </w:hyperlink>
          </w:p>
        </w:tc>
        <w:tc>
          <w:tcPr>
            <w:tcW w:w="2680" w:type="dxa"/>
            <w:vAlign w:val="bottom"/>
            <w:gridSpan w:val="8"/>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2"/>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Condensed Consolidated Statements of Changes in Partners’ Capital: For the three and six months ended June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300" w:type="dxa"/>
            <w:vAlign w:val="bottom"/>
            <w:tcBorders>
              <w:top w:val="single" w:sz="8" w:color="0000FF"/>
            </w:tcBorders>
            <w:gridSpan w:val="2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760" w:type="dxa"/>
            <w:vAlign w:val="bottom"/>
            <w:gridSpan w:val="4"/>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w:t>
              </w:r>
            </w:hyperlink>
          </w:p>
        </w:tc>
        <w:tc>
          <w:tcPr>
            <w:tcW w:w="4200" w:type="dxa"/>
            <w:vAlign w:val="bottom"/>
            <w:gridSpan w:val="16"/>
          </w:tcPr>
          <w:p>
            <w:pPr>
              <w:ind w:left="20"/>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Organization and Basis of Consolidation and Presentation</w:t>
              </w:r>
            </w:hyperlink>
          </w:p>
        </w:tc>
        <w:tc>
          <w:tcPr>
            <w:tcW w:w="5520" w:type="dxa"/>
            <w:vAlign w:val="bottom"/>
            <w:gridSpan w:val="14"/>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2.</w:t>
              </w:r>
            </w:hyperlink>
          </w:p>
        </w:tc>
        <w:tc>
          <w:tcPr>
            <w:tcW w:w="3260" w:type="dxa"/>
            <w:vAlign w:val="bottom"/>
            <w:gridSpan w:val="12"/>
          </w:tcPr>
          <w:p>
            <w:pPr>
              <w:ind w:left="20"/>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Summary of Significant Accounting Policies</w:t>
              </w:r>
            </w:hyperlink>
          </w:p>
        </w:tc>
        <w:tc>
          <w:tcPr>
            <w:tcW w:w="940" w:type="dxa"/>
            <w:vAlign w:val="bottom"/>
            <w:gridSpan w:val="4"/>
          </w:tcPr>
          <w:p>
            <w:pPr>
              <w:spacing w:after="0"/>
              <w:rPr>
                <w:sz w:val="18"/>
                <w:szCs w:val="18"/>
                <w:color w:val="auto"/>
              </w:rPr>
            </w:pPr>
          </w:p>
        </w:tc>
        <w:tc>
          <w:tcPr>
            <w:tcW w:w="552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top w:val="single" w:sz="8" w:color="0000FF"/>
            </w:tcBorders>
          </w:tcPr>
          <w:p>
            <w:pPr>
              <w:ind w:lef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3.</w:t>
              </w:r>
            </w:hyperlink>
          </w:p>
        </w:tc>
        <w:tc>
          <w:tcPr>
            <w:tcW w:w="3260" w:type="dxa"/>
            <w:vAlign w:val="bottom"/>
            <w:tcBorders>
              <w:top w:val="single" w:sz="8" w:color="0000FF"/>
            </w:tcBorders>
            <w:gridSpan w:val="12"/>
          </w:tcPr>
          <w:p>
            <w:pPr>
              <w:ind w:left="20"/>
              <w:spacing w:after="0"/>
              <w:rPr>
                <w:rFonts w:ascii="Arial" w:cs="Arial" w:eastAsia="Arial" w:hAnsi="Arial"/>
                <w:sz w:val="18"/>
                <w:szCs w:val="18"/>
                <w:color w:val="0000FF"/>
              </w:rPr>
            </w:pPr>
            <w:hyperlink w:anchor="page12">
              <w:r>
                <w:rPr>
                  <w:rFonts w:ascii="Arial" w:cs="Arial" w:eastAsia="Arial" w:hAnsi="Arial"/>
                  <w:sz w:val="18"/>
                  <w:szCs w:val="18"/>
                  <w:color w:val="0000FF"/>
                </w:rPr>
                <w:t>Revenues and Accounts Receivable</w:t>
              </w:r>
            </w:hyperlink>
          </w:p>
        </w:tc>
        <w:tc>
          <w:tcPr>
            <w:tcW w:w="646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4.</w:t>
              </w:r>
            </w:hyperlink>
          </w:p>
        </w:tc>
        <w:tc>
          <w:tcPr>
            <w:tcW w:w="9720" w:type="dxa"/>
            <w:vAlign w:val="bottom"/>
            <w:gridSpan w:val="30"/>
          </w:tcPr>
          <w:p>
            <w:pPr>
              <w:ind w:left="20"/>
              <w:spacing w:after="0"/>
              <w:rPr>
                <w:rFonts w:ascii="Arial" w:cs="Arial" w:eastAsia="Arial" w:hAnsi="Arial"/>
                <w:sz w:val="18"/>
                <w:szCs w:val="18"/>
                <w:color w:val="0000FF"/>
              </w:rPr>
            </w:pPr>
            <w:hyperlink w:anchor="page17">
              <w:r>
                <w:rPr>
                  <w:rFonts w:ascii="Arial" w:cs="Arial" w:eastAsia="Arial" w:hAnsi="Arial"/>
                  <w:sz w:val="18"/>
                  <w:szCs w:val="18"/>
                  <w:color w:val="0000FF"/>
                </w:rPr>
                <w:t>Net Income/(Loss) Per Class A Share</w:t>
              </w:r>
            </w:hyperlink>
          </w:p>
        </w:tc>
        <w:tc>
          <w:tcPr>
            <w:tcW w:w="100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5.</w:t>
              </w:r>
            </w:hyperlink>
          </w:p>
        </w:tc>
        <w:tc>
          <w:tcPr>
            <w:tcW w:w="4240" w:type="dxa"/>
            <w:vAlign w:val="bottom"/>
            <w:tcBorders>
              <w:bottom w:val="single" w:sz="8" w:color="0000FF"/>
            </w:tcBorders>
            <w:gridSpan w:val="17"/>
          </w:tcPr>
          <w:p>
            <w:pPr>
              <w:ind w:left="20"/>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Inventory, Linefill and Base Gas and Long-term Inventory</w:t>
              </w:r>
            </w:hyperlink>
          </w:p>
        </w:tc>
        <w:tc>
          <w:tcPr>
            <w:tcW w:w="548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Debt</w:t>
              </w:r>
            </w:hyperlink>
          </w:p>
        </w:tc>
        <w:tc>
          <w:tcPr>
            <w:tcW w:w="9340" w:type="dxa"/>
            <w:vAlign w:val="bottom"/>
            <w:gridSpan w:val="2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7.</w:t>
              </w:r>
            </w:hyperlink>
          </w:p>
        </w:tc>
        <w:tc>
          <w:tcPr>
            <w:tcW w:w="2580" w:type="dxa"/>
            <w:vAlign w:val="bottom"/>
            <w:tcBorders>
              <w:bottom w:val="single" w:sz="8" w:color="0000FF"/>
            </w:tcBorders>
            <w:gridSpan w:val="10"/>
          </w:tcPr>
          <w:p>
            <w:pPr>
              <w:ind w:left="20"/>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Partners’ Capital and Distributions</w:t>
              </w:r>
            </w:hyperlink>
          </w:p>
        </w:tc>
        <w:tc>
          <w:tcPr>
            <w:tcW w:w="71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8.</w:t>
              </w:r>
            </w:hyperlink>
          </w:p>
        </w:tc>
        <w:tc>
          <w:tcPr>
            <w:tcW w:w="3280" w:type="dxa"/>
            <w:vAlign w:val="bottom"/>
            <w:tcBorders>
              <w:bottom w:val="single" w:sz="8" w:color="0000FF"/>
            </w:tcBorders>
            <w:gridSpan w:val="13"/>
          </w:tcPr>
          <w:p>
            <w:pPr>
              <w:ind w:left="20"/>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Derivatives and Risk Management Activities</w:t>
              </w:r>
            </w:hyperlink>
          </w:p>
        </w:tc>
        <w:tc>
          <w:tcPr>
            <w:tcW w:w="644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9.</w:t>
              </w:r>
            </w:hyperlink>
          </w:p>
        </w:tc>
        <w:tc>
          <w:tcPr>
            <w:tcW w:w="9720" w:type="dxa"/>
            <w:vAlign w:val="bottom"/>
            <w:gridSpan w:val="30"/>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10"/>
          </w:tcPr>
          <w:p>
            <w:pPr>
              <w:ind w:left="2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10. Commitments and Contingencies</w:t>
              </w:r>
            </w:hyperlink>
          </w:p>
        </w:tc>
        <w:tc>
          <w:tcPr>
            <w:tcW w:w="720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bottom w:val="single" w:sz="8" w:color="0000FF"/>
            </w:tcBorders>
            <w:gridSpan w:val="7"/>
          </w:tcPr>
          <w:p>
            <w:pPr>
              <w:ind w:left="20"/>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11. Operating Segments</w:t>
              </w:r>
            </w:hyperlink>
          </w:p>
        </w:tc>
        <w:tc>
          <w:tcPr>
            <w:tcW w:w="814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31"/>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12. Acquisitions, Divestitures and Other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30"/>
          </w:tcPr>
          <w:p>
            <w:pPr>
              <w:spacing w:after="0"/>
              <w:rPr>
                <w:rFonts w:ascii="Arial" w:cs="Arial" w:eastAsia="Arial" w:hAnsi="Arial"/>
                <w:sz w:val="18"/>
                <w:szCs w:val="18"/>
                <w:color w:val="0000FF"/>
                <w:w w:val="96"/>
              </w:rPr>
            </w:pPr>
            <w:hyperlink w:anchor="page37">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4"/>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Item 3. QUANTITATIVE AND QUALITATIVE DISCLOSURES ABOUT MARKET RISK</w:t>
              </w:r>
            </w:hyperlink>
          </w:p>
        </w:tc>
        <w:tc>
          <w:tcPr>
            <w:tcW w:w="350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0000FF"/>
            </w:tcBorders>
            <w:gridSpan w:val="14"/>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Item 4. CONTROLS AND PROCEDURES</w:t>
              </w:r>
            </w:hyperlink>
          </w:p>
        </w:tc>
        <w:tc>
          <w:tcPr>
            <w:tcW w:w="70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3"/>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PART II. OTHER INFORMATION</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63">
              <w:r>
                <w:rPr>
                  <w:rFonts w:ascii="Arial" w:cs="Arial" w:eastAsia="Arial" w:hAnsi="Arial"/>
                  <w:sz w:val="18"/>
                  <w:szCs w:val="18"/>
                  <w:color w:val="0000FF"/>
                  <w:w w:val="93"/>
                </w:rPr>
                <w:t>Item 1A. RISK FACTORS</w:t>
              </w:r>
            </w:hyperlink>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3"/>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3"/>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3. DEFAULTS UPON SENIOR SECURITIES</w:t>
              </w:r>
            </w:hyperlink>
          </w:p>
        </w:tc>
        <w:tc>
          <w:tcPr>
            <w:tcW w:w="35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3"/>
          </w:tcPr>
          <w:p>
            <w:pPr>
              <w:spacing w:after="0"/>
              <w:rPr>
                <w:sz w:val="18"/>
                <w:szCs w:val="18"/>
                <w:color w:val="auto"/>
              </w:rPr>
            </w:pPr>
          </w:p>
        </w:tc>
        <w:tc>
          <w:tcPr>
            <w:tcW w:w="646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3"/>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6. EXHIBITS</w:t>
              </w:r>
            </w:hyperlink>
          </w:p>
        </w:tc>
        <w:tc>
          <w:tcPr>
            <w:tcW w:w="77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SIGNATURES</w:t>
              </w:r>
            </w:hyperlink>
          </w:p>
        </w:tc>
        <w:tc>
          <w:tcPr>
            <w:tcW w:w="882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91"/>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3,668</w:t>
            </w:r>
          </w:p>
        </w:tc>
      </w:tr>
      <w:tr>
        <w:trPr>
          <w:trHeight w:val="88"/>
        </w:trPr>
        <w:tc>
          <w:tcPr>
            <w:tcW w:w="8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18,620</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14,620</w:t>
            </w:r>
          </w:p>
        </w:tc>
      </w:tr>
      <w:tr>
        <w:trPr>
          <w:trHeight w:val="88"/>
        </w:trPr>
        <w:tc>
          <w:tcPr>
            <w:tcW w:w="8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982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r>
      <w:tr>
        <w:trPr>
          <w:trHeight w:val="210"/>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4,255</w:t>
            </w: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10,506</w:t>
            </w:r>
          </w:p>
        </w:tc>
      </w:tr>
      <w:tr>
        <w:trPr>
          <w:trHeight w:val="88"/>
        </w:trPr>
        <w:tc>
          <w:tcPr>
            <w:tcW w:w="8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(194,123,869 and 194,051,436 shares outstanding, respectively)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11,190</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1"/>
              </w:rPr>
              <w:t>(unaudited)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10,169</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14,062</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Interest expense (net of capitalized interest of $5, $5, $10 and $11, respectively)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5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OUTSTANDING</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3"/>
        </w:trPr>
        <w:tc>
          <w:tcPr>
            <w:tcW w:w="5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1"/>
              </w:rPr>
              <w:t>(unaudited)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(212)</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ind w:right="602"/>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696"/>
              <w:spacing w:after="0"/>
              <w:rPr>
                <w:sz w:val="20"/>
                <w:szCs w:val="20"/>
                <w:color w:val="auto"/>
              </w:rPr>
            </w:pPr>
            <w:r>
              <w:rPr>
                <w:rFonts w:ascii="Arial" w:cs="Arial" w:eastAsia="Arial" w:hAnsi="Arial"/>
                <w:sz w:val="18"/>
                <w:szCs w:val="18"/>
                <w:color w:val="auto"/>
                <w:w w:val="95"/>
              </w:rPr>
              <w:t>(657)</w:t>
            </w:r>
          </w:p>
        </w:tc>
        <w:tc>
          <w:tcPr>
            <w:tcW w:w="1080" w:type="dxa"/>
            <w:vAlign w:val="bottom"/>
            <w:gridSpan w:val="3"/>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period activity</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center"/>
              <w:ind w:left="696"/>
              <w:spacing w:after="0"/>
              <w:rPr>
                <w:sz w:val="20"/>
                <w:szCs w:val="20"/>
                <w:color w:val="auto"/>
              </w:rPr>
            </w:pPr>
            <w:r>
              <w:rPr>
                <w:rFonts w:ascii="Arial" w:cs="Arial" w:eastAsia="Arial" w:hAnsi="Arial"/>
                <w:sz w:val="18"/>
                <w:szCs w:val="18"/>
                <w:color w:val="auto"/>
                <w:w w:val="95"/>
              </w:rPr>
              <w:t>(584)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right"/>
              <w:ind w:right="662"/>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Balance at June 30, 2020</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income/(loss) to net cash provided by operating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Goodwill impairment losses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 expense/(benefit)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8)</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142"/>
        </w:trPr>
        <w:tc>
          <w:tcPr>
            <w:tcW w:w="8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paid in connection with acquisitions, net of cash acquired</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142"/>
        </w:trPr>
        <w:tc>
          <w:tcPr>
            <w:tcW w:w="8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repayments under PAA commercial paper program (Note 6)</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the issuance of PAA senior notes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PAA senior notes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 (Note 7)</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7)</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7)</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142"/>
        </w:trPr>
        <w:tc>
          <w:tcPr>
            <w:tcW w:w="8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Effect of translation adjustment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62"/>
        </w:trPr>
        <w:tc>
          <w:tcPr>
            <w:tcW w:w="8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net of amounts capitalized</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Income taxes, net of amounts refunded</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(1,991)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460" w:type="dxa"/>
            <w:vAlign w:val="bottom"/>
          </w:tcPr>
          <w:p>
            <w:pPr>
              <w:spacing w:after="0"/>
              <w:rPr>
                <w:sz w:val="24"/>
                <w:szCs w:val="2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June 30, 2021,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of June 30, 2021, PAGP owned (i) a 100% managing member interest in Plains All American GP LLC (“GP LLC”), an entity that has also elected to be taxed as a corporation for United States federal income tax purposes and (ii) an approximate 79% limited partner interest in Plains AAP, L.P. (“AAP”) through our direct ownership of approximately 193.1 million Class A units of AAP (“AAP units”) and indirect ownership of approximately 1.0 million AAP units through GP LLC. GP LLC is a Delaware limited liability company that also holds the non-economic general partner interest in AAP. AAP is a Delaware limited partnership that, as of June 30, 2021, directly owned a limited partner interest in PAA through its ownership of approximately 245.0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NGL and natural gas. PAA’s business activities are conducted through three operating segments: Transportation, Facilities and Supply and Logistics. See Note 11 for further discussion of our operating segments.</w:t>
      </w:r>
    </w:p>
    <w:p>
      <w:pPr>
        <w:spacing w:after="0" w:line="191"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2020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2020 was derived from audited financial statements, but does not include all disclosures required by GAAP. The results of operations for the three and six months ended June 30, 2021 should not be taken as indicative of results to be expected for the entire year.</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6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With the exception of a deferred tax asset of $1.414 billion and $1.444 billion as of June 30, 2021 and December 31, 2020,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2021 or the year ended December 31, 2020. See Note 17 to our Consolidated Financial Statements included in Part IV of our 2020 Annual Report on Form 10-K for information regarding the Omnibus Agreement entered into by the Plains Entities on November 15, 2016.</w:t>
      </w:r>
    </w:p>
    <w:p>
      <w:pPr>
        <w:spacing w:after="0" w:line="2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the first quarter of 2021, we modified the useful lives of certain of our Pipelines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three and six months ended June 30, 2021, these reductions in useful lives increased depreciation expense by approximately $18 million and $36 million, respectively, which resulted in a decrease in net income attributable to PAGP of $4 million and $7 million, respectively, from what these amounts would have been absent the change in useful lives. The impact to both basic and diluted net income per Class A share was approximately $0.01 for the three months ended June 30, 2021 and approximately $0.04 for the six months ended June 30,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Except as discussed below and in our 2020 Annual Report on Form 10-K, there have been no new accounting pronouncements that have become effective or have been issued during the six months ended June 30, 2021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adopted the ASU listed below effective January 1, 2021 and our adoption did not have a material impact on our financial position, results of operations or cash flows (see Note 2 to our Consolidated Financial Statements included in Part IV of our 2020 Annual Report on Form 10-K for additional information regarding this ASU):</w:t>
      </w:r>
    </w:p>
    <w:p>
      <w:pPr>
        <w:spacing w:after="0" w:line="211" w:lineRule="exact"/>
        <w:rPr>
          <w:sz w:val="20"/>
          <w:szCs w:val="20"/>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2019-12, Income Taxes (Topic 740): Simplifying the Accounting for Income Taxes.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2020 Annual Report on Form 10-K for additional information regarding our types of revenues and policies for revenue recognition.</w:t>
      </w:r>
    </w:p>
    <w:p>
      <w:pPr>
        <w:spacing w:after="0" w:line="192" w:lineRule="exact"/>
        <w:rPr>
          <w:sz w:val="20"/>
          <w:szCs w:val="20"/>
          <w:color w:val="auto"/>
        </w:rPr>
      </w:pPr>
    </w:p>
    <w:p>
      <w:pPr>
        <w:ind w:right="980" w:firstLine="648"/>
        <w:spacing w:after="0" w:line="269"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4"/>
          </w:tcPr>
          <w:p>
            <w:pPr>
              <w:jc w:val="center"/>
              <w:ind w:left="383"/>
              <w:spacing w:after="0" w:line="145" w:lineRule="exact"/>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7"/>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left="55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1"/>
        </w:trPr>
        <w:tc>
          <w:tcPr>
            <w:tcW w:w="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780" w:type="dxa"/>
            <w:vAlign w:val="bottom"/>
            <w:gridSpan w:val="2"/>
          </w:tcPr>
          <w:p>
            <w:pPr>
              <w:jc w:val="right"/>
              <w:ind w:right="60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9,619</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10,251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7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9,904</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10,806</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4"/>
          </w:tcPr>
          <w:p>
            <w:pPr>
              <w:jc w:val="center"/>
              <w:ind w:left="403"/>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left="55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1"/>
        </w:trPr>
        <w:tc>
          <w:tcPr>
            <w:tcW w:w="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78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NGL pipelines</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Trucking</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4"/>
          </w:tcPr>
          <w:p>
            <w:pPr>
              <w:jc w:val="center"/>
              <w:ind w:left="383"/>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left="51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Crude oil, NGL and other terminalling and storage</w:t>
            </w:r>
          </w:p>
        </w:tc>
        <w:tc>
          <w:tcPr>
            <w:tcW w:w="780" w:type="dxa"/>
            <w:vAlign w:val="bottom"/>
            <w:gridSpan w:val="2"/>
          </w:tcPr>
          <w:p>
            <w:pPr>
              <w:jc w:val="right"/>
              <w:ind w:right="58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natural gas processing and fractionation</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Rail load / unload</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(as described above for each segment) to segment revenues and total revenues as disclosed in our Condensed Consolidated Statements of Operations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0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right="24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5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2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$361 million associated with crude oil sales agreements that were entered into in the fourth quarter of 2020 in conjunction with storage arrangements and inventory exchanges, which were settled in the first quarter of 2021.</w:t>
      </w:r>
    </w:p>
    <w:p>
      <w:pPr>
        <w:spacing w:after="0" w:line="28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2021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19"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2021 and December 31,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88"/>
              </w:rPr>
              <w:t>3,177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3"/>
              </w:rPr>
              <w:t>2,317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center"/>
              <w:ind w:left="516"/>
              <w:spacing w:after="0"/>
              <w:rPr>
                <w:sz w:val="20"/>
                <w:szCs w:val="20"/>
                <w:color w:val="auto"/>
              </w:rPr>
            </w:pPr>
            <w:r>
              <w:rPr>
                <w:rFonts w:ascii="Arial" w:cs="Arial" w:eastAsia="Arial" w:hAnsi="Arial"/>
                <w:sz w:val="18"/>
                <w:szCs w:val="18"/>
                <w:color w:val="auto"/>
                <w:w w:val="88"/>
              </w:rPr>
              <w:t>4,807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654"/>
              <w:spacing w:after="0"/>
              <w:rPr>
                <w:sz w:val="20"/>
                <w:szCs w:val="20"/>
                <w:color w:val="auto"/>
              </w:rPr>
            </w:pPr>
            <w:r>
              <w:rPr>
                <w:rFonts w:ascii="Arial" w:cs="Arial" w:eastAsia="Arial" w:hAnsi="Arial"/>
                <w:sz w:val="18"/>
                <w:szCs w:val="18"/>
                <w:color w:val="auto"/>
                <w:w w:val="93"/>
              </w:rPr>
              <w:t>2,818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1"/>
              </w:rPr>
              <w:t>(4,087)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(2,582)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516"/>
              <w:spacing w:after="0"/>
              <w:rPr>
                <w:sz w:val="20"/>
                <w:szCs w:val="20"/>
                <w:color w:val="auto"/>
              </w:rPr>
            </w:pPr>
            <w:r>
              <w:rPr>
                <w:rFonts w:ascii="Arial" w:cs="Arial" w:eastAsia="Arial" w:hAnsi="Arial"/>
                <w:sz w:val="18"/>
                <w:szCs w:val="18"/>
                <w:color w:val="auto"/>
                <w:w w:val="88"/>
              </w:rPr>
              <w:t>3,897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3"/>
              </w:rPr>
              <w:t>2,553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 per Class A share, both the net income/(loss) attributable to PAGP and the diluted weighted average number of Class A shares outstanding consider the impact of possible future exchanges of (i) AAP units and the associated Class B shares into our Class A shares and (ii)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2020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2020 Annual Report on Form 10-K for information regarding PAGP LTIP awards.</w:t>
      </w:r>
    </w:p>
    <w:p>
      <w:pPr>
        <w:spacing w:after="0" w:line="21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On a weighted-average basis, for the three months ended June 30, 2021 and 2020, the possible exchange of 51 million and 63 million AAP units, respectively, and for the six months ended June 30, 2021 and 2020, the possible exchange of 51 million and 64 million AAP units, respectively, would not have had a dilutive effect on basic net income/(loss) per Class A share. For each of the three and six months ended June 30, 2021 and 2020, the possible exchange of 1 million AAP Management Units would not have had a dilutive effect on basic net income/(loss) per Class A share on a weighted-average basis. For the three months ended June 30, 2021 and 2020, and for the six months ended June 30, 2020, our PAGP LTIP awards were antidilutive. For the six months ended June 30, 2021, our PAGP LTIP awards were dilutive; however, there were less than 0.1 million dilutive LTIP awards, which did not change the presentation of diluted weighted average Class A shares outstanding or diluted net income/(loss) per Class A share.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5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net income/(loss) per Class A share</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(0.35)</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15,164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56.98</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Linefill and base gas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360" w:hanging="11"/>
        <w:spacing w:after="0" w:line="277" w:lineRule="auto"/>
        <w:rPr>
          <w:sz w:val="20"/>
          <w:szCs w:val="20"/>
          <w:color w:val="auto"/>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8" w:lineRule="exact"/>
        <w:rPr>
          <w:sz w:val="20"/>
          <w:szCs w:val="20"/>
          <w:color w:val="auto"/>
        </w:rPr>
      </w:pPr>
    </w:p>
    <w:p>
      <w:pPr>
        <w:ind w:right="220" w:hanging="11"/>
        <w:spacing w:after="0" w:line="263" w:lineRule="auto"/>
        <w:rPr>
          <w:sz w:val="20"/>
          <w:szCs w:val="20"/>
          <w:color w:val="auto"/>
        </w:rPr>
      </w:pPr>
      <w:r>
        <w:rPr>
          <w:rFonts w:ascii="Arial" w:cs="Arial" w:eastAsia="Arial" w:hAnsi="Arial"/>
          <w:sz w:val="18"/>
          <w:szCs w:val="18"/>
          <w:color w:val="auto"/>
        </w:rPr>
        <w:t>As of June 30, 2021, $110 million of base gas was classified as held for sale on our Condensed Consolidated Balance Sheet (in “Other current assets”) related to the sale of our Pine Prairie and Southern Pines natural gas storage facilities, which closed on August 2, 2021. See Note 12 for additional information.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11"/>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3"/>
        </w:trPr>
        <w:tc>
          <w:tcPr>
            <w:tcW w:w="8420" w:type="dxa"/>
            <w:vAlign w:val="bottom"/>
            <w:gridSpan w:val="2"/>
          </w:tcPr>
          <w:p>
            <w:pPr>
              <w:ind w:left="20"/>
              <w:spacing w:after="0"/>
              <w:rPr>
                <w:sz w:val="20"/>
                <w:szCs w:val="20"/>
                <w:color w:val="auto"/>
              </w:rPr>
            </w:pPr>
            <w:r>
              <w:rPr>
                <w:rFonts w:ascii="Arial" w:cs="Arial" w:eastAsia="Arial" w:hAnsi="Arial"/>
                <w:sz w:val="18"/>
                <w:szCs w:val="18"/>
                <w:color w:val="auto"/>
                <w:w w:val="99"/>
              </w:rPr>
              <w:t xml:space="preserve">PAA commercial paper notes, bearing a weighted-average interest rate of 0.4% and 0.7%, respectively </w:t>
            </w:r>
            <w:r>
              <w:rPr>
                <w:rFonts w:ascii="Arial" w:cs="Arial" w:eastAsia="Arial" w:hAnsi="Arial"/>
                <w:sz w:val="23"/>
                <w:szCs w:val="23"/>
                <w:color w:val="auto"/>
                <w:w w:val="99"/>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29"/>
        </w:trPr>
        <w:tc>
          <w:tcPr>
            <w:tcW w:w="84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PAA senior secured hedged inventory facility, bearing a weighted-average interest rate of 1.2%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PAA senior notes: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3.65% senior notes due June 2022</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4"/>
              </w:rPr>
              <w:t xml:space="preserve">PAA GO Zone term loans, net of debt issuance costs of $1, bearing a weighted-average interest rate of 1.3% </w:t>
            </w:r>
            <w:r>
              <w:rPr>
                <w:rFonts w:ascii="Arial" w:cs="Arial" w:eastAsia="Arial" w:hAnsi="Arial"/>
                <w:sz w:val="23"/>
                <w:szCs w:val="23"/>
                <w:color w:val="auto"/>
                <w:w w:val="94"/>
                <w:vertAlign w:val="superscript"/>
              </w:rPr>
              <w:t>(2)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8420" w:type="dxa"/>
            <w:vAlign w:val="bottom"/>
            <w:gridSpan w:val="2"/>
          </w:tcPr>
          <w:p>
            <w:pPr>
              <w:jc w:val="center"/>
              <w:ind w:right="6420"/>
              <w:spacing w:after="0"/>
              <w:rPr>
                <w:sz w:val="20"/>
                <w:szCs w:val="20"/>
                <w:color w:val="auto"/>
              </w:rPr>
            </w:pPr>
            <w:r>
              <w:rPr>
                <w:rFonts w:ascii="Arial" w:cs="Arial" w:eastAsia="Arial" w:hAnsi="Arial"/>
                <w:sz w:val="18"/>
                <w:szCs w:val="18"/>
                <w:color w:val="auto"/>
                <w:w w:val="90"/>
              </w:rPr>
              <w:t>Total short-term debt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57"/>
        </w:trPr>
        <w:tc>
          <w:tcPr>
            <w:tcW w:w="3880" w:type="dxa"/>
            <w:vAlign w:val="bottom"/>
            <w:shd w:val="clear" w:color="auto" w:fill="CCEEFF"/>
          </w:tcPr>
          <w:p>
            <w:pPr>
              <w:spacing w:after="0"/>
              <w:rPr>
                <w:sz w:val="22"/>
                <w:szCs w:val="22"/>
                <w:color w:val="auto"/>
              </w:rPr>
            </w:pPr>
          </w:p>
        </w:tc>
        <w:tc>
          <w:tcPr>
            <w:tcW w:w="4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PAA senior notes, net of unamortized discounts and debt issuance costs of $57 and $62, respectively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w w:val="96"/>
              </w:rPr>
              <w:t>PAA GO Zone term loans, net of debt issuance costs of $1, bearing a weighted-average interest rate of 1.3%</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8420" w:type="dxa"/>
            <w:vAlign w:val="bottom"/>
            <w:tcBorders>
              <w:bottom w:val="single" w:sz="8" w:color="CCEEFF"/>
            </w:tcBorders>
            <w:gridSpan w:val="2"/>
          </w:tcPr>
          <w:p>
            <w:pPr>
              <w:jc w:val="center"/>
              <w:ind w:right="6460"/>
              <w:spacing w:after="0"/>
              <w:rPr>
                <w:sz w:val="20"/>
                <w:szCs w:val="20"/>
                <w:color w:val="auto"/>
              </w:rPr>
            </w:pPr>
            <w:r>
              <w:rPr>
                <w:rFonts w:ascii="Arial" w:cs="Arial" w:eastAsia="Arial" w:hAnsi="Arial"/>
                <w:sz w:val="18"/>
                <w:szCs w:val="18"/>
                <w:color w:val="auto"/>
                <w:w w:val="91"/>
              </w:rPr>
              <w:t>Total long-term debt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r>
      <w:tr>
        <w:trPr>
          <w:trHeight w:val="248"/>
        </w:trPr>
        <w:tc>
          <w:tcPr>
            <w:tcW w:w="8420" w:type="dxa"/>
            <w:vAlign w:val="bottom"/>
            <w:tcBorders>
              <w:bottom w:val="single" w:sz="8" w:color="CCEEFF"/>
            </w:tcBorders>
            <w:gridSpan w:val="2"/>
            <w:shd w:val="clear" w:color="auto" w:fill="CCEEFF"/>
          </w:tcPr>
          <w:p>
            <w:pPr>
              <w:jc w:val="center"/>
              <w:ind w:right="640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67"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right="40" w:hanging="11"/>
        <w:spacing w:after="0" w:line="311" w:lineRule="auto"/>
        <w:rPr>
          <w:sz w:val="20"/>
          <w:szCs w:val="20"/>
          <w:color w:val="auto"/>
        </w:rPr>
      </w:pPr>
      <w:r>
        <w:rPr>
          <w:rFonts w:ascii="Arial" w:cs="Arial" w:eastAsia="Arial" w:hAnsi="Arial"/>
          <w:sz w:val="16"/>
          <w:szCs w:val="16"/>
          <w:color w:val="auto"/>
        </w:rPr>
        <w:t>We classified these commercial paper notes as short-term as of June 30, 2021 and December 31, 2020, respectively, and these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41" w:lineRule="exact"/>
        <w:rPr>
          <w:sz w:val="20"/>
          <w:szCs w:val="20"/>
          <w:color w:val="auto"/>
        </w:rPr>
      </w:pPr>
    </w:p>
    <w:p>
      <w:pPr>
        <w:ind w:right="80" w:hanging="11"/>
        <w:spacing w:after="0" w:line="342" w:lineRule="auto"/>
        <w:rPr>
          <w:sz w:val="20"/>
          <w:szCs w:val="20"/>
          <w:color w:val="auto"/>
        </w:rPr>
      </w:pPr>
      <w:r>
        <w:rPr>
          <w:rFonts w:ascii="Arial" w:cs="Arial" w:eastAsia="Arial" w:hAnsi="Arial"/>
          <w:sz w:val="16"/>
          <w:szCs w:val="16"/>
          <w:color w:val="auto"/>
        </w:rPr>
        <w:t>The PAA GO Zone term loans were initially assumed by a subsidiary of PAA in connection with the acquisition of the Southern Pines natural gas storage facility. In connection with the sale of that facility, the loans were repaid on August 2, 2021. See Note 12 for additional information.</w:t>
      </w:r>
    </w:p>
    <w:p>
      <w:pPr>
        <w:spacing w:after="0" w:line="16" w:lineRule="exact"/>
        <w:rPr>
          <w:sz w:val="20"/>
          <w:szCs w:val="20"/>
          <w:color w:val="auto"/>
        </w:rPr>
      </w:pPr>
    </w:p>
    <w:p>
      <w:pPr>
        <w:ind w:right="60" w:hanging="11"/>
        <w:spacing w:after="0" w:line="272" w:lineRule="auto"/>
        <w:rPr>
          <w:sz w:val="20"/>
          <w:szCs w:val="20"/>
          <w:color w:val="auto"/>
        </w:rPr>
      </w:pPr>
      <w:r>
        <w:rPr>
          <w:rFonts w:ascii="Arial" w:cs="Arial" w:eastAsia="Arial" w:hAnsi="Arial"/>
          <w:sz w:val="17"/>
          <w:szCs w:val="17"/>
          <w:color w:val="auto"/>
        </w:rPr>
        <w:t>PAA’s fixed-rate senior notes had a face value of approximately $9.1 billion at both June 30, 2021 and December 31, 2020. We estimated the aggregate fair value of these notes as of June 30, 2021 and December 31, 2020 to be approximately $10.0 billion and $9.9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40"/>
          </w:cols>
          <w:pgMar w:left="320" w:top="125" w:right="37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six months ended June 30, 2021 and 2020 were approximately $26.1 billion and $12.6 billion, respectively. Total repayments under the PAA credit facilities and commercial paper program were approximately $26.4 billion and $13.0 billion for the six months ended June 30,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June 30, 2021 and December 31, 2020, we had outstanding letters of credit of $81 million and $129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194,051,436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547,717,762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Borders>
              <w:top w:val="single" w:sz="8" w:color="CCEEFF"/>
            </w:tcBorders>
            <w:gridSpan w:val="2"/>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414,608</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(229,931)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229,931</w:t>
            </w:r>
          </w:p>
        </w:tc>
        <w:tc>
          <w:tcPr>
            <w:tcW w:w="0" w:type="dxa"/>
            <w:vAlign w:val="bottom"/>
          </w:tcPr>
          <w:p>
            <w:pPr>
              <w:spacing w:after="0"/>
              <w:rPr>
                <w:sz w:val="1"/>
                <w:szCs w:val="1"/>
                <w:color w:val="auto"/>
              </w:rPr>
            </w:pPr>
          </w:p>
        </w:tc>
      </w:tr>
      <w:tr>
        <w:trPr>
          <w:trHeight w:val="176"/>
        </w:trPr>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w:t>
            </w:r>
          </w:p>
        </w:tc>
        <w:tc>
          <w:tcPr>
            <w:tcW w:w="2820" w:type="dxa"/>
            <w:vAlign w:val="bottom"/>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194,098,315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50,777,990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547,623,124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25,554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(4,940,592)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256,321</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194,123,869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50,217,427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543,473,862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3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182,138,592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65,785,702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549,538,139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Borders>
              <w:top w:val="single" w:sz="8" w:color="CCEEFF"/>
            </w:tcBorders>
            <w:gridSpan w:val="2"/>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559,768</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March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184,240,079</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63,037,384</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550,769,169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(40,679)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40,679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184,260,178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63,032,054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550,837,140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left="20" w:right="320" w:hanging="11"/>
        <w:spacing w:after="0" w:line="277" w:lineRule="auto"/>
        <w:rPr>
          <w:sz w:val="20"/>
          <w:szCs w:val="20"/>
          <w:color w:val="auto"/>
        </w:rPr>
      </w:pPr>
      <w:r>
        <w:rPr>
          <w:rFonts w:ascii="Arial" w:cs="Arial" w:eastAsia="Arial" w:hAnsi="Arial"/>
          <w:sz w:val="18"/>
          <w:szCs w:val="18"/>
          <w:color w:val="auto"/>
        </w:rPr>
        <w:t>See Note 12 to our Consolidated Financial Statements included in Part IV of our 2020 Annual Report on Form 10-K for information regarding conversions of AAP Management Units, Exchange Rights and Redemption Rights.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Trades for these units were executed in late December 2020, but settled in early January 2021.</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six months of 2021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7"/>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jc w:val="right"/>
              <w:ind w:right="637"/>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88"/>
        </w:trPr>
        <w:tc>
          <w:tcPr>
            <w:tcW w:w="5960" w:type="dxa"/>
            <w:vAlign w:val="bottom"/>
            <w:gridSpan w:val="3"/>
            <w:vMerge w:val="continue"/>
          </w:tcPr>
          <w:p>
            <w:pPr>
              <w:spacing w:after="0"/>
              <w:rPr>
                <w:sz w:val="16"/>
                <w:szCs w:val="16"/>
                <w:color w:val="auto"/>
              </w:rPr>
            </w:pPr>
          </w:p>
        </w:tc>
        <w:tc>
          <w:tcPr>
            <w:tcW w:w="2060" w:type="dxa"/>
            <w:vAlign w:val="bottom"/>
          </w:tcPr>
          <w:p>
            <w:pPr>
              <w:jc w:val="right"/>
              <w:ind w:right="77"/>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737"/>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13,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9"/>
        </w:trPr>
        <w:tc>
          <w:tcPr>
            <w:tcW w:w="5960" w:type="dxa"/>
            <w:vAlign w:val="bottom"/>
            <w:gridSpan w:val="3"/>
          </w:tcPr>
          <w:p>
            <w:pPr>
              <w:ind w:left="20"/>
              <w:spacing w:after="0"/>
              <w:rPr>
                <w:sz w:val="20"/>
                <w:szCs w:val="20"/>
                <w:color w:val="auto"/>
              </w:rPr>
            </w:pPr>
            <w:r>
              <w:rPr>
                <w:rFonts w:ascii="Arial" w:cs="Arial" w:eastAsia="Arial" w:hAnsi="Arial"/>
                <w:sz w:val="18"/>
                <w:szCs w:val="18"/>
                <w:color w:val="auto"/>
              </w:rPr>
              <w:t>May 14, 2021</w:t>
            </w:r>
          </w:p>
        </w:tc>
        <w:tc>
          <w:tcPr>
            <w:tcW w:w="2060" w:type="dxa"/>
            <w:vAlign w:val="bottom"/>
          </w:tcPr>
          <w:p>
            <w:pPr>
              <w:jc w:val="right"/>
              <w:ind w:right="187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12, 2021</w:t>
            </w:r>
          </w:p>
        </w:tc>
        <w:tc>
          <w:tcPr>
            <w:tcW w:w="2060" w:type="dxa"/>
            <w:vAlign w:val="bottom"/>
            <w:shd w:val="clear" w:color="auto" w:fill="CCEEFF"/>
          </w:tcPr>
          <w:p>
            <w:pPr>
              <w:jc w:val="right"/>
              <w:ind w:right="187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Payable to shareholders of record at the close of business on July 30, 2021 for the period from April 1, 2021 through June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June 30, 2021,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Pipeline Company LLC (“Red River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PAA repurchased 5,290,592 common units under the Common Equity Repurchase Program (the “Program”) through open market purchases that settled during the six months ended June 30, 2021. The total purchase price of these repurchases was $53 million, including commissions and fees. The repurchased common units were canceled immediately upon acquisition, as were the Class C shares held by PAA associated with the repurchased common units. At June 30, 2021, the remaining available capacity under the Program was $397 million. See Note 12 to our Consolidated Financial Statements included in Part IV of our 2020 Annual Report on Form 10-K for additional information regarding the Program.</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six months of 2021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13,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May 14,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12,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175"/>
        </w:trPr>
        <w:tc>
          <w:tcPr>
            <w:tcW w:w="388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34" w:lineRule="exact"/>
        <w:rPr>
          <w:sz w:val="20"/>
          <w:szCs w:val="20"/>
          <w:color w:val="auto"/>
        </w:rPr>
      </w:pPr>
    </w:p>
    <w:p>
      <w:pPr>
        <w:ind w:left="660" w:right="300" w:hanging="652"/>
        <w:spacing w:after="0" w:line="267"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July 30, 2021 for the period from April 1, 2021 through June 30, 2021. At June 30, 2021, such amount was accrued as distributions payable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and November. The following table details distributions paid to PAA’s Series B preferred unitholders (in millions, except per unit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17, 2021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bl>
    <w:p>
      <w:pPr>
        <w:spacing w:after="0" w:line="37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June 30, 2021, approximately $6 million of accrued distributions payable to PAA’s Series B preferred unitholders was included in “Other current liabilities” on our Condensed Consolidated Balance Sheet.</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2021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Cash Distribution</w:t>
            </w:r>
          </w:p>
        </w:tc>
      </w:tr>
      <w:tr>
        <w:trPr>
          <w:trHeight w:val="201"/>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auto"/>
              </w:rPr>
              <w:t>Public</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80" w:type="dxa"/>
            <w:vAlign w:val="bottom"/>
          </w:tcPr>
          <w:p>
            <w:pPr>
              <w:spacing w:after="0"/>
              <w:rPr>
                <w:sz w:val="17"/>
                <w:szCs w:val="17"/>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per Common Unit</w:t>
            </w:r>
          </w:p>
        </w:tc>
      </w:tr>
      <w:tr>
        <w:trPr>
          <w:trHeight w:val="224"/>
        </w:trPr>
        <w:tc>
          <w:tcPr>
            <w:tcW w:w="440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13,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29"/>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May 14, 2021</w:t>
            </w: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40" w:type="dxa"/>
            <w:vAlign w:val="bottom"/>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680" w:type="dxa"/>
            <w:vAlign w:val="bottom"/>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12, 2021</w:t>
            </w: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162"/>
        </w:trPr>
        <w:tc>
          <w:tcPr>
            <w:tcW w:w="38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10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30, 2021 for the period from April 1, 2021 through June 30, 2021.</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six months of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18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Noncontrolling Interests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5"/>
                <w:szCs w:val="15"/>
                <w:color w:val="auto"/>
              </w:rPr>
            </w:pPr>
          </w:p>
        </w:tc>
        <w:tc>
          <w:tcPr>
            <w:tcW w:w="174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Total Cash Distribution</w:t>
            </w:r>
          </w:p>
        </w:tc>
      </w:tr>
      <w:tr>
        <w:trPr>
          <w:trHeight w:val="224"/>
        </w:trPr>
        <w:tc>
          <w:tcPr>
            <w:tcW w:w="524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13, 2021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515"/>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May 14, 2021</w:t>
            </w:r>
          </w:p>
        </w:tc>
        <w:tc>
          <w:tcPr>
            <w:tcW w:w="1700" w:type="dxa"/>
            <w:vAlign w:val="bottom"/>
          </w:tcPr>
          <w:p>
            <w:pPr>
              <w:jc w:val="right"/>
              <w:ind w:right="1515"/>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12, 2021</w:t>
            </w:r>
          </w:p>
        </w:tc>
        <w:tc>
          <w:tcPr>
            <w:tcW w:w="1700" w:type="dxa"/>
            <w:vAlign w:val="bottom"/>
            <w:shd w:val="clear" w:color="auto" w:fill="CCEEFF"/>
          </w:tcPr>
          <w:p>
            <w:pPr>
              <w:jc w:val="right"/>
              <w:ind w:right="1515"/>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175"/>
        </w:trPr>
        <w:tc>
          <w:tcPr>
            <w:tcW w:w="388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bl>
    <w:p>
      <w:pPr>
        <w:spacing w:after="0" w:line="8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30, 2021 for the period from April 1, 2021 through June 30, 2021.</w:t>
      </w:r>
    </w:p>
    <w:p>
      <w:pPr>
        <w:spacing w:after="0" w:line="33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six months ended June 30, 2021, we paid distributions of $6 million to noncontrolling interests in Red River</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80" w:firstLine="607"/>
        <w:spacing w:after="0" w:line="311" w:lineRule="auto"/>
        <w:rPr>
          <w:sz w:val="20"/>
          <w:szCs w:val="20"/>
          <w:color w:val="auto"/>
        </w:rPr>
      </w:pPr>
      <w:r>
        <w:rPr>
          <w:rFonts w:ascii="Arial" w:cs="Arial" w:eastAsia="Arial" w:hAnsi="Arial"/>
          <w:sz w:val="16"/>
          <w:szCs w:val="16"/>
          <w:color w:val="auto"/>
        </w:rPr>
        <w:t>At June 30, 2021 and December 31,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2021, net derivative positions related to these activities included:</w:t>
      </w:r>
    </w:p>
    <w:p>
      <w:pPr>
        <w:spacing w:after="0" w:line="146" w:lineRule="exact"/>
        <w:rPr>
          <w:sz w:val="20"/>
          <w:szCs w:val="20"/>
          <w:color w:val="auto"/>
        </w:rPr>
      </w:pPr>
    </w:p>
    <w:p>
      <w:pPr>
        <w:ind w:left="980" w:right="4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long position of 1.6 million barrels associated with our crude oil purchases, which was unwound ratably during July 2021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short time spread position of 8.4 million barrels, which hedges a portion of our anticipated crude oil lease gathering purchases through September 2022.</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crude oil basis spread position of 8.6 million barrels at multiple locations through December 2022.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net short position of 16.2 million barrels through December 2022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195"/>
        </w:trPr>
        <w:tc>
          <w:tcPr>
            <w:tcW w:w="678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51.9 Bcf</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(9.0)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(2.6)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(0.8)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10.3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0.7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A summary of the impact of our commodity derivatives recognized in earnings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05"/>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Layout w:type="fixed"/>
        <w:tblInd w:w="0" w:type="dxa"/>
        <w:tblCellMar>
          <w:top w:w="0" w:type="dxa"/>
          <w:left w:w="0" w:type="dxa"/>
          <w:bottom w:w="0" w:type="dxa"/>
          <w:right w:w="0" w:type="dxa"/>
        </w:tblCellMar>
      </w:tblPr>
      <w:tr>
        <w:trPr>
          <w:trHeight w:val="145"/>
        </w:trPr>
        <w:tc>
          <w:tcPr>
            <w:tcW w:w="86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36"/>
              <w:spacing w:after="0" w:line="145" w:lineRule="exact"/>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84"/>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8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10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2021 (notional 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Derivatives Employed</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7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89"/>
              </w:rPr>
              <w:t>6/14/2024</w:t>
            </w:r>
          </w:p>
        </w:tc>
        <w:tc>
          <w:tcPr>
            <w:tcW w:w="1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of June 30, 2021, there was a net loss of $223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June 30, 2021; thus, actual amounts to be reclassified will differ and could vary materially as a result of changes in market conditions.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8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center"/>
              <w:ind w:left="302"/>
              <w:spacing w:after="0"/>
              <w:rPr>
                <w:sz w:val="20"/>
                <w:szCs w:val="20"/>
                <w:color w:val="auto"/>
              </w:rPr>
            </w:pPr>
            <w:r>
              <w:rPr>
                <w:rFonts w:ascii="Arial" w:cs="Arial" w:eastAsia="Arial" w:hAnsi="Arial"/>
                <w:sz w:val="14"/>
                <w:szCs w:val="14"/>
                <w:b w:val="1"/>
                <w:bCs w:val="1"/>
                <w:color w:val="auto"/>
                <w:w w:val="93"/>
              </w:rPr>
              <w:t>Six Months Ended</w:t>
            </w:r>
          </w:p>
        </w:tc>
        <w:tc>
          <w:tcPr>
            <w:tcW w:w="400" w:type="dxa"/>
            <w:vAlign w:val="bottom"/>
          </w:tcPr>
          <w:p>
            <w:pPr>
              <w:spacing w:after="0"/>
              <w:rPr>
                <w:sz w:val="14"/>
                <w:szCs w:val="14"/>
                <w:color w:val="auto"/>
              </w:rPr>
            </w:pPr>
          </w:p>
        </w:tc>
      </w:tr>
      <w:tr>
        <w:trPr>
          <w:trHeight w:val="188"/>
        </w:trPr>
        <w:tc>
          <w:tcPr>
            <w:tcW w:w="5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32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At June 30, 2021, the net fair value of our interest rate hedges, which were included in “Other long-term assets, net” on our Condensed Consolidated Balance Sheet, totaled $75 million. At December 31, 2020, the net fair value of these hedges totaled $46 million and was included in “Other long-term assets, net.”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2021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6780" w:type="dxa"/>
            <w:vAlign w:val="bottom"/>
            <w:tcBorders>
              <w:top w:val="single" w:sz="8" w:color="CCEEFF"/>
            </w:tcBorders>
            <w:shd w:val="clear" w:color="auto" w:fill="CCEEFF"/>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 $1.23</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$1.21</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derivatives are not designated in a hedging relationship for accounting purposes. As such, changes in fair value are recognized in earnings as a component of Supply and Logistics segment revenues. For the three months ended June 30, 2021 and 2020, the amounts recognized in earnings for our currency exchange rate hedges were gains of $2 million in each respective period. For the six months ended June 30, 2021 and 2020, the amounts recognized in earnings for our currency exchange rate hedges were a gain of $3 million and a loss of $4 million, respectively.</w:t>
      </w:r>
    </w:p>
    <w:p>
      <w:pPr>
        <w:spacing w:after="0" w:line="198"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At June 30, 2021, the net fair value of these currency exchange rate hedges, which was included in “Other current assets” on our Condensed Consolidated Balance Sheet, totaled less than $1 million. At December 31, 2020, the net fair value of these currency exchange rate hedges, which was included in “Other current assets” on our Condensed Consolidated Balance Sheet, totaled $2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June 30, 2021 and 2020, we recognized a gain of $77 million and a loss of $9 million, respectively. For the six months ended June 30, 2021 and 2020, we recognized net gains of $9 million and $17 million, respectively. The fair value of the Preferred Distribution Rate Reset Option, which was included in “Other long-term liabilities and deferred credits” on our Condensed Consolidated Balance Sheets, totaled $5 million and $14 million at June 30, 2021 and December 31, 2020, respectively. See Note 12 to our Consolidated Financial Statements included in Part IV of our 2020 Annual Report on Form 10-K for additional information regarding the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0"/>
              </w:rPr>
              <w:t>Fair Value as of June 30, 2021</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ind w:left="400"/>
              <w:spacing w:after="0"/>
              <w:rPr>
                <w:sz w:val="20"/>
                <w:szCs w:val="20"/>
                <w:color w:val="auto"/>
              </w:rPr>
            </w:pPr>
            <w:r>
              <w:rPr>
                <w:rFonts w:ascii="Arial" w:cs="Arial" w:eastAsia="Arial" w:hAnsi="Arial"/>
                <w:sz w:val="14"/>
                <w:szCs w:val="14"/>
                <w:b w:val="1"/>
                <w:bCs w:val="1"/>
                <w:color w:val="auto"/>
                <w:w w:val="92"/>
              </w:rPr>
              <w:t>Fair Value as of December 31, 2020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center"/>
              <w:ind w:left="193"/>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42" w:lineRule="auto"/>
        <w:rPr>
          <w:rFonts w:ascii="Arial" w:cs="Arial" w:eastAsia="Arial" w:hAnsi="Arial"/>
          <w:sz w:val="23"/>
          <w:szCs w:val="23"/>
          <w:color w:val="auto"/>
          <w:vertAlign w:val="superscript"/>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23"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4" w:lineRule="exact"/>
        <w:rPr>
          <w:rFonts w:ascii="Arial" w:cs="Arial" w:eastAsia="Arial" w:hAnsi="Arial"/>
          <w:sz w:val="23"/>
          <w:szCs w:val="23"/>
          <w:color w:val="auto"/>
          <w:vertAlign w:val="superscript"/>
        </w:rPr>
      </w:pPr>
    </w:p>
    <w:p>
      <w:pPr>
        <w:ind w:left="660" w:right="140"/>
        <w:spacing w:after="0" w:line="301"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PAA’s partnership agreement is based on a valuation model that estimates the fair value of the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6" w:lineRule="exact"/>
              <w:rPr>
                <w:sz w:val="20"/>
                <w:szCs w:val="20"/>
                <w:color w:val="auto"/>
              </w:rPr>
            </w:pPr>
            <w:r>
              <w:rPr>
                <w:rFonts w:ascii="Arial" w:cs="Arial" w:eastAsia="Arial" w:hAnsi="Arial"/>
                <w:sz w:val="18"/>
                <w:szCs w:val="18"/>
                <w:color w:val="auto"/>
                <w:w w:val="92"/>
              </w:rPr>
              <w:t>Change in unrealized losses included in earnings relating to Level 3 derivatives</w:t>
            </w:r>
          </w:p>
        </w:tc>
        <w:tc>
          <w:tcPr>
            <w:tcW w:w="840" w:type="dxa"/>
            <w:vAlign w:val="bottom"/>
            <w:vMerge w:val="restart"/>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still held at the end of the period</w:t>
            </w:r>
          </w:p>
        </w:tc>
        <w:tc>
          <w:tcPr>
            <w:tcW w:w="84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2020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During the three and six months ended June 30, 2021 and 2020,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6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58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162"/>
        </w:trPr>
        <w:tc>
          <w:tcPr>
            <w:tcW w:w="38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34" w:lineRule="exact"/>
        <w:rPr>
          <w:sz w:val="20"/>
          <w:szCs w:val="20"/>
          <w:color w:val="auto"/>
        </w:rPr>
      </w:pPr>
    </w:p>
    <w:p>
      <w:pPr>
        <w:ind w:left="660" w:right="80" w:hanging="652"/>
        <w:spacing w:after="0" w:line="227"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8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38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176"/>
        </w:trPr>
        <w:tc>
          <w:tcPr>
            <w:tcW w:w="3880" w:type="dxa"/>
            <w:vAlign w:val="bottom"/>
            <w:tcBorders>
              <w:bottom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175" w:lineRule="exact"/>
        <w:rPr>
          <w:sz w:val="20"/>
          <w:szCs w:val="20"/>
          <w:color w:val="auto"/>
        </w:rPr>
      </w:pPr>
    </w:p>
    <w:p>
      <w:pPr>
        <w:ind w:left="660" w:right="80" w:hanging="652"/>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At June 30, 2021, our estimated undiscounted reserve for environmental liabilities (including liabilities related to the Line 901 incident, as discussed further below) totaled $159 million, of which $112 million was classified as short-term and $47 million was classified as long-term. At December 31, 2020, our estimated undiscounted reserve for environmental liabilities (including liabilities related to the Line 901 incident) totaled $141 million, of which $94 million was classified as short-term and $47 million was classified as long-term. Such short-term liabilities are reflected in “Trade accounts payable” and “Other current liabilities” and long-term liabilities are reflected in “Other long-term liabilities and deferred credits” on our Condensed Consolidated Balance Sheets. At June 30, 2021, we had recorded receivables totaling $114 million for amounts probable of recovery under insurance and from third parties under indemnification agreements, of which $113 million was classified as short-term and $1 million was classified as long-term. At December 31, 2020, we had recorded $97 million of such receivables, of which $96 million was classified as short-term and $1 million was classified as long-term. Such short- and long-term receivables are reflected in “Trade accounts receivable and other receivables, net” and “Other long-term assets, net,” respectively, on our Condensed Consolidated Balance Sheets.</w:t>
      </w:r>
    </w:p>
    <w:p>
      <w:pPr>
        <w:spacing w:after="0" w:line="18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only pending matter relating to these proceedings is that the Superior Court indicated that it would conduct further hearings in 2021 on the issue of whether there were any “direct victims” of the spill that are entitled to restitution under applicable law. The Superior Court is currently in the process of conducting such hearings pursuant to a schedule that provides for various potential “direct victims” to present their claims to the Court on designated dates over the course of a several month period.</w:t>
      </w:r>
    </w:p>
    <w:p>
      <w:pPr>
        <w:spacing w:after="0" w:line="20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indefinitely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PAA against PAGP and certain of PAA’s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continue to vigorously defend against the claim. No trial date has been set in this action.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June 30, 2021, we estimate that the aggregate total costs we have incurred or will incur with respect to the Line 901 incident will be approximately $485 million, which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June 30, 2021, we had a remaining undiscounted gross liability of $104 million related to this event, which is reflected in “Trade accounts payable” and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2021, we had collected, subject to customary reservations, $250 million out of the approximate $360 million of release costs that we believe are probable of recovery from insurance carriers, net of deductibles. Therefore, as of June 30, 2021, we have recognized a receivable of approximately $110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2020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line="276" w:lineRule="auto"/>
        <w:tabs>
          <w:tab w:leader="none" w:pos="64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Transportation revenues from External customers include tariff revenue from transporting volumes associated with certain inventory exchanges with our customers where our Supply and Logistics segment has transacted the inventory exchange and serves as the shipper on our pipeline systems. See Note 3 to our Consolidated Financial Statements included in Part IV of our 2020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right="160" w:hanging="652"/>
        <w:spacing w:after="0" w:line="269"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PAGP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6"/>
        </w:trPr>
        <w:tc>
          <w:tcPr>
            <w:tcW w:w="58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5"/>
              </w:rPr>
              <w:t>(163)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62"/>
        </w:trPr>
        <w:tc>
          <w:tcPr>
            <w:tcW w:w="3880" w:type="dxa"/>
            <w:vAlign w:val="bottom"/>
          </w:tcPr>
          <w:p>
            <w:pPr>
              <w:ind w:left="360"/>
              <w:spacing w:after="0"/>
              <w:rPr>
                <w:sz w:val="20"/>
                <w:szCs w:val="20"/>
                <w:color w:val="auto"/>
              </w:rPr>
            </w:pPr>
            <w:r>
              <w:rPr>
                <w:rFonts w:ascii="Arial" w:cs="Arial" w:eastAsia="Arial" w:hAnsi="Arial"/>
                <w:sz w:val="12"/>
                <w:szCs w:val="12"/>
                <w:color w:val="auto"/>
              </w:rPr>
              <w:t>(3)</w:t>
            </w: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(369)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53"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2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2020 Annual Report on Form 10-K for a discussion regarding our equity-indexed compensation plans.</w:t>
      </w:r>
    </w:p>
    <w:p>
      <w:pPr>
        <w:spacing w:after="0" w:line="87" w:lineRule="exact"/>
        <w:rPr>
          <w:sz w:val="20"/>
          <w:szCs w:val="20"/>
          <w:color w:val="auto"/>
        </w:rPr>
      </w:pPr>
    </w:p>
    <w:p>
      <w:pPr>
        <w:ind w:hanging="11"/>
        <w:spacing w:after="0" w:line="279" w:lineRule="auto"/>
        <w:rPr>
          <w:sz w:val="20"/>
          <w:szCs w:val="20"/>
          <w:color w:val="auto"/>
        </w:rPr>
      </w:pPr>
      <w:r>
        <w:rPr>
          <w:rFonts w:ascii="Arial" w:cs="Arial" w:eastAsia="Arial" w:hAnsi="Arial"/>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 See Note 8 for discussion regarding our currency exchange rate risk hedging activities.</w:t>
      </w:r>
    </w:p>
    <w:p>
      <w:pPr>
        <w:spacing w:after="0" w:line="63" w:lineRule="exact"/>
        <w:rPr>
          <w:sz w:val="20"/>
          <w:szCs w:val="20"/>
          <w:color w:val="auto"/>
        </w:rPr>
      </w:pPr>
    </w:p>
    <w:p>
      <w:pPr>
        <w:ind w:right="160" w:hanging="11"/>
        <w:spacing w:after="0" w:line="286" w:lineRule="auto"/>
        <w:rPr>
          <w:sz w:val="20"/>
          <w:szCs w:val="20"/>
          <w:color w:val="auto"/>
        </w:rPr>
      </w:pPr>
      <w:r>
        <w:rPr>
          <w:rFonts w:ascii="Arial" w:cs="Arial" w:eastAsia="Arial" w:hAnsi="Arial"/>
          <w:sz w:val="17"/>
          <w:szCs w:val="17"/>
          <w:color w:val="auto"/>
        </w:rPr>
        <w:t>Includes expenses associated with the Permian Basin joint venture transaction announced in July 2021 and the acquisition of Felix Midstream LLC in 2020. See Note 12 for further discussion of the joint venture transaction and Note 7 to our Consolidated Financial Statements included in Part IV of our 2020 Annual Report on Form 10-K for additional discussion of the Felix Midstream LLC acquisition.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12—Acquisitions, Divestitures and Other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Exchange</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2021, we closed on an asset exchange agreement (the “Asset Exchange”) with Inter Pipeline Ltd., through which we acquired additional interests in two straddle plants included in our Facilities segment that we currently operate, in exchange for a pipeline and related storage and truck offload facilities previously included in our Transportation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Condensed Consolidated Statement of Operations, based on the difference between the fair value of the divested assets and their carrying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5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June 2021, we signed a definitive agreement to sell our Pine Prairie and Southern Pines natural gas storage facilities included in our Facilities segment for $850 million, subject to certain adjustments. As of June 30, 2021, we classified the assets related to this transaction (primarily “Property and equipment”), valued at the lower of the carrying amount or fair value less costs to sell, of approximately $832 million as assets held for sale on our Condensed Consolidated Balance Sheet (in “Other current assets”) with approximately $18 million of deferred losses on hedges remaining in other comprehensive income on our Condensed Consolidated Balance Sheet (in “Total partners’ capital”). This transaction closed on August 2, 2021.</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this classification to assets held for sale, we recognized a corresponding non-cash impairment loss of approximately $475 million during the second quarter of 2021. This impairment loss is reflected in “(Gains)/losses on asset sales and asset impairments, net” on our Condensed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Transaction</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2021, we entered into a definitive agreement with Oryx Midstream Holdings LLC (“Oryx Midstream”) pursuant to which we and Oryx Midstream intend to merge, in a cashless, debt-free transaction, our respective Permian Basin assets, operations and commercial activities into a newly formed joint venture, Plains Oryx Permian Basin LLC (“Plains Oryx Permian Basin”). The transaction will include all of Oryx’s Permian Basin assets and, with the exception of our long-haul pipeline systems and certain of our intra-basin terminal assets, the vast majority of our assets located within the Permian Basin. We will own 65% of Plains Oryx Permian Basin, operate the combined assets, and consolidate the financial results of the joint venture into our financial statements. Subject to satisfaction of customary and other closing conditions and receipt of regulatory approvals, the transactions contemplated by the merger agreement are expected to close in the fourth quarter of 2021.</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2020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 purposes. As of June 30, 2021, our sole cash-generating assets consisted of (i) a 100% managing member interest in Plains All American GP LLC (“GP LLC”) that has also elected to be taxed as a corporation for United States federal income tax purposes and (ii) an approximate 79% limited partner interest in AAP through our direct ownership of approximately 193.1 million AAP units and indirect ownership of approximately 1.0 million AAP units through GP LLC. GP LLC is a Delaware limited liability company that also holds the non-economic general partner interest in AAP. AAP is a Delaware limited partnership that, as of June 30, 2021, directly owned a limited partner interest in PAA through its ownership of approximately 245.0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6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NGL and natural gas. PAA’s business activities are conducted through three operating segments: Transportation, Facilities and Supply and Logistics. See “—Results of Operations—Analysis of Operating Segments”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first six months of 2021, we recognized net income of $181 million as compared to a net loss of $2.556 billion recognized during the first six months of 2020.</w:t>
      </w:r>
    </w:p>
    <w:p>
      <w:pPr>
        <w:spacing w:after="0" w:line="19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net loss for the 2020 period was primarily driven by goodwill impairment losses and non-cash impairment charges related to the write-down of certain pipeline and other long-lived assets, certain of our investments in unconsolidated entities, and assets upon classification as held for sale totaling approximately $3.24 billion. In addition, we recognized approximately $232 million of inventory valuation adjustments due to declines in commodity prices during the first quarter of 2020. The comparable six month 2021 period includes a net loss on asset sales and asset impairments of $370 million.</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Results from our reporting segments during the first six months of 2021 decreased from the comparable 2020 period driven primarily by the impact of less favorable crude oil market conditions combined with lower realized NGL margins in our Supply and Logistics segment. In addition, our Facilities segment was unfavorably impacted by reduced NGL capacity utilization and market rates as well as the impact of asset sales. These unfavorable results were partially offset by favorable Transportation segment results that benefited from the collection of deficiency payments associated with minimum volume commitments and lower operating costs.</w:t>
      </w:r>
    </w:p>
    <w:p>
      <w:pPr>
        <w:spacing w:after="0" w:line="21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invested $142 million in midstream infrastructure projects during the six months ended June 30, 2021, which primarily related to projects under development in the Permian Basin.</w:t>
      </w:r>
    </w:p>
    <w:p>
      <w:pPr>
        <w:spacing w:after="0" w:line="19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paid cash distributions of approximately $365 million to our Class A shareholders and noncontrolling interests during the six months ended June 30, 2021.</w:t>
      </w:r>
    </w:p>
    <w:p>
      <w:pPr>
        <w:spacing w:after="0" w:line="19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PAA repurchased 5,290,592 common units for $53 million during the six months ended June 30, 2021, including $3 million associated with repurchases executed in December 2020 that settled in January 2021. See “—Liquidity and Capital Resources—Financing Activities—Common Equity Repurchase Program”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25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July 2021, we entered into a definitive agreement with Oryx Midstream pursuant to which we and Oryx Midstream intend to merge our respective Permian Basin assets, operations and commercial activities into a newly formed strategic joint venture, Plains Oryx Permian Basin. The transaction will include all of Oryx’s Permian Basin assets and, with the exception of our long-haul pipeline systems and certain of our intra-basin terminal assets, the vast majority of our assets located within the Permian Basin. We will own 65% of Plains Oryx Permian Basin, operate the combined assets, and consolidate the financial results of the joint venture into our financial statements. Structured as a debt-free joint venture entity through a cashless transaction, this aligns with our financial and portfolio optimization strategies, is near-term free cash flow accretive, and reinforces our ability to maximize free cash flow for our investors, while enhancing our overall credit profile. Subject to satisfaction of customary and other closing conditions and receipt of regulatory approvals, the transactions contemplated by the merger agreement are expected to close in the fourth quarter of 2021.</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August 2, 2021, we completed the sale of our Pine Prairie and Southern Pines natural gas storage facilities for $850 million, subject to certain adjustments. See Note 12 to our Condensed Consolidated Financial Statements for additional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w w:val="93"/>
              </w:rPr>
              <w:t xml:space="preserve">Transportation Segment Adjusted EBITDA </w:t>
            </w:r>
            <w:r>
              <w:rPr>
                <w:rFonts w:ascii="Arial" w:cs="Arial" w:eastAsia="Arial" w:hAnsi="Arial"/>
                <w:sz w:val="23"/>
                <w:szCs w:val="23"/>
                <w:color w:val="auto"/>
                <w:w w:val="93"/>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Adjusted</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(325)%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line="17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Unallocated general and administrative</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74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entities, net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Basic and diluted net income/(loss)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(489)%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share</w:t>
            </w:r>
          </w:p>
        </w:tc>
        <w:tc>
          <w:tcPr>
            <w:tcW w:w="16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w w:val="96"/>
              </w:rPr>
              <w:t>Basic and diluted weighted average Class A</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60" w:right="280" w:hanging="652"/>
        <w:spacing w:after="0" w:line="269" w:lineRule="auto"/>
        <w:tabs>
          <w:tab w:leader="none" w:pos="64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primary additional measure used by management is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Income/(Loss), the most directly comparable measure as reported in accordance with GAAP, and should be viewed in addition to, and not in lieu of, our Condensed Consolidated Financial Statements and accompanying notes.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w:t>
      </w:r>
    </w:p>
    <w:p>
      <w:pPr>
        <w:spacing w:after="0" w:line="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This measure may further be adjusted to include</w:t>
      </w:r>
    </w:p>
    <w:p>
      <w:pPr>
        <w:spacing w:after="0" w:line="32"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 Adjusted EBITDA from Net Income/(Loss)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
        </w:trPr>
        <w:tc>
          <w:tcPr>
            <w:tcW w:w="3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75"/>
        </w:trPr>
        <w:tc>
          <w:tcPr>
            <w:tcW w:w="3460" w:type="dxa"/>
            <w:vAlign w:val="bottom"/>
          </w:tcPr>
          <w:p>
            <w:pPr>
              <w:ind w:left="18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impairments, net</w:t>
            </w:r>
          </w:p>
        </w:tc>
        <w:tc>
          <w:tcPr>
            <w:tcW w:w="1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76"/>
        </w:trPr>
        <w:tc>
          <w:tcPr>
            <w:tcW w:w="3460" w:type="dxa"/>
            <w:vAlign w:val="bottom"/>
          </w:tcPr>
          <w:p>
            <w:pPr>
              <w:ind w:left="18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unconsolidated entities, net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(Gains)/losses from derivative activities</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inventory valuation adjustments</w:t>
            </w: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w w:val="95"/>
              </w:rPr>
              <w:t>Long-term inventory costing adjustments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commitments, net</w:t>
            </w: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w w:val="99"/>
              </w:rPr>
              <w:t>Equity-indexed compensation expense</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Net gain on foreign currency revaluation</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w w:val="96"/>
              </w:rPr>
              <w:t>Significant transaction-related expenses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9"/>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line="230" w:lineRule="exact"/>
              <w:rPr>
                <w:sz w:val="20"/>
                <w:szCs w:val="20"/>
                <w:color w:val="auto"/>
              </w:rPr>
            </w:pPr>
            <w:r>
              <w:rPr>
                <w:rFonts w:ascii="Arial" w:cs="Arial" w:eastAsia="Arial" w:hAnsi="Arial"/>
                <w:sz w:val="18"/>
                <w:szCs w:val="18"/>
                <w:color w:val="auto"/>
                <w:w w:val="91"/>
              </w:rPr>
              <w:t xml:space="preserve">(Gains)/losses from derivative activities </w:t>
            </w:r>
            <w:r>
              <w:rPr>
                <w:rFonts w:ascii="Arial" w:cs="Arial" w:eastAsia="Arial" w:hAnsi="Arial"/>
                <w:sz w:val="23"/>
                <w:szCs w:val="23"/>
                <w:color w:val="auto"/>
                <w:w w:val="91"/>
                <w:vertAlign w:val="superscript"/>
              </w:rPr>
              <w:t>(3)</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2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360"/>
              <w:spacing w:after="0" w:line="176" w:lineRule="exact"/>
              <w:rPr>
                <w:sz w:val="20"/>
                <w:szCs w:val="20"/>
                <w:color w:val="auto"/>
              </w:rPr>
            </w:pPr>
            <w:r>
              <w:rPr>
                <w:rFonts w:ascii="Arial" w:cs="Arial" w:eastAsia="Arial" w:hAnsi="Arial"/>
                <w:sz w:val="18"/>
                <w:szCs w:val="18"/>
                <w:color w:val="auto"/>
              </w:rPr>
              <w:t>Net gain on early repayment of senior</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520"/>
              <w:spacing w:after="0" w:line="23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3"/>
                <w:szCs w:val="23"/>
                <w:color w:val="auto"/>
                <w:vertAlign w:val="superscript"/>
              </w:rPr>
              <w:t>(5)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9"/>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0"/>
        </w:trPr>
        <w:tc>
          <w:tcPr>
            <w:tcW w:w="3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93" w:lineRule="exact"/>
        <w:rPr>
          <w:rFonts w:ascii="Arial" w:cs="Arial" w:eastAsia="Arial" w:hAnsi="Arial"/>
          <w:sz w:val="23"/>
          <w:szCs w:val="23"/>
          <w:color w:val="auto"/>
          <w:vertAlign w:val="superscript"/>
        </w:rPr>
      </w:pPr>
    </w:p>
    <w:p>
      <w:pPr>
        <w:ind w:left="660" w:right="20" w:hanging="652"/>
        <w:spacing w:after="0" w:line="227"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right="80" w:hanging="11"/>
        <w:spacing w:after="0" w:line="259" w:lineRule="auto"/>
        <w:rPr>
          <w:sz w:val="20"/>
          <w:szCs w:val="20"/>
          <w:color w:val="auto"/>
        </w:rPr>
      </w:pPr>
      <w:r>
        <w:rPr>
          <w:rFonts w:ascii="Arial" w:cs="Arial" w:eastAsia="Arial" w:hAnsi="Arial"/>
          <w:sz w:val="18"/>
          <w:szCs w:val="18"/>
          <w:color w:val="auto"/>
        </w:rPr>
        <w:t>The Preferred Distribution Rate Reset Option of PAA’s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9" w:lineRule="exact"/>
        <w:rPr>
          <w:sz w:val="20"/>
          <w:szCs w:val="20"/>
          <w:color w:val="auto"/>
        </w:rPr>
      </w:pPr>
    </w:p>
    <w:p>
      <w:pPr>
        <w:ind w:left="20" w:right="260" w:hanging="11"/>
        <w:spacing w:after="0" w:line="259" w:lineRule="auto"/>
        <w:rPr>
          <w:sz w:val="20"/>
          <w:szCs w:val="20"/>
          <w:color w:val="auto"/>
        </w:rPr>
      </w:pPr>
      <w:r>
        <w:rPr>
          <w:rFonts w:ascii="Arial" w:cs="Arial" w:eastAsia="Arial" w:hAnsi="Arial"/>
          <w:sz w:val="18"/>
          <w:szCs w:val="18"/>
          <w:color w:val="auto"/>
        </w:rPr>
        <w:t>During the periods presented, there were fluctuations in the value of the Canadian dollar (“CAD”) to the U.S. dollar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w:t>
      </w:r>
    </w:p>
    <w:p>
      <w:pPr>
        <w:spacing w:after="0" w:line="117" w:lineRule="exact"/>
        <w:rPr>
          <w:sz w:val="20"/>
          <w:szCs w:val="20"/>
          <w:color w:val="auto"/>
        </w:rPr>
      </w:pPr>
    </w:p>
    <w:p>
      <w:pPr>
        <w:ind w:left="20" w:right="46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24"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1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(including write-downs related to cancelled projects)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11 to our Condensed Consolidated Financial Statements for a reconciliation of Segment Adjusted EBITDA to Net income/(loss) attributable to PAGP.</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6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1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5"/>
          </w:tcPr>
          <w:p>
            <w:pPr>
              <w:jc w:val="center"/>
              <w:ind w:left="18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Pr>
          <w:p>
            <w:pPr>
              <w:spacing w:after="0"/>
              <w:rPr>
                <w:sz w:val="15"/>
                <w:szCs w:val="15"/>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76"/>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60" w:type="dxa"/>
            <w:vAlign w:val="bottom"/>
          </w:tcPr>
          <w:p>
            <w:pPr>
              <w:spacing w:after="0"/>
              <w:rPr>
                <w:sz w:val="15"/>
                <w:szCs w:val="15"/>
                <w:color w:val="auto"/>
              </w:rPr>
            </w:pP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2"/>
        </w:trPr>
        <w:tc>
          <w:tcPr>
            <w:tcW w:w="3420" w:type="dxa"/>
            <w:vAlign w:val="bottom"/>
          </w:tcPr>
          <w:p>
            <w:pPr>
              <w:ind w:left="18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4"/>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347 %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0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4"/>
            <w:shd w:val="clear" w:color="auto" w:fill="CCEEFF"/>
          </w:tcPr>
          <w:p>
            <w:pPr>
              <w:ind w:left="140"/>
              <w:spacing w:after="0" w:line="176" w:lineRule="exact"/>
              <w:rPr>
                <w:sz w:val="20"/>
                <w:szCs w:val="20"/>
                <w:color w:val="auto"/>
              </w:rPr>
            </w:pPr>
            <w:r>
              <w:rPr>
                <w:rFonts w:ascii="Arial" w:cs="Arial" w:eastAsia="Arial" w:hAnsi="Arial"/>
                <w:sz w:val="18"/>
                <w:szCs w:val="18"/>
                <w:color w:val="auto"/>
              </w:rPr>
              <w:t>Losses from derivative activities and</w:t>
            </w:r>
          </w:p>
        </w:tc>
        <w:tc>
          <w:tcPr>
            <w:tcW w:w="160" w:type="dxa"/>
            <w:vAlign w:val="bottom"/>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inventory valuation adjustments</w:t>
            </w:r>
          </w:p>
        </w:tc>
        <w:tc>
          <w:tcPr>
            <w:tcW w:w="160" w:type="dxa"/>
            <w:vAlign w:val="bottom"/>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4"/>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0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4"/>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24"/>
                <w:szCs w:val="24"/>
                <w:color w:val="auto"/>
              </w:rPr>
            </w:pPr>
          </w:p>
        </w:tc>
        <w:tc>
          <w:tcPr>
            <w:tcW w:w="16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114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5"/>
          </w:tcPr>
          <w:p>
            <w:pPr>
              <w:jc w:val="center"/>
              <w:ind w:left="14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2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tcPr>
          <w:p>
            <w:pPr>
              <w:ind w:left="140"/>
              <w:spacing w:after="0"/>
              <w:rPr>
                <w:sz w:val="20"/>
                <w:szCs w:val="20"/>
                <w:color w:val="auto"/>
              </w:rPr>
            </w:pPr>
            <w:r>
              <w:rPr>
                <w:rFonts w:ascii="Arial" w:cs="Arial" w:eastAsia="Arial" w:hAnsi="Arial"/>
                <w:sz w:val="18"/>
                <w:szCs w:val="18"/>
                <w:color w:val="auto"/>
              </w:rPr>
              <w:t>Crude oil pipelines (by region):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40" w:type="dxa"/>
            <w:vAlign w:val="bottom"/>
            <w:gridSpan w:val="4"/>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160" w:type="dxa"/>
            <w:vAlign w:val="bottom"/>
          </w:tcPr>
          <w:p>
            <w:pPr>
              <w:spacing w:after="0"/>
              <w:rPr>
                <w:sz w:val="19"/>
                <w:szCs w:val="1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240"/>
              <w:spacing w:after="0"/>
              <w:rPr>
                <w:sz w:val="20"/>
                <w:szCs w:val="20"/>
                <w:color w:val="auto"/>
              </w:rPr>
            </w:pPr>
            <w:r>
              <w:rPr>
                <w:rFonts w:ascii="Arial" w:cs="Arial" w:eastAsia="Arial" w:hAnsi="Arial"/>
                <w:sz w:val="18"/>
                <w:szCs w:val="18"/>
                <w:color w:val="auto"/>
              </w:rPr>
              <w:t>Gulf Coast</w:t>
            </w:r>
          </w:p>
        </w:tc>
        <w:tc>
          <w:tcPr>
            <w:tcW w:w="160" w:type="dxa"/>
            <w:vAlign w:val="bottom"/>
          </w:tcPr>
          <w:p>
            <w:pPr>
              <w:spacing w:after="0"/>
              <w:rPr>
                <w:sz w:val="19"/>
                <w:szCs w:val="1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240"/>
              <w:spacing w:after="0"/>
              <w:rPr>
                <w:sz w:val="20"/>
                <w:szCs w:val="20"/>
                <w:color w:val="auto"/>
              </w:rPr>
            </w:pPr>
            <w:r>
              <w:rPr>
                <w:rFonts w:ascii="Arial" w:cs="Arial" w:eastAsia="Arial" w:hAnsi="Arial"/>
                <w:sz w:val="18"/>
                <w:szCs w:val="18"/>
                <w:color w:val="auto"/>
              </w:rPr>
              <w:t>Western</w:t>
            </w:r>
          </w:p>
        </w:tc>
        <w:tc>
          <w:tcPr>
            <w:tcW w:w="160" w:type="dxa"/>
            <w:vAlign w:val="bottom"/>
          </w:tcPr>
          <w:p>
            <w:pPr>
              <w:spacing w:after="0"/>
              <w:rPr>
                <w:sz w:val="19"/>
                <w:szCs w:val="1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3520" w:type="dxa"/>
            <w:vAlign w:val="bottom"/>
            <w:gridSpan w:val="3"/>
          </w:tcPr>
          <w:p>
            <w:pPr>
              <w:ind w:left="140"/>
              <w:spacing w:after="0"/>
              <w:rPr>
                <w:sz w:val="20"/>
                <w:szCs w:val="20"/>
                <w:color w:val="auto"/>
              </w:rPr>
            </w:pPr>
            <w:r>
              <w:rPr>
                <w:rFonts w:ascii="Arial" w:cs="Arial" w:eastAsia="Arial" w:hAnsi="Arial"/>
                <w:sz w:val="18"/>
                <w:szCs w:val="18"/>
                <w:color w:val="auto"/>
              </w:rPr>
              <w:t>Crude oil pipelines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5,656</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NGL pipelines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Tariff activities total volumes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Trucking volumes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Transportation segment total volumes</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6,248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5,914</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2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540"/>
          </w:cols>
          <w:pgMar w:left="320" w:top="125" w:right="399" w:bottom="1440" w:gutter="0" w:footer="0" w:header="0"/>
          <w:type w:val="continuous"/>
        </w:sectPr>
      </w:pPr>
    </w:p>
    <w:p>
      <w:pPr>
        <w:spacing w:after="0" w:line="52" w:lineRule="exact"/>
        <w:rPr>
          <w:sz w:val="20"/>
          <w:szCs w:val="20"/>
          <w:color w:val="auto"/>
        </w:rPr>
      </w:pPr>
    </w:p>
    <w:p>
      <w:pPr>
        <w:ind w:right="38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4"/>
              </w:rPr>
              <w:t>Favorable/(Unfavorable) Variance</w:t>
            </w:r>
          </w:p>
        </w:tc>
        <w:tc>
          <w:tcPr>
            <w:tcW w:w="140" w:type="dxa"/>
            <w:vAlign w:val="bottom"/>
          </w:tcPr>
          <w:p>
            <w:pPr>
              <w:spacing w:after="0"/>
              <w:rPr>
                <w:sz w:val="14"/>
                <w:szCs w:val="14"/>
                <w:color w:val="auto"/>
              </w:rPr>
            </w:pPr>
          </w:p>
        </w:tc>
        <w:tc>
          <w:tcPr>
            <w:tcW w:w="286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20" w:type="dxa"/>
            <w:vAlign w:val="bottom"/>
            <w:gridSpan w:val="9"/>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1"/>
                <w:szCs w:val="11"/>
                <w:color w:val="auto"/>
              </w:rPr>
            </w:pPr>
          </w:p>
        </w:tc>
        <w:tc>
          <w:tcPr>
            <w:tcW w:w="2860" w:type="dxa"/>
            <w:vAlign w:val="bottom"/>
            <w:gridSpan w:val="7"/>
          </w:tcPr>
          <w:p>
            <w:pPr>
              <w:jc w:val="center"/>
              <w:ind w:right="54"/>
              <w:spacing w:after="0" w:line="135" w:lineRule="exact"/>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2021-2020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2021-2020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80"/>
              <w:spacing w:after="0" w:line="130" w:lineRule="exact"/>
              <w:rPr>
                <w:sz w:val="20"/>
                <w:szCs w:val="20"/>
                <w:color w:val="auto"/>
              </w:rPr>
            </w:pPr>
            <w:r>
              <w:rPr>
                <w:rFonts w:ascii="Arial" w:cs="Arial" w:eastAsia="Arial" w:hAnsi="Arial"/>
                <w:sz w:val="14"/>
                <w:szCs w:val="14"/>
                <w:b w:val="1"/>
                <w:bCs w:val="1"/>
                <w:color w:val="auto"/>
                <w:w w:val="90"/>
              </w:rPr>
              <w:t>Purchases and</w:t>
            </w:r>
          </w:p>
        </w:tc>
        <w:tc>
          <w:tcPr>
            <w:tcW w:w="160" w:type="dxa"/>
            <w:vAlign w:val="bottom"/>
          </w:tcPr>
          <w:p>
            <w:pPr>
              <w:spacing w:after="0"/>
              <w:rPr>
                <w:sz w:val="11"/>
                <w:szCs w:val="11"/>
                <w:color w:val="auto"/>
              </w:rPr>
            </w:pPr>
          </w:p>
        </w:tc>
        <w:tc>
          <w:tcPr>
            <w:tcW w:w="78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Purchases and</w:t>
            </w:r>
          </w:p>
        </w:tc>
        <w:tc>
          <w:tcPr>
            <w:tcW w:w="140" w:type="dxa"/>
            <w:vAlign w:val="bottom"/>
          </w:tcPr>
          <w:p>
            <w:pPr>
              <w:spacing w:after="0"/>
              <w:rPr>
                <w:sz w:val="11"/>
                <w:szCs w:val="11"/>
                <w:color w:val="auto"/>
              </w:rPr>
            </w:pPr>
          </w:p>
        </w:tc>
        <w:tc>
          <w:tcPr>
            <w:tcW w:w="800" w:type="dxa"/>
            <w:vAlign w:val="bottom"/>
          </w:tcPr>
          <w:p>
            <w:pPr>
              <w:jc w:val="right"/>
              <w:ind w:right="174"/>
              <w:spacing w:after="0" w:line="130"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3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6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40" w:type="dxa"/>
            <w:vAlign w:val="bottom"/>
          </w:tcPr>
          <w:p>
            <w:pPr>
              <w:spacing w:after="0"/>
              <w:rPr>
                <w:sz w:val="16"/>
                <w:szCs w:val="16"/>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93"/>
              </w:rPr>
              <w:t>(16)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regions, NGL pipelines, trucking and</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pipeline loss allowance revenue</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332"/>
              <w:spacing w:after="0"/>
              <w:rPr>
                <w:sz w:val="20"/>
                <w:szCs w:val="20"/>
                <w:color w:val="auto"/>
              </w:rPr>
            </w:pPr>
            <w:r>
              <w:rPr>
                <w:rFonts w:ascii="Arial" w:cs="Arial" w:eastAsia="Arial" w:hAnsi="Arial"/>
                <w:sz w:val="18"/>
                <w:szCs w:val="18"/>
                <w:color w:val="auto"/>
                <w:w w:val="93"/>
              </w:rPr>
              <w:t>(16)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80" w:hanging="324"/>
        <w:spacing w:after="0" w:line="269" w:lineRule="auto"/>
        <w:tabs>
          <w:tab w:leader="none" w:pos="975"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Revenues, net of purchases and related costs, (“net revenues”) increased by $44 million and $14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six months ended June 30, 2021, respectively, compared to the same periods in 2020 primarily due to the recognition of revenue associated with minimum volume commitments. The recognition of previously deferred revenue associated with minimum volume commitments is reflected as an “Adjustment” in the table above as discussed further below under “—</w:t>
      </w:r>
      <w:r>
        <w:rPr>
          <w:rFonts w:ascii="Arial" w:cs="Arial" w:eastAsia="Arial" w:hAnsi="Arial"/>
          <w:sz w:val="17"/>
          <w:szCs w:val="17"/>
          <w:i w:val="1"/>
          <w:iCs w:val="1"/>
          <w:color w:val="auto"/>
        </w:rPr>
        <w:t>Adjustments: Deficiencies under</w:t>
      </w:r>
      <w:r>
        <w:rPr>
          <w:rFonts w:ascii="Arial" w:cs="Arial" w:eastAsia="Arial" w:hAnsi="Arial"/>
          <w:sz w:val="17"/>
          <w:szCs w:val="17"/>
          <w:color w:val="auto"/>
        </w:rPr>
        <w:t xml:space="preserve"> </w:t>
      </w:r>
      <w:r>
        <w:rPr>
          <w:rFonts w:ascii="Arial" w:cs="Arial" w:eastAsia="Arial" w:hAnsi="Arial"/>
          <w:sz w:val="17"/>
          <w:szCs w:val="17"/>
          <w:i w:val="1"/>
          <w:iCs w:val="1"/>
          <w:color w:val="auto"/>
        </w:rPr>
        <w:t>minimum volume commitments, net.</w:t>
      </w:r>
      <w:r>
        <w:rPr>
          <w:rFonts w:ascii="Arial" w:cs="Arial" w:eastAsia="Arial" w:hAnsi="Arial"/>
          <w:sz w:val="17"/>
          <w:szCs w:val="17"/>
          <w:color w:val="auto"/>
        </w:rPr>
        <w:t>” The three-month comparative period was further favorably impacted by higher long-haul movements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Cushing, Oklahoma in the second quarter of 2021, as well as an increase in volumes on our gathering pipelines as a result of new connections and increased production, partially offset by lower volumes on our intra-basin pipelines. The six-month comparative period was further unfavorably impacted by lower volumes of crude oil produced in the Permian Basin in the first quarter of 2021, driven by the COVID-19 pandemic-related reset to production and compounded by shut-ins from the extreme winter weather event that occurred in February of 2021 (“Winter Storm Uri”).</w:t>
      </w:r>
    </w:p>
    <w:p>
      <w:pPr>
        <w:spacing w:after="0" w:line="212" w:lineRule="exact"/>
        <w:rPr>
          <w:rFonts w:ascii="Arial" w:cs="Arial" w:eastAsia="Arial" w:hAnsi="Arial"/>
          <w:sz w:val="17"/>
          <w:szCs w:val="17"/>
          <w:b w:val="1"/>
          <w:bCs w:val="1"/>
          <w:i w:val="1"/>
          <w:iCs w:val="1"/>
          <w:color w:val="auto"/>
        </w:rPr>
      </w:pPr>
    </w:p>
    <w:p>
      <w:pPr>
        <w:ind w:left="980" w:right="20"/>
        <w:spacing w:after="0" w:line="296" w:lineRule="auto"/>
        <w:rPr>
          <w:rFonts w:ascii="Arial" w:cs="Arial" w:eastAsia="Arial" w:hAnsi="Arial"/>
          <w:sz w:val="17"/>
          <w:szCs w:val="17"/>
          <w:b w:val="1"/>
          <w:bCs w:val="1"/>
          <w:i w:val="1"/>
          <w:iCs w:val="1"/>
          <w:color w:val="auto"/>
        </w:rPr>
      </w:pPr>
      <w:r>
        <w:rPr>
          <w:rFonts w:ascii="Arial" w:cs="Arial" w:eastAsia="Arial" w:hAnsi="Arial"/>
          <w:sz w:val="16"/>
          <w:szCs w:val="16"/>
          <w:color w:val="auto"/>
        </w:rPr>
        <w:t>Equity earnings decreased for the three and six months ended June 30, 2021 compared to the same periods in 2020 primarily due to our proportionate share of the write-off of costs associated with a capital project canceled during the second quarter of 2021, which is included in the table above as an “Adjustment” in “Depreciation and amortization of unconsolidated entities.” The six-month comparative period was further unfavorably impacted by depreciation expense and transition costs associated with phase one of the Wink to Webster pipeline being placed into service during the first quarter of 2021, partially offset by lower power costs related to Winter Storm Uri.</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60" w:hanging="324"/>
        <w:spacing w:after="0" w:line="277"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decreased for the six months ended June 30, 2021 compared to the same periods in 2020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production, including curtailments from Winter Storm Uri.</w:t>
      </w:r>
    </w:p>
    <w:p>
      <w:pPr>
        <w:spacing w:after="0" w:line="197" w:lineRule="exact"/>
        <w:rPr>
          <w:rFonts w:ascii="Arial" w:cs="Arial" w:eastAsia="Arial" w:hAnsi="Arial"/>
          <w:sz w:val="18"/>
          <w:szCs w:val="18"/>
          <w:b w:val="1"/>
          <w:bCs w:val="1"/>
          <w:i w:val="1"/>
          <w:iCs w:val="1"/>
          <w:color w:val="auto"/>
        </w:rPr>
      </w:pPr>
    </w:p>
    <w:p>
      <w:pPr>
        <w:ind w:left="980" w:right="20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Equity earnings from our 50% interest in Eagle Ford Pipeline LLC decreased for the six months ended June 30, 2021 compared to the same period in 2020 due to a combination of lower joint tariff volumes from the Permian Basin via our Cactus I pipeline, and to a lesser extent, lower regional receipts, partially offset by the recognition of previously deferred revenue associated with minimum volume commitments. The recognition of such revenue is reflected as an “Adjustment” in the table above as discussed further below under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w:t>
      </w:r>
      <w:r>
        <w:rPr>
          <w:rFonts w:ascii="Arial" w:cs="Arial" w:eastAsia="Arial" w:hAnsi="Arial"/>
          <w:sz w:val="18"/>
          <w:szCs w:val="18"/>
          <w:i w:val="1"/>
          <w:iCs w:val="1"/>
          <w:color w:val="auto"/>
        </w:rPr>
        <w:t>Deficiencies under minimum volume commitments, net.</w:t>
      </w:r>
      <w:r>
        <w:rPr>
          <w:rFonts w:ascii="Arial" w:cs="Arial" w:eastAsia="Arial" w:hAnsi="Arial"/>
          <w:sz w:val="18"/>
          <w:szCs w:val="18"/>
          <w:color w:val="auto"/>
        </w:rPr>
        <w:t>”</w:t>
      </w:r>
    </w:p>
    <w:p>
      <w:pPr>
        <w:spacing w:after="0" w:line="214" w:lineRule="exact"/>
        <w:rPr>
          <w:rFonts w:ascii="Arial" w:cs="Arial" w:eastAsia="Arial" w:hAnsi="Arial"/>
          <w:sz w:val="18"/>
          <w:szCs w:val="18"/>
          <w:b w:val="1"/>
          <w:bCs w:val="1"/>
          <w:i w:val="1"/>
          <w:iCs w:val="1"/>
          <w:color w:val="auto"/>
        </w:rPr>
      </w:pPr>
    </w:p>
    <w:p>
      <w:pPr>
        <w:ind w:left="980" w:hanging="324"/>
        <w:spacing w:after="0" w:line="263"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Revenues increased for the three and six months ended June 30, 2021 compared to the same periods in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on certain of our pipelines in the region, including the Red River pipeline, as a result of an increase in committed volumes and an expansion placed into service in October 2020.</w:t>
      </w:r>
    </w:p>
    <w:p>
      <w:pPr>
        <w:spacing w:after="0" w:line="210" w:lineRule="exact"/>
        <w:rPr>
          <w:rFonts w:ascii="Arial" w:cs="Arial" w:eastAsia="Arial" w:hAnsi="Arial"/>
          <w:sz w:val="18"/>
          <w:szCs w:val="18"/>
          <w:b w:val="1"/>
          <w:bCs w:val="1"/>
          <w:i w:val="1"/>
          <w:iCs w:val="1"/>
          <w:color w:val="auto"/>
        </w:rPr>
      </w:pPr>
    </w:p>
    <w:p>
      <w:pPr>
        <w:ind w:left="980" w:right="1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Equity earnings decreased for the three and six months ended June 30, 2021 compared to the same periods in 2020 primarily due our proportionate share of Diamond Pipeline’s write-off of costs associated with the cancellation of the Byhalia Connection construction project during the second quarter of 2021, which is included in the table above as an “Adjustment” in “Depreciation and amortization of unconsolidated entities.”</w:t>
      </w:r>
    </w:p>
    <w:p>
      <w:pPr>
        <w:spacing w:after="0" w:line="213" w:lineRule="exact"/>
        <w:rPr>
          <w:rFonts w:ascii="Arial" w:cs="Arial" w:eastAsia="Arial" w:hAnsi="Arial"/>
          <w:sz w:val="18"/>
          <w:szCs w:val="18"/>
          <w:b w:val="1"/>
          <w:bCs w:val="1"/>
          <w:i w:val="1"/>
          <w:iCs w:val="1"/>
          <w:color w:val="auto"/>
        </w:rPr>
      </w:pPr>
    </w:p>
    <w:p>
      <w:pPr>
        <w:ind w:left="980" w:right="280" w:hanging="324"/>
        <w:spacing w:after="0" w:line="259"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Equity earnings decreased for the three and six months ended June 30, 2021 compared to the same periods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our proportionate share of Capline Pipeline’s write-off of costs associated with the cancellation of the Byhalia Connection construction project during the second quarter of 2021, which is included in the table above as an “Adjustment” in “Depreciation and amortization of unconsolidated entities.”</w:t>
      </w:r>
    </w:p>
    <w:p>
      <w:pPr>
        <w:spacing w:after="0" w:line="213" w:lineRule="exact"/>
        <w:rPr>
          <w:rFonts w:ascii="Arial" w:cs="Arial" w:eastAsia="Arial" w:hAnsi="Arial"/>
          <w:sz w:val="18"/>
          <w:szCs w:val="18"/>
          <w:b w:val="1"/>
          <w:bCs w:val="1"/>
          <w:i w:val="1"/>
          <w:iCs w:val="1"/>
          <w:color w:val="auto"/>
        </w:rPr>
      </w:pPr>
    </w:p>
    <w:p>
      <w:pPr>
        <w:ind w:left="980" w:right="700" w:hanging="324"/>
        <w:spacing w:after="0" w:line="277"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Revenues increased for the three and six months ended June 30, 2021 compared to the same periods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volumes.</w:t>
      </w:r>
    </w:p>
    <w:p>
      <w:pPr>
        <w:spacing w:after="0" w:line="197" w:lineRule="exact"/>
        <w:rPr>
          <w:rFonts w:ascii="Arial" w:cs="Arial" w:eastAsia="Arial" w:hAnsi="Arial"/>
          <w:sz w:val="18"/>
          <w:szCs w:val="18"/>
          <w:b w:val="1"/>
          <w:bCs w:val="1"/>
          <w:i w:val="1"/>
          <w:iCs w:val="1"/>
          <w:color w:val="auto"/>
        </w:rPr>
      </w:pPr>
    </w:p>
    <w:p>
      <w:pPr>
        <w:ind w:left="980" w:right="32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Equity earnings decreased for the three and six months ended June 30, 2021 compared to the same periods in 2020 primarily due to the expiration of higher-tariff volume commitments in the current period on the White Cliffs pipeline, partially offset by higher volumes from committed shippers on the Saddlehorn pipeline.</w:t>
      </w:r>
    </w:p>
    <w:p>
      <w:pPr>
        <w:spacing w:after="0" w:line="210" w:lineRule="exact"/>
        <w:rPr>
          <w:rFonts w:ascii="Arial" w:cs="Arial" w:eastAsia="Arial" w:hAnsi="Arial"/>
          <w:sz w:val="18"/>
          <w:szCs w:val="18"/>
          <w:b w:val="1"/>
          <w:bCs w:val="1"/>
          <w:i w:val="1"/>
          <w:iCs w:val="1"/>
          <w:color w:val="auto"/>
        </w:rPr>
      </w:pPr>
    </w:p>
    <w:p>
      <w:pPr>
        <w:ind w:left="980" w:right="100" w:hanging="324"/>
        <w:spacing w:after="0" w:line="259"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Revenues increased for the three and six months ended June 30, 2021 compared to the same periods in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from increased production and favorable foreign exchange impacts. Such favorable impacts were partially offset by a decrease in intersegment fees to reflect lower utilization and market rates, which had an offsetting favorable impact on our Supply and Logistics segment.</w:t>
      </w:r>
    </w:p>
    <w:p>
      <w:pPr>
        <w:spacing w:after="0" w:line="213" w:lineRule="exact"/>
        <w:rPr>
          <w:rFonts w:ascii="Arial" w:cs="Arial" w:eastAsia="Arial" w:hAnsi="Arial"/>
          <w:sz w:val="18"/>
          <w:szCs w:val="18"/>
          <w:b w:val="1"/>
          <w:bCs w:val="1"/>
          <w:i w:val="1"/>
          <w:iCs w:val="1"/>
          <w:color w:val="auto"/>
        </w:rPr>
      </w:pPr>
    </w:p>
    <w:p>
      <w:pPr>
        <w:ind w:left="980" w:right="20" w:hanging="324"/>
        <w:spacing w:after="0" w:line="257"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Other regions, NGL pipelines, trucking and pipeline loss allowance revenue. </w:t>
      </w:r>
      <w:r>
        <w:rPr>
          <w:rFonts w:ascii="Arial" w:cs="Arial" w:eastAsia="Arial" w:hAnsi="Arial"/>
          <w:sz w:val="18"/>
          <w:szCs w:val="18"/>
          <w:color w:val="auto"/>
        </w:rPr>
        <w:t>The increase in net revenues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was primarily due to higher pipeline loss allowance revenue in 2021 primarily due to higher prices. The decrease in net revenues for the six months ended June 30, 2021 compared to the same period in 2020 was primarily due to lower pipeline loss allowance revenue due to lower volumes, partially offset by higher prices. Such unfavorable impacts were offset by lower trucking costs driven by lower volumes.</w:t>
      </w:r>
    </w:p>
    <w:p>
      <w:pPr>
        <w:spacing w:after="0" w:line="21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For the three months ended June 30, 2021 and 2020, amounts billed to counterparties exceeded revenue recognized during the periods that was previously deferred. For the six months ended June 30, 2021, the recognition of previously deferred revenue exceeded amounts billed to counterparties associated with deficiencies under minimum volume commitments.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for the six months ended June 30, 2021 compared to the same period in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 lower power costs, including the impact of gains related to hedged power costs resulting from Winter Storm Uri and (ii) streamlining efforts which have resulted in decreases in variable costs and maintenance and chemicals and additives costs.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increase in segment general and administrative expenses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2021 compared to the same periods in 2020 was primarily due to increased information systems costs and reduced wage subsidies received by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subsidiary in the current periods.</w:t>
      </w:r>
    </w:p>
    <w:p>
      <w:pPr>
        <w:spacing w:after="0" w:line="23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Maintenance Capital</w:t>
      </w:r>
      <w:r>
        <w:rPr>
          <w:rFonts w:ascii="Arial" w:cs="Arial" w:eastAsia="Arial" w:hAnsi="Arial"/>
          <w:sz w:val="17"/>
          <w:szCs w:val="17"/>
          <w:color w:val="auto"/>
        </w:rPr>
        <w:t>. Maintenance capital consists of capital expenditures for the replacement and/or refurbishment of partially or fully</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depreciated assets in order to maintain the operating and/or earnings capacity of our existing assets. The decrease in maintenance capital spending for the three and six months ended June 30, 2021 compared to the same periods in 2020 was primarily due to timing changes, the completion of multi-year reliability improvement programs and application of updated regulatory guidance, among other factors.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00" w:type="dxa"/>
            <w:vAlign w:val="bottom"/>
            <w:gridSpan w:val="10"/>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4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9"/>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4"/>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Pr>
          <w:p>
            <w:pPr>
              <w:spacing w:after="0"/>
              <w:rPr>
                <w:sz w:val="15"/>
                <w:szCs w:val="15"/>
                <w:color w:val="auto"/>
              </w:rPr>
            </w:pPr>
          </w:p>
        </w:tc>
        <w:tc>
          <w:tcPr>
            <w:tcW w:w="6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57 %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76"/>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40" w:type="dxa"/>
            <w:vAlign w:val="bottom"/>
          </w:tcPr>
          <w:p>
            <w:pPr>
              <w:spacing w:after="0"/>
              <w:rPr>
                <w:sz w:val="15"/>
                <w:szCs w:val="15"/>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vMerge w:val="continue"/>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tcPr>
          <w:p>
            <w:pPr>
              <w:spacing w:after="0"/>
              <w:rPr>
                <w:sz w:val="15"/>
                <w:szCs w:val="15"/>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0.40</w:t>
            </w:r>
          </w:p>
        </w:tc>
        <w:tc>
          <w:tcPr>
            <w:tcW w:w="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1"/>
        </w:trPr>
        <w:tc>
          <w:tcPr>
            <w:tcW w:w="3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1"/>
                <w:szCs w:val="21"/>
                <w:color w:val="auto"/>
              </w:rPr>
            </w:pPr>
          </w:p>
        </w:tc>
        <w:tc>
          <w:tcPr>
            <w:tcW w:w="114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9"/>
          </w:tcPr>
          <w:p>
            <w:pPr>
              <w:ind w:lef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1"/>
                <w:szCs w:val="21"/>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92"/>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Volumes</w:t>
            </w:r>
          </w:p>
        </w:tc>
        <w:tc>
          <w:tcPr>
            <w:tcW w:w="60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3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3"/>
              </w:rPr>
              <w:t>Liquids storage (average monthly capacity in</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5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working capacity in billions of cubic feet)</w:t>
            </w: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NGL fractionation (average volumes in</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thousands of barrels per day)</w:t>
            </w:r>
          </w:p>
        </w:tc>
        <w:tc>
          <w:tcPr>
            <w:tcW w:w="14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 xml:space="preserve">monthly volumes in millions of barrels) </w:t>
            </w:r>
            <w:r>
              <w:rPr>
                <w:rFonts w:ascii="Arial" w:cs="Arial" w:eastAsia="Arial" w:hAnsi="Arial"/>
                <w:sz w:val="23"/>
                <w:szCs w:val="23"/>
                <w:color w:val="auto"/>
                <w:vertAlign w:val="superscript"/>
              </w:rPr>
              <w:t>(6)</w:t>
            </w:r>
          </w:p>
        </w:tc>
        <w:tc>
          <w:tcPr>
            <w:tcW w:w="14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60" w:hanging="11"/>
        <w:spacing w:after="0" w:line="291" w:lineRule="auto"/>
        <w:rPr>
          <w:sz w:val="20"/>
          <w:szCs w:val="20"/>
          <w:color w:val="auto"/>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00" w:hanging="4"/>
        <w:spacing w:after="0" w:line="508"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1"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net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40" w:hanging="324"/>
        <w:spacing w:after="0" w:line="290" w:lineRule="auto"/>
        <w:tabs>
          <w:tab w:leader="none" w:pos="975"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NGL Operations. </w:t>
      </w:r>
      <w:r>
        <w:rPr>
          <w:rFonts w:ascii="Arial" w:cs="Arial" w:eastAsia="Arial" w:hAnsi="Arial"/>
          <w:sz w:val="16"/>
          <w:szCs w:val="16"/>
          <w:color w:val="auto"/>
        </w:rPr>
        <w:t>Revenues from our NGL operations decreased by $16 million and $57 million for the three and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respectively, compared to the same periods in 2020 primarily due to lower intersegment facility fee revenues due to rate decreases at certain of our storage, fractionation and processing facilities to reflect lower utilization and market rates (which had an offsetting favorable impact on our Supply and Logistics segment). The six-month comparative period was further unfavorably impacted by (i) a benefit in the 2020 comparative period from the receipt of a deficiency payment of approximately $20 million upon the expiration of a multi-year contract and (ii) the sale of certain NGL terminals in the second quarter of 2020. Such unfavorable impacts were partially offset for the three- and six-month comparative periods by more favorable foreign exchange impacts in 2021 of approximately $13 million and $19 million, respectively, and, for the six-month comparative period, gains at certain of our fractionation facilities in the first quarter of 2021.</w:t>
      </w:r>
    </w:p>
    <w:p>
      <w:pPr>
        <w:spacing w:after="0" w:line="192" w:lineRule="exact"/>
        <w:rPr>
          <w:rFonts w:ascii="Arial" w:cs="Arial" w:eastAsia="Arial" w:hAnsi="Arial"/>
          <w:sz w:val="16"/>
          <w:szCs w:val="16"/>
          <w:i w:val="1"/>
          <w:iCs w:val="1"/>
          <w:color w:val="auto"/>
        </w:rPr>
      </w:pPr>
    </w:p>
    <w:p>
      <w:pPr>
        <w:ind w:left="980" w:right="280" w:hanging="324"/>
        <w:spacing w:after="0" w:line="263" w:lineRule="auto"/>
        <w:tabs>
          <w:tab w:leader="none" w:pos="97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from our crude oil storage operations decreased by $16 million and $31 million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respectively, compared to the same periods in 2020 primarily due to the sale of our Los Angeles Basin terminals in October of 2020.</w:t>
      </w:r>
    </w:p>
    <w:p>
      <w:pPr>
        <w:spacing w:after="0" w:line="210" w:lineRule="exact"/>
        <w:rPr>
          <w:rFonts w:ascii="Arial" w:cs="Arial" w:eastAsia="Arial" w:hAnsi="Arial"/>
          <w:sz w:val="18"/>
          <w:szCs w:val="18"/>
          <w:i w:val="1"/>
          <w:iCs w:val="1"/>
          <w:color w:val="auto"/>
        </w:rPr>
      </w:pPr>
    </w:p>
    <w:p>
      <w:pPr>
        <w:ind w:left="980" w:right="280" w:hanging="324"/>
        <w:spacing w:after="0" w:line="277" w:lineRule="auto"/>
        <w:tabs>
          <w:tab w:leader="none" w:pos="97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w:t>
      </w:r>
      <w:r>
        <w:rPr>
          <w:rFonts w:ascii="Arial" w:cs="Arial" w:eastAsia="Arial" w:hAnsi="Arial"/>
          <w:sz w:val="18"/>
          <w:szCs w:val="18"/>
          <w:color w:val="auto"/>
        </w:rPr>
        <w:t>Net revenues increased by $17 million for the six months ended June 30,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increased margins from hub activities in the first quarter of 2021 related to Winter Storm Uri.</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six months ended June 30, 2021 compared to the same period in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the sale of our Los Angeles Basin terminals and certain NGL terminals, (ii) decreased power costs related to derivative activity and (iii) reduced activity at our rail terminals.</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to the same periods in 2020 was primarily due to the impact of 2020 legal costs, partially offset by reduced wage subsidies received by our Canadian subsidiary in the current period.</w:t>
      </w:r>
    </w:p>
    <w:p>
      <w:pPr>
        <w:spacing w:after="0" w:line="211"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and six months ended June 30,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2020 was primarily due to timing changes, the impact of asset sales, the completion of multi-year reliability improvement programs and application of updated regulatory guidance, among other factors.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(iii) the relationship between NGL prices and natural gas prices and (iv) the effects of competition on our lease gathering and NGL margins. In addition, the execution of our risk management strategies in conjunction with our assets can provide upside in certain markets.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20" w:type="dxa"/>
            <w:vAlign w:val="bottom"/>
          </w:tcPr>
          <w:p>
            <w:pPr>
              <w:spacing w:after="0"/>
              <w:rPr>
                <w:sz w:val="14"/>
                <w:szCs w:val="14"/>
                <w:color w:val="auto"/>
              </w:rPr>
            </w:pPr>
          </w:p>
        </w:tc>
        <w:tc>
          <w:tcPr>
            <w:tcW w:w="17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1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1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(10,717)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76"/>
        </w:trPr>
        <w:tc>
          <w:tcPr>
            <w:tcW w:w="350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3"/>
              </w:rPr>
              <w:t>Segment general and administrative expenses</w:t>
            </w:r>
          </w:p>
        </w:tc>
        <w:tc>
          <w:tcPr>
            <w:tcW w:w="120" w:type="dxa"/>
            <w:vAlign w:val="bottom"/>
          </w:tcPr>
          <w:p>
            <w:pPr>
              <w:spacing w:after="0"/>
              <w:rPr>
                <w:sz w:val="15"/>
                <w:szCs w:val="15"/>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62"/>
        </w:trPr>
        <w:tc>
          <w:tcPr>
            <w:tcW w:w="330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(Gains)/losses from derivative activities and</w:t>
            </w:r>
          </w:p>
        </w:tc>
        <w:tc>
          <w:tcPr>
            <w:tcW w:w="12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4"/>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0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20" w:type="dxa"/>
            <w:vAlign w:val="bottom"/>
          </w:tcPr>
          <w:p>
            <w:pPr>
              <w:spacing w:after="0"/>
              <w:rPr>
                <w:sz w:val="15"/>
                <w:szCs w:val="15"/>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4"/>
          </w:tcPr>
          <w:p>
            <w:pPr>
              <w:ind w:left="360"/>
              <w:spacing w:after="0"/>
              <w:rPr>
                <w:sz w:val="20"/>
                <w:szCs w:val="20"/>
                <w:color w:val="auto"/>
              </w:rPr>
            </w:pPr>
            <w:r>
              <w:rPr>
                <w:rFonts w:ascii="Arial" w:cs="Arial" w:eastAsia="Arial" w:hAnsi="Arial"/>
                <w:sz w:val="18"/>
                <w:szCs w:val="18"/>
                <w:color w:val="auto"/>
              </w:rPr>
              <w:t>revaluation</w:t>
            </w:r>
          </w:p>
        </w:tc>
        <w:tc>
          <w:tcPr>
            <w:tcW w:w="12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0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3"/>
          </w:tcPr>
          <w:p>
            <w:pPr>
              <w:jc w:val="right"/>
              <w:ind w:right="60"/>
              <w:spacing w:after="0" w:line="203"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(0.61)</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493"/>
        </w:trPr>
        <w:tc>
          <w:tcPr>
            <w:tcW w:w="35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120" w:type="dxa"/>
            <w:vAlign w:val="bottom"/>
          </w:tcPr>
          <w:p>
            <w:pPr>
              <w:spacing w:after="0"/>
              <w:rPr>
                <w:sz w:val="24"/>
                <w:szCs w:val="24"/>
                <w:color w:val="auto"/>
              </w:rPr>
            </w:pPr>
          </w:p>
        </w:tc>
        <w:tc>
          <w:tcPr>
            <w:tcW w:w="174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4"/>
                <w:szCs w:val="24"/>
                <w:color w:val="auto"/>
              </w:rPr>
            </w:pPr>
          </w:p>
        </w:tc>
        <w:tc>
          <w:tcPr>
            <w:tcW w:w="11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1,352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sales</w:t>
            </w:r>
          </w:p>
        </w:tc>
        <w:tc>
          <w:tcPr>
            <w:tcW w:w="10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total volumes</w:t>
            </w: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jc w:val="right"/>
        <w:ind w:right="6880"/>
        <w:spacing w:after="0"/>
        <w:rPr>
          <w:sz w:val="20"/>
          <w:szCs w:val="20"/>
          <w:color w:val="auto"/>
        </w:rPr>
      </w:pPr>
      <w:r>
        <w:rPr>
          <w:rFonts w:ascii="Arial" w:cs="Arial" w:eastAsia="Arial" w:hAnsi="Arial"/>
          <w:sz w:val="16"/>
          <w:szCs w:val="16"/>
          <w:color w:val="auto"/>
        </w:rPr>
        <w:t>Indicates that variance as a percentage is not meaningful.</w:t>
      </w:r>
    </w:p>
    <w:p>
      <w:pPr>
        <w:spacing w:after="0" w:line="140" w:lineRule="exact"/>
        <w:rPr>
          <w:sz w:val="20"/>
          <w:szCs w:val="20"/>
          <w:color w:val="auto"/>
        </w:rPr>
      </w:pPr>
    </w:p>
    <w:p>
      <w:pPr>
        <w:jc w:val="right"/>
        <w:ind w:right="6940"/>
        <w:spacing w:after="0"/>
        <w:rPr>
          <w:sz w:val="20"/>
          <w:szCs w:val="20"/>
          <w:color w:val="auto"/>
        </w:rPr>
      </w:pPr>
      <w:r>
        <w:rPr>
          <w:rFonts w:ascii="Arial" w:cs="Arial" w:eastAsia="Arial" w:hAnsi="Arial"/>
          <w:sz w:val="17"/>
          <w:szCs w:val="17"/>
          <w:color w:val="auto"/>
        </w:rPr>
        <w:t>Revenues and costs include intersegment amounts.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72"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5"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7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89"/>
              </w:rPr>
              <w:t>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June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Six Months Ended June 30, 2021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32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and inventory valuation and costing adjustments.</w:t>
      </w:r>
    </w:p>
    <w:p>
      <w:pPr>
        <w:spacing w:after="0" w:line="157"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80" w:hanging="324"/>
        <w:spacing w:after="0" w:line="259" w:lineRule="auto"/>
        <w:tabs>
          <w:tab w:leader="none" w:pos="97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operations were slightly lower in the three-month period as contango margins were</w:t>
      </w:r>
      <w:r>
        <w:rPr>
          <w:rFonts w:ascii="Arial" w:cs="Arial" w:eastAsia="Arial" w:hAnsi="Arial"/>
          <w:sz w:val="18"/>
          <w:szCs w:val="18"/>
          <w:i w:val="1"/>
          <w:iCs w:val="1"/>
          <w:color w:val="auto"/>
        </w:rPr>
        <w:t xml:space="preserve"> </w:t>
      </w:r>
      <w:r>
        <w:rPr>
          <w:rFonts w:ascii="Arial" w:cs="Arial" w:eastAsia="Arial" w:hAnsi="Arial"/>
          <w:sz w:val="18"/>
          <w:szCs w:val="18"/>
          <w:color w:val="auto"/>
        </w:rPr>
        <w:t>better in the 2020 period; however, this was largely offset by lease gathering margins and certain differentials that were more favorable in the 2021 period. For the six months ended June 30, 2021 compared to the same period in 2020, net revenues from our crude oil operations were lower due to less favorable market conditions.</w:t>
      </w:r>
    </w:p>
    <w:p>
      <w:pPr>
        <w:spacing w:after="0" w:line="213" w:lineRule="exact"/>
        <w:rPr>
          <w:rFonts w:ascii="Arial" w:cs="Arial" w:eastAsia="Arial" w:hAnsi="Arial"/>
          <w:sz w:val="18"/>
          <w:szCs w:val="18"/>
          <w:i w:val="1"/>
          <w:iCs w:val="1"/>
          <w:color w:val="auto"/>
        </w:rPr>
      </w:pPr>
    </w:p>
    <w:p>
      <w:pPr>
        <w:ind w:left="980" w:hanging="324"/>
        <w:spacing w:after="0" w:line="275" w:lineRule="auto"/>
        <w:tabs>
          <w:tab w:leader="none" w:pos="975"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were slightly higher for the three months ended June 30, 2021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2020 due to a decrease in intersegment fees. Net revenues from our NGL operations decreased for the six months ended June 30, 2021 compared to the same period in 2020, primarily due to lower realized margins on our NGL sales activities, partially offset by a decrease in intersegment fees. The intersegment fees were reduced in the 2021 periods to reflect lower utilization and market rates, and had an offsetting unfavorable impact on our Facilities and Transportation segments.</w:t>
      </w:r>
    </w:p>
    <w:p>
      <w:pPr>
        <w:spacing w:after="0" w:line="176" w:lineRule="exact"/>
        <w:rPr>
          <w:rFonts w:ascii="Arial" w:cs="Arial" w:eastAsia="Arial" w:hAnsi="Arial"/>
          <w:sz w:val="17"/>
          <w:szCs w:val="17"/>
          <w:i w:val="1"/>
          <w:iCs w:val="1"/>
          <w:color w:val="auto"/>
        </w:rPr>
      </w:pPr>
    </w:p>
    <w:p>
      <w:pPr>
        <w:ind w:left="980" w:right="100" w:hanging="324"/>
        <w:spacing w:after="0" w:line="254" w:lineRule="auto"/>
        <w:tabs>
          <w:tab w:leader="none" w:pos="97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and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right="20" w:hanging="324"/>
        <w:spacing w:after="0" w:line="255"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80" w:hanging="324"/>
        <w:spacing w:after="0" w:line="279" w:lineRule="auto"/>
        <w:tabs>
          <w:tab w:leader="none" w:pos="975"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the realization of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gains and losses on the 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198" w:lineRule="exact"/>
        <w:rPr>
          <w:rFonts w:ascii="Arial" w:cs="Arial" w:eastAsia="Arial" w:hAnsi="Arial"/>
          <w:sz w:val="17"/>
          <w:szCs w:val="17"/>
          <w:color w:val="auto"/>
        </w:rPr>
      </w:pPr>
    </w:p>
    <w:p>
      <w:pPr>
        <w:ind w:left="980" w:right="20" w:hanging="324"/>
        <w:spacing w:after="0" w:line="342" w:lineRule="auto"/>
        <w:tabs>
          <w:tab w:leader="none" w:pos="975"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six months ended June 30, 2021 compared to the same period in 2020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lower trucking costs due to more supply connected to pipelines resulting in lower trucking activity in the 2021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increase in depreciation and amortization expense for the three and six months ended June 30, 2021 compared to the same periods in 2020 was largely driven by a reduction in the useful lives of certain assets. See Note 2 to our Condensed Consolidated Financial Statements for additional information.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net loss on asset sales and asset impairments for the three and six months ended June 30, 2021, was primarily driven by an approximate $475 million non-cash impairment charge related to the write-down of our Pine Prairie and Southern Pines natural gas storage facilities upon classification as held for sale during the second quarter, which were subsequently sold on August 2, 2021, partially offset by a gain of $106 million related to the Asset Exchange transaction. See Note 12 to our Condensed Consolidated Financial Statements for additional information. The net loss on asset sales and asset impairments for the six months ended June 30, 2020 was largely driven by (i) non-cash impairment losses of approximately $446 million related to the write-down of certain pipeline and other long-lived assets due to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during the quarter, which were subsequently sold.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first quarter of 2020, we recognized a goodwill impairment charge of $2.515 billion, representing the entire balance of goodwill.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During the three and six months ended June 30, 2020, we recognized losses of $69 million and $112 million, respectively, related to the write-down of certain of our investments in unconsolidated entities. Additionally, during the six months ended June 30, 2020, we recognized a gain of $21 million related to our sale of a 10% interest in Saddlehorn Pipeline Company, LLC.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68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w w:val="96"/>
              </w:rPr>
              <w:t>Gain/(loss) related to mark-to-market adjustment of the Preferred Distribution Rate Reset</w:t>
            </w:r>
          </w:p>
        </w:tc>
        <w:tc>
          <w:tcPr>
            <w:tcW w:w="700" w:type="dxa"/>
            <w:vAlign w:val="bottom"/>
            <w:vMerge w:val="restart"/>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70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117" w:lineRule="exact"/>
        <w:rPr>
          <w:sz w:val="20"/>
          <w:szCs w:val="20"/>
          <w:color w:val="auto"/>
        </w:rPr>
      </w:pPr>
    </w:p>
    <w:p>
      <w:pPr>
        <w:ind w:left="20" w:right="56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income tax expense for the six months ended June 30, 2021 compared to the income tax benefit for the six months ended June 30, 2020 was primarily due to the impact of higher earnings at PAA on income attributable to PAGP in the first quarter of 2021 compared to the first quarter of 2020, which was partially offset by the impact of lower earnings at PAA on income attributable to PAGP for the second quarter of 2021 compared to the second quarter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and (ii) borrowings under PAA’s credit facilities or the PAA commercial paper program. In addition, we may supplement these primary sources of liquidity with proceeds from our divestiture program and in the past we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95" w:lineRule="exact"/>
        <w:rPr>
          <w:sz w:val="20"/>
          <w:szCs w:val="20"/>
          <w:color w:val="auto"/>
        </w:rPr>
      </w:pPr>
    </w:p>
    <w:p>
      <w:pPr>
        <w:ind w:right="200" w:firstLine="648"/>
        <w:spacing w:after="0" w:line="284" w:lineRule="auto"/>
        <w:rPr>
          <w:sz w:val="20"/>
          <w:szCs w:val="20"/>
          <w:color w:val="auto"/>
        </w:rPr>
      </w:pPr>
      <w:r>
        <w:rPr>
          <w:rFonts w:ascii="Arial" w:cs="Arial" w:eastAsia="Arial" w:hAnsi="Arial"/>
          <w:sz w:val="17"/>
          <w:szCs w:val="17"/>
          <w:color w:val="auto"/>
        </w:rPr>
        <w:t>As of June 30, 2021, although we had a working capital deficit of $485 million, we had approximately $2.6 billion of liquidity available to meet our ongoing operating, investing and financing needs, subject to continued covenant compliance, as noted below (in millions):</w:t>
      </w:r>
    </w:p>
    <w:p>
      <w:pPr>
        <w:sectPr>
          <w:pgSz w:w="11900" w:h="16838" w:orient="portrait"/>
          <w:cols w:equalWidth="0" w:num="1">
            <w:col w:w="11220"/>
          </w:cols>
          <w:pgMar w:left="320" w:top="125" w:right="359" w:bottom="1440" w:gutter="0" w:footer="0" w:header="0"/>
          <w:type w:val="continuous"/>
        </w:sectPr>
      </w:pPr>
    </w:p>
    <w:p>
      <w:pPr>
        <w:spacing w:after="0" w:line="34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Availability under PAA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1517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color w:val="auto"/>
        </w:rPr>
        <w:t xml:space="preserve">Availability under PAA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Amounts outstanding under PAA commercial paper program</w:t>
      </w:r>
    </w:p>
    <w:p>
      <w:pPr>
        <w:spacing w:after="0" w:line="20" w:lineRule="exact"/>
        <w:rPr>
          <w:sz w:val="20"/>
          <w:szCs w:val="20"/>
          <w:color w:val="auto"/>
        </w:rPr>
      </w:pPr>
      <w:r>
        <w:rPr>
          <w:sz w:val="20"/>
          <w:szCs w:val="20"/>
          <w:color w:val="auto"/>
        </w:rPr>
        <w:br w:type="column"/>
      </w:r>
    </w:p>
    <w:p>
      <w:pPr>
        <w:jc w:val="right"/>
        <w:ind w:right="720"/>
        <w:spacing w:after="0" w:line="227" w:lineRule="auto"/>
        <w:rPr>
          <w:sz w:val="20"/>
          <w:szCs w:val="20"/>
          <w:color w:val="auto"/>
        </w:rPr>
      </w:pPr>
      <w:r>
        <w:rPr>
          <w:rFonts w:ascii="Arial" w:cs="Arial" w:eastAsia="Arial" w:hAnsi="Arial"/>
          <w:sz w:val="14"/>
          <w:szCs w:val="14"/>
          <w:b w:val="1"/>
          <w:bCs w:val="1"/>
          <w:color w:val="auto"/>
        </w:rPr>
        <w:t>As of</w:t>
      </w:r>
    </w:p>
    <w:p>
      <w:pPr>
        <w:jc w:val="right"/>
        <w:ind w:right="760"/>
        <w:spacing w:after="0"/>
        <w:rPr>
          <w:sz w:val="20"/>
          <w:szCs w:val="20"/>
          <w:color w:val="auto"/>
        </w:rPr>
      </w:pPr>
      <w:r>
        <w:rPr>
          <w:rFonts w:ascii="Arial" w:cs="Arial" w:eastAsia="Arial" w:hAnsi="Arial"/>
          <w:sz w:val="14"/>
          <w:szCs w:val="14"/>
          <w:b w:val="1"/>
          <w:bCs w:val="1"/>
          <w:color w:val="auto"/>
        </w:rPr>
        <w:t>June 30, 2021</w:t>
      </w:r>
    </w:p>
    <w:p>
      <w:pPr>
        <w:spacing w:after="0" w:line="34" w:lineRule="exact"/>
        <w:rPr>
          <w:sz w:val="20"/>
          <w:szCs w:val="20"/>
          <w:color w:val="auto"/>
        </w:rPr>
      </w:pPr>
    </w:p>
    <w:p>
      <w:pPr>
        <w:ind w:left="1200" w:hanging="1197"/>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1,532</w:t>
      </w:r>
    </w:p>
    <w:p>
      <w:pPr>
        <w:spacing w:after="0" w:line="34"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1,387</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6"/>
          <w:szCs w:val="16"/>
          <w:color w:val="auto"/>
        </w:rPr>
        <w:t>(388)</w:t>
      </w:r>
    </w:p>
    <w:p>
      <w:pPr>
        <w:spacing w:after="0" w:line="45" w:lineRule="exact"/>
        <w:rPr>
          <w:sz w:val="20"/>
          <w:szCs w:val="20"/>
          <w:color w:val="auto"/>
        </w:rPr>
      </w:pPr>
    </w:p>
    <w:p>
      <w:pPr>
        <w:sectPr>
          <w:pgSz w:w="11900" w:h="16838" w:orient="portrait"/>
          <w:cols w:equalWidth="0" w:num="2">
            <w:col w:w="8820" w:space="720"/>
            <w:col w:w="168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880" w:type="dxa"/>
            <w:vAlign w:val="bottom"/>
            <w:gridSpan w:val="2"/>
          </w:tcPr>
          <w:p>
            <w:pPr>
              <w:ind w:left="800"/>
              <w:spacing w:after="0"/>
              <w:rPr>
                <w:sz w:val="20"/>
                <w:szCs w:val="20"/>
                <w:color w:val="auto"/>
              </w:rPr>
            </w:pPr>
            <w:r>
              <w:rPr>
                <w:rFonts w:ascii="Arial" w:cs="Arial" w:eastAsia="Arial" w:hAnsi="Arial"/>
                <w:sz w:val="18"/>
                <w:szCs w:val="18"/>
                <w:color w:val="auto"/>
              </w:rPr>
              <w:t>Subtotal</w:t>
            </w:r>
          </w:p>
        </w:tc>
        <w:tc>
          <w:tcPr>
            <w:tcW w:w="1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w:t>
            </w:r>
          </w:p>
        </w:tc>
      </w:tr>
      <w:tr>
        <w:trPr>
          <w:trHeight w:val="229"/>
        </w:trPr>
        <w:tc>
          <w:tcPr>
            <w:tcW w:w="8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880" w:type="dxa"/>
            <w:vAlign w:val="bottom"/>
            <w:gridSpan w:val="2"/>
          </w:tcPr>
          <w:p>
            <w:pPr>
              <w:ind w:left="80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r>
      <w:tr>
        <w:trPr>
          <w:trHeight w:val="21"/>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6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$68 million and $13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right="80" w:firstLine="648"/>
        <w:spacing w:after="0" w:line="273" w:lineRule="auto"/>
        <w:rPr>
          <w:sz w:val="20"/>
          <w:szCs w:val="20"/>
          <w:color w:val="auto"/>
        </w:rPr>
      </w:pPr>
      <w:r>
        <w:rPr>
          <w:rFonts w:ascii="Arial" w:cs="Arial" w:eastAsia="Arial" w:hAnsi="Arial"/>
          <w:sz w:val="17"/>
          <w:szCs w:val="17"/>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its term loans and the indentures governing its senior notes contain cross-default provisions. A default under PAA’s credit agreements or indentures would permit the lenders to accelerate the maturity of the outstanding debt. Additionally, lack of compliance with the provisions in PAA’s credit agreements may restrict its ability to make distributions of available cash. PAA was in compliance with the covenants contained in its credit agreements and indentures as of June 30, 2021.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2020 Annual Report on Form 10-K for further discussion regarding risks that may impact our 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2020 Annual Report on Form 10-K.</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Net cash provided by operating activities for the first six months of 2021 and 2020 was $1.023 billion and $972 million, respectively, and primarily resulted from earnings from our operations. Additionally, during the six months ended June 30, 2020, we increased the volume of our crude oil inventory to be stored during the contango market; however, this increase was offset by lower prices for our inventory stored at the end of the current period compared to the end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our divestiture program.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(3)</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ind w:right="220" w:hanging="11"/>
        <w:spacing w:after="0" w:line="263" w:lineRule="auto"/>
        <w:rPr>
          <w:sz w:val="20"/>
          <w:szCs w:val="20"/>
          <w:color w:val="auto"/>
        </w:rPr>
      </w:pPr>
      <w:r>
        <w:rPr>
          <w:rFonts w:ascii="Arial" w:cs="Arial" w:eastAsia="Arial" w:hAnsi="Arial"/>
          <w:sz w:val="18"/>
          <w:szCs w:val="18"/>
          <w:color w:val="auto"/>
        </w:rPr>
        <w:t>Acquisition capital for 2021 represents the cash consideration paid as part of the Asset Exchange transaction. See Note 12 to our Condensed Consolidated Financial Statements for additional information. Acquisition capital for 2020 primarily includes Felix Midstream LLC, a crude oil gathering system located in the Delaware Basin.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2021 Investment and Maintenance Capital. </w:t>
      </w:r>
      <w:r>
        <w:rPr>
          <w:rFonts w:ascii="Arial" w:cs="Arial" w:eastAsia="Arial" w:hAnsi="Arial"/>
          <w:sz w:val="18"/>
          <w:szCs w:val="18"/>
          <w:color w:val="auto"/>
        </w:rPr>
        <w:t>Total projected investment capital for the year ended December 31, 2021 is $325 million,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invested in our fee-based Transportation and Facilities segments. Additionally, maintenance capital for the full year of 2021 is projected to be $180 million. We expect to fund our 2021 investment and maintenance capital expenditures with retained cash flow and proceeds from assets sold as part of our divestiture program.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continue to evaluate potential sales of non-core assets and/or sales of partial interests in assets to strategic joint venture partners. The following table summarizes the proceeds received during the first six months of 2021 and 2020 from sales of assets, which were previously reported in our Transportation and Facilities segments (in millions):</w:t>
      </w:r>
    </w:p>
    <w:p>
      <w:pPr>
        <w:spacing w:after="0" w:line="23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Arial" w:cs="Arial" w:eastAsia="Arial" w:hAnsi="Arial"/>
          <w:sz w:val="18"/>
          <w:szCs w:val="18"/>
          <w:color w:val="auto"/>
        </w:rPr>
        <w:t>Proceeds from divestitures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w:t>
        <w:tab/>
        <w:t>$</w:t>
      </w:r>
      <w:r>
        <w:rPr>
          <w:sz w:val="20"/>
          <w:szCs w:val="20"/>
          <w:color w:val="auto"/>
        </w:rPr>
        <w:tab/>
      </w:r>
      <w:r>
        <w:rPr>
          <w:rFonts w:ascii="Arial" w:cs="Arial" w:eastAsia="Arial" w:hAnsi="Arial"/>
          <w:sz w:val="15"/>
          <w:szCs w:val="15"/>
          <w:color w:val="auto"/>
        </w:rPr>
        <w:t>245</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Proceeds from divestitures were used to reduce debt levels and fund our investment capital projects.</w:t>
      </w:r>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August 2, 2021, we closed the sale of our Pine Prairie and Southern Pines natural gas storage facilities for $850 million, subject to certain adjustments. See Note 12 to our Condensed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joint ventures, joint ownership arrangements and acquisitions involve risks that may adversely affect our business” included in our 2020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During the six months ended June 30, 2021, we had net repayments on the PAA credit facilities and commercial paper program of $326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six months ended June 30, 2020, we had net repayments on the PAA credit facilities and commercial paper program of $418 million. The net repayments resulted primarily from cash flow from operating activities, proceeds from asset sales and the issuance of $750 million, 3.80% senior notes in June 2020, which offset borrowings during the period related to funding needs for capital investments, inventory purchases and other general partnership purposes.</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connection with the sale of our Pine Prairie and Southern Pines natural gas storage facilities on August 2, 2021, we repaid PAA’s two GO Zone term loans totaling $200 million. See Note 12 for additional information regarding the sale of our natural gas storage facilities.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PAA repurchased 5,290,592 common units under the Program through open market purchases that settled during the six months ended June 30, 2021. The total purchase price of these repurchases was $53 million, including commissions and fees. At June 30, 2021, the remaining available capacity under the Program was $397 million.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in the aggregate, up to a specified amount of equity securities (the “PAGP Traditional Shelf”), under which we had approximately $939 million of unsold securities available at June 30, 2021.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six months ended June 30, 2021.</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in the aggregate, up to a specified amount of debt or equity securities (the “PAA Traditional Shelf”), under which PAA had approximately $1.1 billion of unsold securities available at June 30, 2021.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six months ended June 30,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distribute all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included in our 2020 Annual Report on Form 10-K for additional discussion regarding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June 30, 2021,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LLC. See Note 7 to our Condensed Consolidated Financial Statements for details of distributions to noncontrolling interests paid during or pertaining to the first six months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June 30, 2021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2026 and</w:t>
            </w:r>
          </w:p>
        </w:tc>
        <w:tc>
          <w:tcPr>
            <w:tcW w:w="240" w:type="dxa"/>
            <w:vAlign w:val="bottom"/>
          </w:tcPr>
          <w:p>
            <w:pPr>
              <w:spacing w:after="0"/>
              <w:rPr>
                <w:sz w:val="14"/>
                <w:szCs w:val="1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135,358</w:t>
            </w: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80" w:hanging="11"/>
        <w:spacing w:after="0" w:line="273" w:lineRule="auto"/>
        <w:rPr>
          <w:sz w:val="20"/>
          <w:szCs w:val="20"/>
          <w:color w:val="auto"/>
        </w:rPr>
      </w:pPr>
      <w:r>
        <w:rPr>
          <w:rFonts w:ascii="Arial" w:cs="Arial" w:eastAsia="Arial" w:hAnsi="Arial"/>
          <w:sz w:val="17"/>
          <w:szCs w:val="17"/>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6 to our Condensed Consolidated Financial Statements.</w:t>
      </w:r>
    </w:p>
    <w:p>
      <w:pPr>
        <w:spacing w:after="0" w:line="70" w:lineRule="exact"/>
        <w:rPr>
          <w:sz w:val="20"/>
          <w:szCs w:val="20"/>
          <w:color w:val="auto"/>
        </w:rPr>
      </w:pPr>
    </w:p>
    <w:p>
      <w:pPr>
        <w:ind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land, (iii) office space, (iv) storage tanks, (v) tractor trailers and (vi) vehicles. See Note 14 to our Consolidated Financial Statements included in Part IV of our 2020 Annual Report on Form 10-K for additional information.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53" w:lineRule="auto"/>
        <w:tabs>
          <w:tab w:leader="none" w:pos="3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noncancelable commitments related to our investment capital projects, including projected contributions for our share of the capital spending of our equity method investments. The storage, processing and transportation agreements include approximately $1.9 billion associated with agreements to store crude oil at facilities and transport crude oil or utilize capacity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3" w:lineRule="exact"/>
        <w:rPr>
          <w:sz w:val="20"/>
          <w:szCs w:val="20"/>
          <w:color w:val="auto"/>
        </w:rPr>
      </w:pPr>
    </w:p>
    <w:p>
      <w:pPr>
        <w:ind w:left="4"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June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2"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June 30, 2021 and December 31, 2020, we had outstanding letters of credit of approximately $81 million and $129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2020 Annual Report on Form 10-K.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 in Accounting Estimate</w:t>
      </w:r>
    </w:p>
    <w:p>
      <w:pPr>
        <w:spacing w:after="0" w:line="2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early 2021, we conducted a review to assess the useful lives of our property and equipment. Based on this review, we modified the useful lives of certain of our Pipelines and related facilities and Storage, terminal and rail facilities to useful lives of 10 to 50 years from useful lives of 10 to 70 years to reflect current expectations given our future operating and commercial outlook. This change in accounting estimate was effective January 1, 2021. Based on the net carrying amount of this property and equipment as of January 1, 2021, we currently estimate that these useful life reductions will prospectively increase annual depreciation expense by approximately $72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our ability to pay distributions to our Class A shareholders;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the COVID-19 pandemic, future pandemics or other factors) that correspondingly lead to a significant reduction of North American crude oil,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120"/>
        <w:spacing w:after="0" w:line="275" w:lineRule="auto"/>
        <w:rPr>
          <w:sz w:val="20"/>
          <w:szCs w:val="20"/>
          <w:color w:val="auto"/>
        </w:rPr>
      </w:pPr>
      <w:r>
        <w:rPr>
          <w:rFonts w:ascii="Arial" w:cs="Arial" w:eastAsia="Arial" w:hAnsi="Arial"/>
          <w:sz w:val="17"/>
          <w:szCs w:val="17"/>
          <w:color w:val="auto"/>
        </w:rPr>
        <w:t>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8" w:lineRule="exact"/>
        <w:rPr>
          <w:sz w:val="20"/>
          <w:szCs w:val="20"/>
          <w:color w:val="auto"/>
        </w:rPr>
      </w:pPr>
    </w:p>
    <w:p>
      <w:pPr>
        <w:ind w:left="980" w:right="40" w:hanging="324"/>
        <w:spacing w:after="0" w:line="248" w:lineRule="auto"/>
        <w:tabs>
          <w:tab w:leader="none" w:pos="975"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i w:val="1"/>
          <w:iCs w:val="1"/>
          <w:color w:val="auto"/>
        </w:rPr>
      </w:pPr>
    </w:p>
    <w:p>
      <w:pPr>
        <w:ind w:left="980" w:right="340" w:hanging="324"/>
        <w:spacing w:after="0" w:line="342"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right="340" w:hanging="324"/>
        <w:spacing w:after="0" w:line="25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60" w:hanging="324"/>
        <w:spacing w:after="0" w:line="342"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right="4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420" w:hanging="324"/>
        <w:spacing w:after="0" w:line="286"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100" w:hanging="324"/>
        <w:spacing w:after="0" w:line="263"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28" w:lineRule="exact"/>
        <w:rPr>
          <w:rFonts w:ascii="Arial" w:cs="Arial" w:eastAsia="Arial" w:hAnsi="Arial"/>
          <w:sz w:val="17"/>
          <w:szCs w:val="17"/>
          <w:color w:val="auto"/>
        </w:rPr>
      </w:pPr>
    </w:p>
    <w:p>
      <w:pPr>
        <w:ind w:left="980" w:right="260" w:hanging="324"/>
        <w:spacing w:after="0" w:line="311" w:lineRule="auto"/>
        <w:tabs>
          <w:tab w:leader="none" w:pos="9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2020 Annual Report on Form 10-K. Except as required by applicable securities laws, we do not intend to update these forward-looking statements and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sz w:val="20"/>
          <w:szCs w:val="20"/>
          <w:color w:val="auto"/>
        </w:rPr>
      </w:pPr>
    </w:p>
    <w:p>
      <w:pPr>
        <w:ind w:left="980" w:right="260"/>
        <w:spacing w:after="0" w:line="263"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37" w:lineRule="exact"/>
        <w:rPr>
          <w:sz w:val="20"/>
          <w:szCs w:val="20"/>
          <w:color w:val="auto"/>
        </w:rPr>
      </w:pPr>
    </w:p>
    <w:p>
      <w:pPr>
        <w:ind w:right="60" w:firstLine="648"/>
        <w:spacing w:after="0" w:line="269" w:lineRule="auto"/>
        <w:rPr>
          <w:sz w:val="20"/>
          <w:szCs w:val="20"/>
          <w:color w:val="auto"/>
        </w:rPr>
      </w:pPr>
      <w:r>
        <w:rPr>
          <w:rFonts w:ascii="Arial" w:cs="Arial" w:eastAsia="Arial" w:hAnsi="Arial"/>
          <w:sz w:val="18"/>
          <w:szCs w:val="18"/>
          <w:color w:val="auto"/>
        </w:rPr>
        <w:t>The fair value of our commodity derivatives and the change in fair value as of June 30, 2021 that would be expected from a 10% price increase or decrease is shown in the table below (in millions):</w:t>
      </w:r>
    </w:p>
    <w:tbl>
      <w:tblPr>
        <w:tblLayout w:type="fixed"/>
        <w:tblInd w:w="0" w:type="dxa"/>
        <w:tblCellMar>
          <w:top w:w="0" w:type="dxa"/>
          <w:left w:w="0" w:type="dxa"/>
          <w:bottom w:w="0" w:type="dxa"/>
          <w:right w:w="0" w:type="dxa"/>
        </w:tblCellMar>
      </w:tblPr>
      <w:tr>
        <w:trPr>
          <w:trHeight w:val="144"/>
        </w:trPr>
        <w:tc>
          <w:tcPr>
            <w:tcW w:w="5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Effect of 10%</w:t>
            </w:r>
          </w:p>
        </w:tc>
        <w:tc>
          <w:tcPr>
            <w:tcW w:w="840" w:type="dxa"/>
            <w:vAlign w:val="bottom"/>
          </w:tcPr>
          <w:p>
            <w:pPr>
              <w:spacing w:after="0"/>
              <w:rPr>
                <w:sz w:val="12"/>
                <w:szCs w:val="12"/>
                <w:color w:val="auto"/>
              </w:rPr>
            </w:pPr>
          </w:p>
        </w:tc>
        <w:tc>
          <w:tcPr>
            <w:tcW w:w="116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tcPr>
          <w:p>
            <w:pPr>
              <w:ind w:left="560"/>
              <w:spacing w:after="0"/>
              <w:rPr>
                <w:sz w:val="20"/>
                <w:szCs w:val="20"/>
                <w:color w:val="auto"/>
              </w:rPr>
            </w:pPr>
            <w:r>
              <w:rPr>
                <w:rFonts w:ascii="Arial" w:cs="Arial" w:eastAsia="Arial" w:hAnsi="Arial"/>
                <w:sz w:val="14"/>
                <w:szCs w:val="14"/>
                <w:b w:val="1"/>
                <w:bCs w:val="1"/>
                <w:color w:val="auto"/>
              </w:rPr>
              <w:t>Price Increase</w:t>
            </w:r>
          </w:p>
        </w:tc>
        <w:tc>
          <w:tcPr>
            <w:tcW w:w="2000" w:type="dxa"/>
            <w:vAlign w:val="bottom"/>
            <w:gridSpan w:val="2"/>
          </w:tcPr>
          <w:p>
            <w:pPr>
              <w:ind w:left="540"/>
              <w:spacing w:after="0"/>
              <w:rPr>
                <w:sz w:val="20"/>
                <w:szCs w:val="20"/>
                <w:color w:val="auto"/>
              </w:rPr>
            </w:pPr>
            <w:r>
              <w:rPr>
                <w:rFonts w:ascii="Arial" w:cs="Arial" w:eastAsia="Arial" w:hAnsi="Arial"/>
                <w:sz w:val="14"/>
                <w:szCs w:val="14"/>
                <w:b w:val="1"/>
                <w:bCs w:val="1"/>
                <w:color w:val="auto"/>
              </w:rPr>
              <w:t>Price Decrease</w:t>
            </w:r>
          </w:p>
        </w:tc>
        <w:tc>
          <w:tcPr>
            <w:tcW w:w="0" w:type="dxa"/>
            <w:vAlign w:val="bottom"/>
          </w:tcPr>
          <w:p>
            <w:pPr>
              <w:spacing w:after="0"/>
              <w:rPr>
                <w:sz w:val="1"/>
                <w:szCs w:val="1"/>
                <w:color w:val="auto"/>
              </w:rPr>
            </w:pPr>
          </w:p>
        </w:tc>
      </w:tr>
      <w:tr>
        <w:trPr>
          <w:trHeight w:val="224"/>
        </w:trPr>
        <w:tc>
          <w:tcPr>
            <w:tcW w:w="50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Crude oil</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93"/>
              </w:rPr>
              <w:t>(71)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Arial" w:cs="Arial" w:eastAsia="Arial" w:hAnsi="Arial"/>
                <w:sz w:val="18"/>
                <w:szCs w:val="18"/>
                <w:color w:val="auto"/>
              </w:rPr>
              <w:t>Natural gas</w:t>
            </w:r>
          </w:p>
        </w:tc>
        <w:tc>
          <w:tcPr>
            <w:tcW w:w="8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735"/>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695"/>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NGL and other</w:t>
            </w:r>
          </w:p>
        </w:tc>
        <w:tc>
          <w:tcPr>
            <w:tcW w:w="8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23"/>
        </w:trPr>
        <w:tc>
          <w:tcPr>
            <w:tcW w:w="5020" w:type="dxa"/>
            <w:vAlign w:val="bottom"/>
          </w:tcPr>
          <w:p>
            <w:pPr>
              <w:ind w:left="800"/>
              <w:spacing w:after="0"/>
              <w:rPr>
                <w:sz w:val="20"/>
                <w:szCs w:val="20"/>
                <w:color w:val="auto"/>
              </w:rPr>
            </w:pPr>
            <w:r>
              <w:rPr>
                <w:rFonts w:ascii="Arial" w:cs="Arial" w:eastAsia="Arial" w:hAnsi="Arial"/>
                <w:sz w:val="18"/>
                <w:szCs w:val="18"/>
                <w:color w:val="auto"/>
              </w:rPr>
              <w:t>Total fair value</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derivatives to hedge interest rate risk associated with anticipated interest payments and, in certain cases, outstanding debt instruments.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PAA’s senior notes are fixed rate notes and thus are not subject to interest rate risk. Our variable rate debt outstanding at June 30, 2021,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$588 million, was subject to interest rate re-sets that generally range from one day to approximately one month. The average interest rate on variable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that was outstanding during the six months ended June 30, 2021 was 0.8%, based upon rates in effect during such period. The fair value of our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derivatives was a net asset of $75 million as of June 30, 2021. A 10% increase in the forward LIBOR curve as of June 30, 2021 would have resulted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of $17 million to the fair value of our interest rate derivatives. A 10% decrease in the forward LIBOR curve as of June 30, 2021 would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in a decrease of $17 million to the fair value of our interest rate derivatives. See Note 8 to our Condensed Consolidated Financial Statements for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discussion of our interest rate risk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June 30, 2021. A 10% increase in the exchange rate (USD-to-CAD) would have resulted in an increase of less than $1 million to the fair value of our foreign currency derivatives. A 10% decrease in the exchange rate (USD-to-CAD) would have resulted in a decrease of less than $1 million to the fair value of our foreign currency derivatives. See Note 8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a liability of $5 million as of June 30, 2021. A 10% increase or decrease in the fair value would have an impact of less than $1 million. See Note 8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2021,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2021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For a discussion of our risk factors, see Item 1A. of our 2020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right="80" w:firstLine="8"/>
        <w:spacing w:after="0" w:line="268"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June 30, 2021, certain Legacy Owners or their permitted transferees exercised the Exchange Right, which resulted in the issuance of 25,554 Class A shares. The issuance of Class A shares in connection with the exercise of the Exchange Right was exempt from the registration requirements of the Securities Act of 1933, as amended, pursuant to Section 4(a)(2)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30"/>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7"/>
              </w:rPr>
            </w:pPr>
            <w:hyperlink r:id="rId80">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4"/>
              </w:rPr>
            </w:pPr>
            <w:hyperlink r:id="rId82">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Holdings, L.P. (incorporated by reference to Exhibit 3.1 to our Current Report on Form 8-K filed April 9,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5"/>
              </w:rPr>
            </w:pPr>
            <w:hyperlink r:id="rId83">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Form S-1 (333-190227) filed July 29, 2013).</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Third Amended and Restated Limited Liability Company Agreement of PAA GP Holdings LLC dated as of February 16, 2017</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(incorporated by reference to Exhibit 3.1 to our Current Report on Form 8-K filed February 21, 2017).</w:t>
              </w:r>
            </w:hyperlink>
          </w:p>
        </w:tc>
        <w:tc>
          <w:tcPr>
            <w:tcW w:w="178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Amendment No. 1 dated October 1, 2018 to the Third Amended and Restated Limited Liability Company Agreement of PAA GP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Holdings LLC (incorporated by reference to Exhibit 3.1 to our Current Report on Form 8-K filed August 20, 2018).</w:t>
              </w:r>
            </w:hyperlink>
          </w:p>
        </w:tc>
        <w:tc>
          <w:tcPr>
            <w:tcW w:w="10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Amendment No. 2 dated December 10, 2018 to the Third Amended and Restated Limited Liability Company Agreement of PAA</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GP Holdings LLC (incorporated by reference to Exhibit 3.1 to our Current Report on Form 8-K filed December 11, 2018).</w:t>
              </w:r>
            </w:hyperlink>
          </w:p>
        </w:tc>
        <w:tc>
          <w:tcPr>
            <w:tcW w:w="4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2"/>
              </w:rPr>
            </w:pPr>
            <w:hyperlink r:id="rId87">
              <w:r>
                <w:rPr>
                  <w:rFonts w:ascii="Arial" w:cs="Arial" w:eastAsia="Arial" w:hAnsi="Arial"/>
                  <w:sz w:val="18"/>
                  <w:szCs w:val="18"/>
                  <w:color w:val="0000FF"/>
                  <w:w w:val="92"/>
                </w:rPr>
                <w:t>Amendment No. 3 dated November 21, 2019 to the Third Amended and Restated Limited Liability Company Agreement of PAA</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GP Holdings LLC (incorporated by reference to Exhibit 3.1 to our Current Report on Form 8-K filed November 27, 2019).</w:t>
              </w:r>
            </w:hyperlink>
          </w:p>
        </w:tc>
        <w:tc>
          <w:tcPr>
            <w:tcW w:w="46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Amendment No. 4 dated February 25, 2021 to the Third Amended and Restated Limited Liability Company Agreement of PAA</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GP Holdings LLC (incorporated by reference to Exhibit 3.1 to our Current Report on Form 8-K filed March 3, 2021).</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7"/>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2017 (incorporated by reference to Exhibit 3.1 to PAA's Current Report on Form 8-K filed October 12, 2017).</w:t>
              </w:r>
            </w:hyperlink>
          </w:p>
        </w:tc>
        <w:tc>
          <w:tcPr>
            <w:tcW w:w="138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5"/>
              </w:rPr>
            </w:pPr>
            <w:hyperlink r:id="rId90">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2016 (incorporated by reference to Exhibit 3.3 to our Current Report on Form 8-K filed November 21, 2016).</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4"/>
              </w:rPr>
            </w:pPr>
            <w:hyperlink r:id="rId92">
              <w:r>
                <w:rPr>
                  <w:rFonts w:ascii="Arial" w:cs="Arial" w:eastAsia="Arial" w:hAnsi="Arial"/>
                  <w:sz w:val="18"/>
                  <w:szCs w:val="18"/>
                  <w:color w:val="0000FF"/>
                  <w:w w:val="94"/>
                </w:rPr>
                <w:t>Amendment No. 1 dated September 26, 2018 to the Eighth Amended and Restated Limited Partnership Agreement of Plains</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AAP, L.P. (incorporated by reference to Exhibit 3.1 to our Current Report on Form 8-K filed October 2, 2018).</w:t>
              </w:r>
            </w:hyperlink>
          </w:p>
        </w:tc>
        <w:tc>
          <w:tcPr>
            <w:tcW w:w="180" w:type="dxa"/>
            <w:vAlign w:val="bottom"/>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Amendment No. 2 dated May 23, 2019 to the Eighth Amended and Restated Limited Partnership Agreement of Plains AAP, L.P.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2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4"/>
              </w:rPr>
            </w:pPr>
            <w:hyperlink r:id="rId94">
              <w:r>
                <w:rPr>
                  <w:rFonts w:ascii="Arial" w:cs="Arial" w:eastAsia="Arial" w:hAnsi="Arial"/>
                  <w:sz w:val="18"/>
                  <w:szCs w:val="18"/>
                  <w:color w:val="0000FF"/>
                  <w:w w:val="94"/>
                </w:rPr>
                <w:t>Limited Liability Company Agreement of PAA GP LLC dated December 28, 2007 (incorporated by reference to Exhibit 3.3 to</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PAA’s Current Report on Form 8-K filed January 4, 2008).</w:t>
              </w:r>
            </w:hyperlink>
          </w:p>
        </w:tc>
        <w:tc>
          <w:tcPr>
            <w:tcW w:w="220" w:type="dxa"/>
            <w:vAlign w:val="bottom"/>
            <w:gridSpan w:val="8"/>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3"/>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Indenture dated September 25, 2002 among Plains All American Pipeline, L.P., PAA Finance Corp. and Wachovia Bank,</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120" w:type="dxa"/>
            <w:vAlign w:val="bottom"/>
            <w:gridSpan w:val="1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3"/>
          </w:tcPr>
          <w:p>
            <w:pPr>
              <w:spacing w:after="0" w:line="156" w:lineRule="exact"/>
              <w:rPr>
                <w:rFonts w:ascii="Arial" w:cs="Arial" w:eastAsia="Arial" w:hAnsi="Arial"/>
                <w:sz w:val="18"/>
                <w:szCs w:val="18"/>
                <w:color w:val="0000FF"/>
                <w:w w:val="97"/>
              </w:rPr>
            </w:pPr>
            <w:hyperlink r:id="rId95">
              <w:r>
                <w:rPr>
                  <w:rFonts w:ascii="Arial" w:cs="Arial" w:eastAsia="Arial" w:hAnsi="Arial"/>
                  <w:sz w:val="18"/>
                  <w:szCs w:val="18"/>
                  <w:color w:val="0000FF"/>
                  <w:w w:val="97"/>
                </w:rPr>
                <w:t>National Association, as trustee (incorporated by reference to Exhibit 4.1 to PAA’s Quarterly Report on Form 10-Q for the</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95">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4"/>
          </w:tcPr>
          <w:p>
            <w:pPr>
              <w:spacing w:after="0"/>
              <w:rPr>
                <w:sz w:val="13"/>
                <w:szCs w:val="13"/>
                <w:color w:val="auto"/>
              </w:rPr>
            </w:pPr>
          </w:p>
        </w:tc>
        <w:tc>
          <w:tcPr>
            <w:tcW w:w="560" w:type="dxa"/>
            <w:vAlign w:val="bottom"/>
            <w:gridSpan w:val="1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4.2</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Sixth Supplemental Indenture (Series A and Series B 6.70% Senior Notes due 2036) dated May 12, 2006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8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American Pipeline, L.P., PAA Finance Corp., the Subsidiary Guarantors named therein and Wachovia Bank, National</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Association, as trustee (incorporated by reference to Exhibit 4.1 to PAA’s Current Report on Form 8-K filed May 12,</w:t>
              </w:r>
            </w:hyperlink>
          </w:p>
        </w:tc>
        <w:tc>
          <w:tcPr>
            <w:tcW w:w="460" w:type="dxa"/>
            <w:vAlign w:val="bottom"/>
            <w:tcBorders>
              <w:bottom w:val="single" w:sz="8" w:color="0000FF"/>
            </w:tcBorders>
            <w:gridSpan w:val="10"/>
          </w:tcPr>
          <w:p>
            <w:pPr>
              <w:jc w:val="right"/>
              <w:spacing w:after="0" w:line="156" w:lineRule="exact"/>
              <w:rPr>
                <w:rFonts w:ascii="Arial" w:cs="Arial" w:eastAsia="Arial" w:hAnsi="Arial"/>
                <w:sz w:val="18"/>
                <w:szCs w:val="18"/>
                <w:color w:val="0000FF"/>
                <w:w w:val="86"/>
              </w:rPr>
            </w:pPr>
            <w:hyperlink r:id="rId97">
              <w:r>
                <w:rPr>
                  <w:rFonts w:ascii="Arial" w:cs="Arial" w:eastAsia="Arial" w:hAnsi="Arial"/>
                  <w:sz w:val="18"/>
                  <w:szCs w:val="18"/>
                  <w:color w:val="0000FF"/>
                  <w:w w:val="86"/>
                </w:rPr>
                <w:t>2006).</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4.3</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Tenth Supplemental Indenture (Series A and Series B 6.650% Senior Notes due 2037) dated October 30, 2006 among Plains All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2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American Pipeline, L.P., PAA Finance Corp., the Subsidiary Guarantors named therein and U.S. Bank National Association, as</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trustee (incorporated by reference to Exhibit 4.2 to PAA’s Current Report on Form 8-K filed October 30, 2006).</w:t>
              </w:r>
            </w:hyperlink>
          </w:p>
        </w:tc>
        <w:tc>
          <w:tcPr>
            <w:tcW w:w="11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4.4</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Twentieth Supplemental Indenture (3.65% Senior Notes due 2022) dated March 22, 2012 among Plains All American Pipeline,</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6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L.P., PAA Finance Corp and U.S. Bank National Association, as trustee (incorporated by reference to Exhibit 4.1 to PAA’s</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Current Report on Form 8-K filed March 26, 2012).</w:t>
              </w:r>
            </w:hyperlink>
          </w:p>
        </w:tc>
        <w:tc>
          <w:tcPr>
            <w:tcW w:w="50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4.5</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Twenty-First Supplemental Indenture (5.15% Senior Notes due 2042) dated March 22, 2012 among Plains All American</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4"/>
              </w:rPr>
            </w:pPr>
            <w:hyperlink r:id="rId100">
              <w:r>
                <w:rPr>
                  <w:rFonts w:ascii="Arial" w:cs="Arial" w:eastAsia="Arial" w:hAnsi="Arial"/>
                  <w:sz w:val="18"/>
                  <w:szCs w:val="18"/>
                  <w:color w:val="0000FF"/>
                  <w:w w:val="94"/>
                </w:rPr>
                <w:t>Pipeline, L.P., PAA Finance Corp and U.S. Bank National Association, as trustee (incorporated by reference to Exhibit 4.3 to</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PAA’s Current Report on Form 8-K filed March 26, 2012).</w:t>
              </w:r>
            </w:hyperlink>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4.6</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3"/>
              </w:rPr>
            </w:pPr>
            <w:hyperlink r:id="rId101">
              <w:r>
                <w:rPr>
                  <w:rFonts w:ascii="Arial" w:cs="Arial" w:eastAsia="Arial" w:hAnsi="Arial"/>
                  <w:sz w:val="18"/>
                  <w:szCs w:val="18"/>
                  <w:color w:val="0000FF"/>
                  <w:w w:val="93"/>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American Pipeline, L.P., PAA Finance Corp. and U.S. Bank National Association, as trustee (incorporated by reference to</w:t>
              </w:r>
            </w:hyperlink>
          </w:p>
        </w:tc>
        <w:tc>
          <w:tcPr>
            <w:tcW w:w="10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Exhibit 4.1 to PAA’s Current Report on Form 8-K filed December 12,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4.7</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6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American Pipeline, L.P., PAA Finance Corp. and U.S. Bank National Association, as trustee (incorporated by reference to</w:t>
              </w:r>
            </w:hyperlink>
          </w:p>
        </w:tc>
        <w:tc>
          <w:tcPr>
            <w:tcW w:w="22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Exhibit 4.3 to PAA’s Current Report on Form 8-K filed December 12,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4.8</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7"/>
              </w:rPr>
            </w:pPr>
            <w:hyperlink r:id="rId103">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6"/>
              </w:rPr>
            </w:pPr>
            <w:hyperlink r:id="rId103">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Exhibit 4.1 to PAA’s Current Report on Form 8-K filed August 15, 2013).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4.9</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6"/>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Twenty-Fifth Supplemental Indenture (4.70% Senior Notes due 2044) dated April 23, 2014, by and among Plains All American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4.10</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6"/>
              </w:rPr>
            </w:pPr>
            <w:hyperlink r:id="rId105">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Exhibit 4.1 to our Current Report on Form 8-K filed September 11,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4.11</w:t>
            </w:r>
          </w:p>
        </w:tc>
        <w:tc>
          <w:tcPr>
            <w:tcW w:w="78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FF"/>
                <w:w w:val="95"/>
              </w:rPr>
            </w:pPr>
            <w:hyperlink r:id="rId106">
              <w:r>
                <w:rPr>
                  <w:rFonts w:ascii="Arial" w:cs="Arial" w:eastAsia="Arial" w:hAnsi="Arial"/>
                  <w:sz w:val="18"/>
                  <w:szCs w:val="18"/>
                  <w:color w:val="0000FF"/>
                  <w:w w:val="95"/>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840" w:type="dxa"/>
            <w:vAlign w:val="bottom"/>
            <w:tcBorders>
              <w:top w:val="single" w:sz="8" w:color="0000FF"/>
            </w:tcBorders>
            <w:gridSpan w:val="17"/>
          </w:tcPr>
          <w:p>
            <w:pPr>
              <w:spacing w:after="0" w:line="15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American Pipeline, L.P., PAA Finance Corp., and U.S. Bank National Association, as trustee (incorporated by reference to</w:t>
              </w:r>
            </w:hyperlink>
          </w:p>
        </w:tc>
        <w:tc>
          <w:tcPr>
            <w:tcW w:w="240" w:type="dxa"/>
            <w:vAlign w:val="bottom"/>
            <w:gridSpan w:val="6"/>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Exhibit 4.3 to our Current Report on Form 8-K filed December 11, 2014).</w:t>
              </w:r>
            </w:hyperlink>
          </w:p>
        </w:tc>
        <w:tc>
          <w:tcPr>
            <w:tcW w:w="3480" w:type="dxa"/>
            <w:vAlign w:val="bottom"/>
            <w:tcBorders>
              <w:top w:val="single" w:sz="8" w:color="0000FF"/>
            </w:tcBorders>
            <w:gridSpan w:val="10"/>
          </w:tcPr>
          <w:p>
            <w:pPr>
              <w:spacing w:after="0"/>
              <w:rPr>
                <w:sz w:val="13"/>
                <w:szCs w:val="13"/>
                <w:color w:val="auto"/>
              </w:rPr>
            </w:pPr>
          </w:p>
        </w:tc>
        <w:tc>
          <w:tcPr>
            <w:tcW w:w="260" w:type="dxa"/>
            <w:vAlign w:val="bottom"/>
            <w:gridSpan w:val="7"/>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4.12</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8"/>
              </w:rPr>
            </w:pPr>
            <w:hyperlink r:id="rId107">
              <w:r>
                <w:rPr>
                  <w:rFonts w:ascii="Arial" w:cs="Arial" w:eastAsia="Arial" w:hAnsi="Arial"/>
                  <w:sz w:val="18"/>
                  <w:szCs w:val="18"/>
                  <w:color w:val="0000FF"/>
                  <w:w w:val="98"/>
                </w:rPr>
                <w:t>Twenty-Ninth Supplemental Indenture (4.65% Senior Notes due 2025) dated August 24, 2015,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8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American Pipeline, L.P., PAA Finance Corp., and U.S. Bank National Association, as trustee (incorporated by reference</w:t>
              </w:r>
            </w:hyperlink>
          </w:p>
        </w:tc>
        <w:tc>
          <w:tcPr>
            <w:tcW w:w="660" w:type="dxa"/>
            <w:vAlign w:val="bottom"/>
            <w:gridSpan w:val="19"/>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Exhibit 4.1 to PAA’s Current Report on Form 8-K filed August 26, 2015).</w:t>
              </w:r>
            </w:hyperlink>
          </w:p>
        </w:tc>
        <w:tc>
          <w:tcPr>
            <w:tcW w:w="260" w:type="dxa"/>
            <w:vAlign w:val="bottom"/>
            <w:gridSpan w:val="7"/>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4.13</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Thirtieth Supplemental Indenture (4.50% Senior Notes due 2026) dated November 22, 2016, by and among Plains All American</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6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PAA’s Current Report on Form 8-K filed November 29, 2016).</w:t>
              </w:r>
            </w:hyperlink>
          </w:p>
        </w:tc>
        <w:tc>
          <w:tcPr>
            <w:tcW w:w="4560" w:type="dxa"/>
            <w:vAlign w:val="bottom"/>
            <w:tcBorders>
              <w:top w:val="single" w:sz="8" w:color="0000FF"/>
            </w:tcBorders>
            <w:gridSpan w:val="19"/>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4.14</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7"/>
              </w:rPr>
            </w:pPr>
            <w:hyperlink r:id="rId109">
              <w:r>
                <w:rPr>
                  <w:rFonts w:ascii="Arial" w:cs="Arial" w:eastAsia="Arial" w:hAnsi="Arial"/>
                  <w:sz w:val="18"/>
                  <w:szCs w:val="18"/>
                  <w:color w:val="0000FF"/>
                  <w:w w:val="97"/>
                </w:rPr>
                <w:t>Thirty-First Supplemental Indenture (3.55% Senior Notes due 2029) dated September 16, 2019, by and among Plains All</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560" w:type="dxa"/>
            <w:vAlign w:val="bottom"/>
            <w:gridSpan w:val="8"/>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6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6"/>
              </w:rPr>
            </w:pPr>
            <w:hyperlink r:id="rId109">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Exhibit 4.1 to PAA’s Current Report on Form 8-K filed September 17, 2019).</w:t>
              </w:r>
            </w:hyperlink>
          </w:p>
        </w:tc>
        <w:tc>
          <w:tcPr>
            <w:tcW w:w="3220" w:type="dxa"/>
            <w:vAlign w:val="bottom"/>
            <w:tcBorders>
              <w:top w:val="single" w:sz="8" w:color="0000FF"/>
            </w:tcBorders>
            <w:gridSpan w:val="6"/>
          </w:tcPr>
          <w:p>
            <w:pPr>
              <w:spacing w:after="0"/>
              <w:rPr>
                <w:sz w:val="13"/>
                <w:szCs w:val="13"/>
                <w:color w:val="auto"/>
              </w:rPr>
            </w:pPr>
          </w:p>
        </w:tc>
        <w:tc>
          <w:tcPr>
            <w:tcW w:w="5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4.15</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Thirty-Second Supplemental Indenture (3.80% Senior Notes due 2030) dated June 11, 2020, by and among Plains All American</w:t>
              </w:r>
            </w:hyperlink>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4.16</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Shareholder and Registration Rights Agreement dated October 21, 2013 by and among Plains GP Holdings, L.P. and the other</w:t>
              </w:r>
            </w:hyperlink>
          </w:p>
        </w:tc>
      </w:tr>
      <w:tr>
        <w:trPr>
          <w:trHeight w:val="155"/>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4.17</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Description of Our Securities (incorporated by reference to Exhibit 4.17 to our Annual Report on Form 10-K for the year ended</w:t>
              </w:r>
            </w:hyperlink>
          </w:p>
        </w:tc>
      </w:tr>
      <w:tr>
        <w:trPr>
          <w:trHeight w:val="155"/>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December 31, 2020).</w:t>
              </w:r>
            </w:hyperlink>
          </w:p>
        </w:tc>
        <w:tc>
          <w:tcPr>
            <w:tcW w:w="40" w:type="dxa"/>
            <w:vAlign w:val="bottom"/>
            <w:gridSpan w:val="2"/>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31.1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Certification of Principal Executive Officer pursuant to Exchange Act Rules 13a-14(a) and 15d-14(a).</w:t>
              </w:r>
            </w:hyperlink>
          </w:p>
        </w:tc>
        <w:tc>
          <w:tcPr>
            <w:tcW w:w="1900" w:type="dxa"/>
            <w:vAlign w:val="bottom"/>
            <w:gridSpan w:val="6"/>
          </w:tcPr>
          <w:p>
            <w:pPr>
              <w:spacing w:after="0"/>
              <w:rPr>
                <w:sz w:val="24"/>
                <w:szCs w:val="24"/>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31.2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Principal Financial Officer pursuant to Exchange Act Rules 13a-14(a) and 15d-14(a).</w:t>
              </w:r>
            </w:hyperlink>
          </w:p>
        </w:tc>
      </w:tr>
      <w:tr>
        <w:trPr>
          <w:trHeight w:val="318"/>
        </w:trPr>
        <w:tc>
          <w:tcPr>
            <w:tcW w:w="24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32.1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0000FF"/>
            </w:tcBorders>
            <w:gridSpan w:val="6"/>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Principal Executive Officer pursuant to 18 U.S.C. 1350.</w:t>
              </w:r>
            </w:hyperlink>
          </w:p>
        </w:tc>
        <w:tc>
          <w:tcPr>
            <w:tcW w:w="1960" w:type="dxa"/>
            <w:vAlign w:val="bottom"/>
            <w:gridSpan w:val="7"/>
          </w:tcPr>
          <w:p>
            <w:pPr>
              <w:spacing w:after="0"/>
              <w:rPr>
                <w:sz w:val="24"/>
                <w:szCs w:val="24"/>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32.2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51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Principal Financial Officer pursuant to 18 U.S.C. 1350.</w:t>
              </w:r>
            </w:hyperlink>
          </w:p>
        </w:tc>
        <w:tc>
          <w:tcPr>
            <w:tcW w:w="40" w:type="dxa"/>
            <w:vAlign w:val="bottom"/>
            <w:tcBorders>
              <w:top w:val="single" w:sz="8" w:color="0000FF"/>
            </w:tcBorders>
          </w:tcPr>
          <w:p>
            <w:pPr>
              <w:spacing w:after="0"/>
              <w:rPr>
                <w:sz w:val="24"/>
                <w:szCs w:val="24"/>
                <w:color w:val="auto"/>
              </w:rPr>
            </w:pPr>
          </w:p>
        </w:tc>
        <w:tc>
          <w:tcPr>
            <w:tcW w:w="4060" w:type="dxa"/>
            <w:vAlign w:val="bottom"/>
            <w:gridSpan w:val="8"/>
          </w:tcPr>
          <w:p>
            <w:pPr>
              <w:spacing w:after="0"/>
              <w:rPr>
                <w:sz w:val="24"/>
                <w:szCs w:val="24"/>
                <w:color w:val="auto"/>
              </w:rPr>
            </w:pPr>
          </w:p>
        </w:tc>
      </w:tr>
      <w:tr>
        <w:trPr>
          <w:trHeight w:val="304"/>
        </w:trPr>
        <w:tc>
          <w:tcPr>
            <w:tcW w:w="24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101.INS†</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r>
      <w:tr>
        <w:trPr>
          <w:trHeight w:val="230"/>
        </w:trPr>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101.SCH†</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101.CAL†</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101.DEF†</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101.LAB†</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101.PRE†</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104†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4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75"/>
        </w:trPr>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w w:val="93"/>
              </w:rPr>
              <w:t>Furnished herewith.</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August 6, 2021</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August 6, 2021</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3"/>
              </w:rPr>
              <w:t>Senior Vice President and Chief Accounting Officer of PAA GP</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August 6, 2021</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6, 2021</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lowerRoman"/>
      <w:start w:val="2"/>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2"/>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lowerRoman"/>
      <w:start w:val="5"/>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1)"/>
      <w:numFmt w:val="lowerRoman"/>
      <w:start w:val="3"/>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3"/>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Roman"/>
      <w:start w:val="4"/>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Roman"/>
      <w:start w:val="2"/>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6" Type="http://schemas.openxmlformats.org/officeDocument/2006/relationships/image" Target="media/image73.png"/><Relationship Id="rId110" Type="http://schemas.openxmlformats.org/officeDocument/2006/relationships/image" Target="media/image74.png"/><Relationship Id="rId114" Type="http://schemas.openxmlformats.org/officeDocument/2006/relationships/image" Target="media/image75.png"/><Relationship Id="rId115" Type="http://schemas.openxmlformats.org/officeDocument/2006/relationships/image" Target="media/image76.png"/><Relationship Id="rId116" Type="http://schemas.openxmlformats.org/officeDocument/2006/relationships/image" Target="media/image77.png"/><Relationship Id="rId117" Type="http://schemas.openxmlformats.org/officeDocument/2006/relationships/image" Target="media/image78.png"/><Relationship Id="rId118" Type="http://schemas.openxmlformats.org/officeDocument/2006/relationships/image" Target="media/image79.png"/><Relationship Id="rId80" Type="http://schemas.openxmlformats.org/officeDocument/2006/relationships/hyperlink" Target="http://www.sec.gov/Archives/edgar/data/1581990/000104746913007875/a2216069zex-3_1.htm" TargetMode="External"/><Relationship Id="rId81" Type="http://schemas.openxmlformats.org/officeDocument/2006/relationships/hyperlink" Target="http://www.sec.gov/Archives/edgar/data/1581990/000110465916158356/a16-21845_1ex3d2.htm" TargetMode="External"/><Relationship Id="rId82" Type="http://schemas.openxmlformats.org/officeDocument/2006/relationships/hyperlink" Target="http://www.sec.gov/Archives/edgar/data/1581990/000158199020000012/exhibit31.htm" TargetMode="External"/><Relationship Id="rId83" Type="http://schemas.openxmlformats.org/officeDocument/2006/relationships/hyperlink" Target="http://www.sec.gov/Archives/edgar/data/1581990/000104746913007875/a2216069zex-3_3.htm" TargetMode="External"/><Relationship Id="rId84" Type="http://schemas.openxmlformats.org/officeDocument/2006/relationships/hyperlink" Target="http://www.sec.gov/Archives/edgar/data/1581990/000110465917010602/a17-6893_1ex3d1.htm" TargetMode="External"/><Relationship Id="rId85" Type="http://schemas.openxmlformats.org/officeDocument/2006/relationships/hyperlink" Target="http://www.sec.gov/Archives/edgar/data/1581990/000110465918052852/a18-18386_2ex3d1.htm" TargetMode="External"/><Relationship Id="rId86" Type="http://schemas.openxmlformats.org/officeDocument/2006/relationships/hyperlink" Target="http://www.sec.gov/Archives/edgar/data/1581990/000110465918072385/a18-41342_1ex3d1.htm" TargetMode="External"/><Relationship Id="rId87" Type="http://schemas.openxmlformats.org/officeDocument/2006/relationships/hyperlink" Target="http://www.sec.gov/Archives/edgar/data/1581990/000110465919067784/tm1923980d1_ex3-1.htm" TargetMode="External"/><Relationship Id="rId88" Type="http://schemas.openxmlformats.org/officeDocument/2006/relationships/hyperlink" Target="http://www.sec.gov/Archives/edgar/data/1581990/000110465921031458/tm2185263d2_ex3-1.htm" TargetMode="External"/><Relationship Id="rId89" Type="http://schemas.openxmlformats.org/officeDocument/2006/relationships/hyperlink" Target="http://www.sec.gov/Archives/edgar/data/1070423/000110465917061889/a17-22685_5ex3d1.htm" TargetMode="External"/><Relationship Id="rId90" Type="http://schemas.openxmlformats.org/officeDocument/2006/relationships/hyperlink" Target="http://www.sec.gov/Archives/edgar/data/1581990/000110465916158356/a16-21845_1ex3d3.htm" TargetMode="External"/><Relationship Id="rId91" Type="http://schemas.openxmlformats.org/officeDocument/2006/relationships/hyperlink" Target="http://www.sec.gov/Archives/edgar/data/1581990/000110465916158356/a16-21845_1ex3d4.htm" TargetMode="External"/><Relationship Id="rId92" Type="http://schemas.openxmlformats.org/officeDocument/2006/relationships/hyperlink" Target="http://www.sec.gov/Archives/edgar/data/1581990/000110465918060012/a18-36197_1ex3d1.htm" TargetMode="External"/><Relationship Id="rId93" Type="http://schemas.openxmlformats.org/officeDocument/2006/relationships/hyperlink" Target="http://www.sec.gov/Archives/edgar/data/1581990/000110465919032813/a19-10857_1ex3d1.htm" TargetMode="External"/><Relationship Id="rId94" Type="http://schemas.openxmlformats.org/officeDocument/2006/relationships/hyperlink" Target="http://www.sec.gov/Archives/edgar/data/1070423/000095012908000071/h52770exv3w3.htm" TargetMode="External"/><Relationship Id="rId95" Type="http://schemas.openxmlformats.org/officeDocument/2006/relationships/hyperlink" Target="http://www.sec.gov/Archives/edgar/data/1070423/000089924302002834/dex41.txt" TargetMode="External"/><Relationship Id="rId97" Type="http://schemas.openxmlformats.org/officeDocument/2006/relationships/hyperlink" Target="http://www.sec.gov/Archives/edgar/data/1070423/000110465906034368/a06-11663_1ex4d1.htm" TargetMode="External"/><Relationship Id="rId98" Type="http://schemas.openxmlformats.org/officeDocument/2006/relationships/hyperlink" Target="http://www.sec.gov/Archives/edgar/data/1070423/000095012906009235/h40667exv4w2.htm" TargetMode="External"/><Relationship Id="rId99" Type="http://schemas.openxmlformats.org/officeDocument/2006/relationships/hyperlink" Target="http://www.sec.gov/Archives/edgar/data/1070423/000119312512132295/d321017dex41.htm" TargetMode="External"/><Relationship Id="rId100" Type="http://schemas.openxmlformats.org/officeDocument/2006/relationships/hyperlink" Target="http://www.sec.gov/Archives/edgar/data/1070423/000119312512132295/d321017dex43.htm" TargetMode="External"/><Relationship Id="rId101" Type="http://schemas.openxmlformats.org/officeDocument/2006/relationships/hyperlink" Target="http://www.sec.gov/Archives/edgar/data/1070423/000119312512499932/d453762dex41.htm" TargetMode="External"/><Relationship Id="rId102" Type="http://schemas.openxmlformats.org/officeDocument/2006/relationships/hyperlink" Target="http://www.sec.gov/Archives/edgar/data/1070423/000119312512499932/d453762dex43.htm" TargetMode="External"/><Relationship Id="rId103" Type="http://schemas.openxmlformats.org/officeDocument/2006/relationships/hyperlink" Target="http://www.sec.gov/Archives/edgar/data/1070423/000119312513336066/d581734dex41.htm" TargetMode="External"/><Relationship Id="rId104" Type="http://schemas.openxmlformats.org/officeDocument/2006/relationships/hyperlink" Target="http://www.sec.gov/Archives/edgar/data/1581990/000119312514164185/d717953dex41.htm" TargetMode="External"/><Relationship Id="rId105" Type="http://schemas.openxmlformats.org/officeDocument/2006/relationships/hyperlink" Target="http://www.sec.gov/Archives/edgar/data/1581990/000119312514338295/d787197dex41.htm" TargetMode="External"/><Relationship Id="rId106" Type="http://schemas.openxmlformats.org/officeDocument/2006/relationships/hyperlink" Target="http://www.sec.gov/Archives/edgar/data/1581990/000119312514440012/d835488dex43.htm" TargetMode="External"/><Relationship Id="rId107" Type="http://schemas.openxmlformats.org/officeDocument/2006/relationships/hyperlink" Target="http://www.sec.gov/Archives/edgar/data/1070423/000119312515302829/d45393dex41.htm" TargetMode="External"/><Relationship Id="rId108" Type="http://schemas.openxmlformats.org/officeDocument/2006/relationships/hyperlink" Target="http://www.sec.gov/Archives/edgar/data/1070423/000110465916159593/a16-22232_1ex4d1.htm" TargetMode="External"/><Relationship Id="rId109" Type="http://schemas.openxmlformats.org/officeDocument/2006/relationships/hyperlink" Target="http://www.sec.gov/Archives/edgar/data/1070423/000141057819001281/tv529555_ex4-1.htm" TargetMode="External"/><Relationship Id="rId111" Type="http://schemas.openxmlformats.org/officeDocument/2006/relationships/hyperlink" Target="http://www.sec.gov/Archives/edgar/data/1070423/000110465920072270/tm2022235d1_ex4-1.htm" TargetMode="External"/><Relationship Id="rId112" Type="http://schemas.openxmlformats.org/officeDocument/2006/relationships/hyperlink" Target="http://www.sec.gov/Archives/edgar/data/1581990/000110465913078057/a13-22338_2ex4d1.htm" TargetMode="External"/><Relationship Id="rId113" Type="http://schemas.openxmlformats.org/officeDocument/2006/relationships/hyperlink" Target="http://www.sec.gov/Archives/edgar/data/1581990/000158199021000007/pagp2020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2021-08-06T17:24:36Z</dcterms:created>
  <dcterms:modified xsi:type="dcterms:W3CDTF">2021-08-06T17:24:36Z</dcterms:modified>
</cp:coreProperties>
</file>