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UNITED STATES</w:t>
      </w:r>
    </w:p>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center"/>
        <w:rPr>
          <w:rFonts w:ascii="Times New Roman;sans-serif" w:hAnsi="Times New Roman;sans-serif"/>
          <w:b/>
          <w:color w:val="000000"/>
          <w:sz w:val="10"/>
        </w:rPr>
      </w:pPr>
      <w:r>
        <w:rPr>
          <w:rFonts w:ascii="Times New Roman;sans-serif" w:hAnsi="Times New Roman;sans-serif"/>
          <w:b/>
          <w:color w:val="000000"/>
          <w:sz w:val="10"/>
        </w:rPr>
        <w:t>________________________________________________________________________________________________________________________________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2024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1-36132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PLAINS GP HOLDINGS, L.P.</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362" w:type="dxa"/>
        <w:jc w:val="center"/>
        <w:tblInd w:w="0" w:type="dxa"/>
        <w:tblLayout w:type="fixed"/>
        <w:tblCellMar>
          <w:top w:w="28" w:type="dxa"/>
          <w:left w:w="28" w:type="dxa"/>
          <w:bottom w:w="28" w:type="dxa"/>
          <w:right w:w="28" w:type="dxa"/>
        </w:tblCellMar>
      </w:tblPr>
      <w:tblGrid>
        <w:gridCol w:w="1560"/>
        <w:gridCol w:w="1370"/>
        <w:gridCol w:w="1390"/>
        <w:gridCol w:w="109"/>
        <w:gridCol w:w="109"/>
        <w:gridCol w:w="109"/>
        <w:gridCol w:w="793"/>
        <w:gridCol w:w="793"/>
        <w:gridCol w:w="1129"/>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90-1005472</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333 Clay Street, Suite 1600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Houston, Texas 77002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(713) 646-4100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w:t>
      </w:r>
    </w:p>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Shares</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PAGP</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20" w:after="283"/>
        <w:ind w:left="0" w:right="0" w:firstLine="360"/>
        <w:jc w:val="left"/>
        <w:rPr/>
      </w:pPr>
      <w:r>
        <w:rPr>
          <w:color w:val="000000"/>
        </w:rPr>
        <w:t> </w:t>
      </w: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6"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360"/>
        <w:jc w:val="left"/>
        <w:rPr/>
      </w:pPr>
      <w:r>
        <w:rPr>
          <w:color w:val="000000"/>
        </w:rPr>
        <w:t> </w:t>
      </w: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20" w:after="283"/>
        <w:ind w:left="0" w:right="0" w:firstLine="360"/>
        <w:jc w:val="left"/>
        <w:rPr/>
      </w:pPr>
      <w:r>
        <w:rPr>
          <w:rFonts w:ascii="Times New Roman;sans-serif" w:hAnsi="Times New Roman;sans-serif"/>
          <w:b w:val="false"/>
          <w:color w:val="000000"/>
          <w:sz w:val="20"/>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July 31, 2024, there were 197,263,697 Class A Shares outstanding.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52"/>
        <w:gridCol w:w="3066"/>
        <w:gridCol w:w="3075"/>
        <w:gridCol w:w="149"/>
        <w:gridCol w:w="149"/>
        <w:gridCol w:w="214"/>
      </w:tblGrid>
      <w:tr>
        <w:trPr/>
        <w:tc>
          <w:tcPr>
            <w:tcW w:w="3552" w:type="dxa"/>
            <w:tcBorders/>
            <w:vAlign w:val="center"/>
          </w:tcPr>
          <w:p>
            <w:pPr>
              <w:pStyle w:val="TableContents"/>
              <w:bidi w:val="0"/>
              <w:spacing w:before="0" w:after="283"/>
              <w:jc w:val="left"/>
              <w:rPr>
                <w:sz w:val="4"/>
                <w:szCs w:val="4"/>
              </w:rPr>
            </w:pPr>
            <w:r>
              <w:rPr>
                <w:sz w:val="4"/>
                <w:szCs w:val="4"/>
              </w:rPr>
            </w:r>
          </w:p>
        </w:tc>
        <w:tc>
          <w:tcPr>
            <w:tcW w:w="3066"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10">
              <w:r>
                <w:rPr>
                  <w:rStyle w:val="InternetLink"/>
                  <w:rFonts w:ascii="Times New Roman;sans-serif" w:hAnsi="Times New Roman;sans-serif"/>
                  <w:b/>
                  <w:color w:val="0000FF"/>
                  <w:sz w:val="20"/>
                  <w:u w:val="single"/>
                </w:rPr>
                <w:t>PART I. FINANCIAL INFORMATION</w:t>
              </w:r>
            </w:hyperlink>
          </w:p>
        </w:tc>
        <w:tc>
          <w:tcPr>
            <w:tcW w:w="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3f1b2cb7e4f1cb2746bcb8cc81f8b_13">
              <w:r>
                <w:rPr>
                  <w:rStyle w:val="InternetLink"/>
                  <w:rFonts w:ascii="Times New Roman;sans-serif" w:hAnsi="Times New Roman;sans-serif"/>
                  <w:b w:val="false"/>
                  <w:color w:val="0000FF"/>
                  <w:sz w:val="20"/>
                  <w:u w:val="single"/>
                </w:rPr>
                <w:t>Item 1. UNAUDITED CONDENSED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3f1b2cb7e4f1cb2746bcb8cc81f8b_16">
              <w:r>
                <w:rPr>
                  <w:rStyle w:val="InternetLink"/>
                  <w:rFonts w:ascii="Times New Roman;sans-serif" w:hAnsi="Times New Roman;sans-serif"/>
                  <w:b w:val="false"/>
                  <w:color w:val="000080"/>
                  <w:sz w:val="20"/>
                  <w:u w:val="single"/>
                </w:rPr>
                <w:t xml:space="preserve">Condensed Consolidated Balance Sheets: As of </w:t>
              </w:r>
            </w:hyperlink>
            <w:hyperlink w:anchor="ie423f1b2cb7e4f1cb2746bcb8cc81f8b_16">
              <w:r>
                <w:rPr>
                  <w:rStyle w:val="InternetLink"/>
                  <w:rFonts w:ascii="Times New Roman;sans-serif" w:hAnsi="Times New Roman;sans-serif"/>
                  <w:b w:val="false"/>
                  <w:color w:val="000080"/>
                  <w:sz w:val="20"/>
                  <w:u w:val="single"/>
                </w:rPr>
                <w:t>June 30</w:t>
              </w:r>
            </w:hyperlink>
            <w:hyperlink w:anchor="ie423f1b2cb7e4f1cb2746bcb8cc81f8b_16">
              <w:r>
                <w:rPr>
                  <w:rStyle w:val="InternetLink"/>
                  <w:rFonts w:ascii="Times New Roman;sans-serif" w:hAnsi="Times New Roman;sans-serif"/>
                  <w:b w:val="false"/>
                  <w:color w:val="000080"/>
                  <w:sz w:val="20"/>
                  <w:u w:val="single"/>
                </w:rPr>
                <w:t>, 2024 and December 31, 2023</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16">
              <w:r>
                <w:rPr>
                  <w:rStyle w:val="InternetLink"/>
                  <w:rFonts w:ascii="Times New Roman;sans-serif" w:hAnsi="Times New Roman;sans-serif"/>
                  <w:b w:val="false"/>
                  <w:color w:val="0000FF"/>
                  <w:sz w:val="20"/>
                  <w:u w:val="single"/>
                </w:rPr>
                <w:t>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19">
              <w:r>
                <w:rPr>
                  <w:rStyle w:val="InternetLink"/>
                  <w:rFonts w:ascii="Times New Roman;sans-serif" w:hAnsi="Times New Roman;sans-serif"/>
                  <w:b w:val="false"/>
                  <w:color w:val="000080"/>
                  <w:sz w:val="20"/>
                  <w:u w:val="single"/>
                </w:rPr>
                <w:t xml:space="preserve">Condensed Consolidated Statements of Operations: For the three </w:t>
              </w:r>
            </w:hyperlink>
            <w:hyperlink w:anchor="ie423f1b2cb7e4f1cb2746bcb8cc81f8b_19">
              <w:r>
                <w:rPr>
                  <w:rStyle w:val="InternetLink"/>
                  <w:rFonts w:ascii="Times New Roman;sans-serif" w:hAnsi="Times New Roman;sans-serif"/>
                  <w:b w:val="false"/>
                  <w:color w:val="000080"/>
                  <w:sz w:val="20"/>
                  <w:u w:val="single"/>
                </w:rPr>
                <w:t xml:space="preserve">and six </w:t>
              </w:r>
            </w:hyperlink>
            <w:hyperlink w:anchor="ie423f1b2cb7e4f1cb2746bcb8cc81f8b_19">
              <w:r>
                <w:rPr>
                  <w:rStyle w:val="InternetLink"/>
                  <w:rFonts w:ascii="Times New Roman;sans-serif" w:hAnsi="Times New Roman;sans-serif"/>
                  <w:b w:val="false"/>
                  <w:color w:val="000080"/>
                  <w:sz w:val="20"/>
                  <w:u w:val="single"/>
                </w:rPr>
                <w:t xml:space="preserve">months ended </w:t>
              </w:r>
            </w:hyperlink>
            <w:hyperlink w:anchor="ie423f1b2cb7e4f1cb2746bcb8cc81f8b_19">
              <w:r>
                <w:rPr>
                  <w:rStyle w:val="InternetLink"/>
                  <w:rFonts w:ascii="Times New Roman;sans-serif" w:hAnsi="Times New Roman;sans-serif"/>
                  <w:b w:val="false"/>
                  <w:color w:val="000080"/>
                  <w:sz w:val="20"/>
                  <w:u w:val="single"/>
                </w:rPr>
                <w:t>June 30</w:t>
              </w:r>
            </w:hyperlink>
            <w:hyperlink w:anchor="ie423f1b2cb7e4f1cb2746bcb8cc81f8b_19">
              <w:r>
                <w:rPr>
                  <w:rStyle w:val="InternetLink"/>
                  <w:rFonts w:ascii="Times New Roman;sans-serif" w:hAnsi="Times New Roman;sans-serif"/>
                  <w:b w:val="false"/>
                  <w:color w:val="000080"/>
                  <w:sz w:val="20"/>
                  <w:u w:val="single"/>
                </w:rPr>
                <w:t>, 2024 and 2023</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19">
              <w:r>
                <w:rPr>
                  <w:rStyle w:val="InternetLink"/>
                  <w:rFonts w:ascii="Times New Roman;sans-serif" w:hAnsi="Times New Roman;sans-serif"/>
                  <w:b w:val="false"/>
                  <w:color w:val="0000FF"/>
                  <w:sz w:val="20"/>
                  <w:u w:val="single"/>
                </w:rPr>
                <w:t>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22">
              <w:r>
                <w:rPr>
                  <w:rStyle w:val="InternetLink"/>
                  <w:rFonts w:ascii="Times New Roman;sans-serif" w:hAnsi="Times New Roman;sans-serif"/>
                  <w:b w:val="false"/>
                  <w:color w:val="000080"/>
                  <w:sz w:val="20"/>
                  <w:u w:val="single"/>
                </w:rPr>
                <w:t>Condensed Consolidated Statements of Comprehensive Income: For the three</w:t>
              </w:r>
            </w:hyperlink>
            <w:hyperlink w:anchor="ie423f1b2cb7e4f1cb2746bcb8cc81f8b_22">
              <w:r>
                <w:rPr>
                  <w:rStyle w:val="InternetLink"/>
                  <w:rFonts w:ascii="Times New Roman;sans-serif" w:hAnsi="Times New Roman;sans-serif"/>
                  <w:b w:val="false"/>
                  <w:color w:val="000080"/>
                  <w:sz w:val="20"/>
                  <w:u w:val="single"/>
                </w:rPr>
                <w:t xml:space="preserve"> and six</w:t>
              </w:r>
            </w:hyperlink>
            <w:hyperlink w:anchor="ie423f1b2cb7e4f1cb2746bcb8cc81f8b_22">
              <w:r>
                <w:rPr>
                  <w:rStyle w:val="InternetLink"/>
                  <w:rFonts w:ascii="Times New Roman;sans-serif" w:hAnsi="Times New Roman;sans-serif"/>
                  <w:b w:val="false"/>
                  <w:color w:val="000080"/>
                  <w:sz w:val="20"/>
                  <w:u w:val="single"/>
                </w:rPr>
                <w:t xml:space="preserve"> months ended </w:t>
              </w:r>
            </w:hyperlink>
            <w:hyperlink w:anchor="ie423f1b2cb7e4f1cb2746bcb8cc81f8b_22">
              <w:r>
                <w:rPr>
                  <w:rStyle w:val="InternetLink"/>
                  <w:rFonts w:ascii="Times New Roman;sans-serif" w:hAnsi="Times New Roman;sans-serif"/>
                  <w:b w:val="false"/>
                  <w:color w:val="000080"/>
                  <w:sz w:val="20"/>
                  <w:u w:val="single"/>
                </w:rPr>
                <w:t>June 30</w:t>
              </w:r>
            </w:hyperlink>
            <w:hyperlink w:anchor="ie423f1b2cb7e4f1cb2746bcb8cc81f8b_22">
              <w:r>
                <w:rPr>
                  <w:rStyle w:val="InternetLink"/>
                  <w:rFonts w:ascii="Times New Roman;sans-serif" w:hAnsi="Times New Roman;sans-serif"/>
                  <w:b w:val="false"/>
                  <w:color w:val="000080"/>
                  <w:sz w:val="20"/>
                  <w:u w:val="single"/>
                </w:rPr>
                <w:t>, 2024 and 2023</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22">
              <w:r>
                <w:rPr>
                  <w:rStyle w:val="InternetLink"/>
                  <w:rFonts w:ascii="Times New Roman;sans-serif" w:hAnsi="Times New Roman;sans-serif"/>
                  <w:b w:val="false"/>
                  <w:color w:val="0000FF"/>
                  <w:sz w:val="20"/>
                  <w:u w:val="single"/>
                </w:rPr>
                <w:t>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25">
              <w:r>
                <w:rPr>
                  <w:rStyle w:val="InternetLink"/>
                  <w:rFonts w:ascii="Times New Roman;sans-serif" w:hAnsi="Times New Roman;sans-serif"/>
                  <w:b w:val="false"/>
                  <w:color w:val="000080"/>
                  <w:sz w:val="20"/>
                  <w:u w:val="single"/>
                </w:rPr>
                <w:t xml:space="preserve">Condensed Consolidated Statements of Changes in Accumulated Other Comprehensive Income/(Loss): For the </w:t>
              </w:r>
            </w:hyperlink>
            <w:hyperlink w:anchor="ie423f1b2cb7e4f1cb2746bcb8cc81f8b_25">
              <w:r>
                <w:rPr>
                  <w:rStyle w:val="InternetLink"/>
                  <w:rFonts w:ascii="Times New Roman;sans-serif" w:hAnsi="Times New Roman;sans-serif"/>
                  <w:b w:val="false"/>
                  <w:color w:val="000080"/>
                  <w:sz w:val="20"/>
                  <w:u w:val="single"/>
                </w:rPr>
                <w:t>six</w:t>
              </w:r>
            </w:hyperlink>
            <w:hyperlink w:anchor="ie423f1b2cb7e4f1cb2746bcb8cc81f8b_25">
              <w:r>
                <w:rPr>
                  <w:rStyle w:val="InternetLink"/>
                  <w:rFonts w:ascii="Times New Roman;sans-serif" w:hAnsi="Times New Roman;sans-serif"/>
                  <w:b w:val="false"/>
                  <w:color w:val="000080"/>
                  <w:sz w:val="20"/>
                  <w:u w:val="single"/>
                </w:rPr>
                <w:t xml:space="preserve"> months ended </w:t>
              </w:r>
            </w:hyperlink>
            <w:hyperlink w:anchor="ie423f1b2cb7e4f1cb2746bcb8cc81f8b_25">
              <w:r>
                <w:rPr>
                  <w:rStyle w:val="InternetLink"/>
                  <w:rFonts w:ascii="Times New Roman;sans-serif" w:hAnsi="Times New Roman;sans-serif"/>
                  <w:b w:val="false"/>
                  <w:color w:val="000080"/>
                  <w:sz w:val="20"/>
                  <w:u w:val="single"/>
                </w:rPr>
                <w:t>June 30</w:t>
              </w:r>
            </w:hyperlink>
            <w:hyperlink w:anchor="ie423f1b2cb7e4f1cb2746bcb8cc81f8b_25">
              <w:r>
                <w:rPr>
                  <w:rStyle w:val="InternetLink"/>
                  <w:rFonts w:ascii="Times New Roman;sans-serif" w:hAnsi="Times New Roman;sans-serif"/>
                  <w:b w:val="false"/>
                  <w:color w:val="000080"/>
                  <w:sz w:val="20"/>
                  <w:u w:val="single"/>
                </w:rPr>
                <w:t>, 2024 and 2023</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25">
              <w:r>
                <w:rPr>
                  <w:rStyle w:val="InternetLink"/>
                  <w:rFonts w:ascii="Times New Roman;sans-serif" w:hAnsi="Times New Roman;sans-serif"/>
                  <w:b w:val="false"/>
                  <w:color w:val="0000FF"/>
                  <w:sz w:val="20"/>
                  <w:u w:val="single"/>
                </w:rPr>
                <w:t>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3f1b2cb7e4f1cb2746bcb8cc81f8b_28">
              <w:r>
                <w:rPr>
                  <w:rStyle w:val="InternetLink"/>
                  <w:rFonts w:ascii="Times New Roman;sans-serif" w:hAnsi="Times New Roman;sans-serif"/>
                  <w:b w:val="false"/>
                  <w:color w:val="000080"/>
                  <w:sz w:val="20"/>
                  <w:u w:val="single"/>
                </w:rPr>
                <w:t xml:space="preserve">Condensed Consolidated Statements of Cash Flows: For the </w:t>
              </w:r>
            </w:hyperlink>
            <w:hyperlink w:anchor="ie423f1b2cb7e4f1cb2746bcb8cc81f8b_28">
              <w:r>
                <w:rPr>
                  <w:rStyle w:val="InternetLink"/>
                  <w:rFonts w:ascii="Times New Roman;sans-serif" w:hAnsi="Times New Roman;sans-serif"/>
                  <w:b w:val="false"/>
                  <w:color w:val="000080"/>
                  <w:sz w:val="20"/>
                  <w:u w:val="single"/>
                </w:rPr>
                <w:t>six</w:t>
              </w:r>
            </w:hyperlink>
            <w:hyperlink w:anchor="ie423f1b2cb7e4f1cb2746bcb8cc81f8b_28">
              <w:r>
                <w:rPr>
                  <w:rStyle w:val="InternetLink"/>
                  <w:rFonts w:ascii="Times New Roman;sans-serif" w:hAnsi="Times New Roman;sans-serif"/>
                  <w:b w:val="false"/>
                  <w:color w:val="000080"/>
                  <w:sz w:val="20"/>
                  <w:u w:val="single"/>
                </w:rPr>
                <w:t xml:space="preserve"> months ended </w:t>
              </w:r>
            </w:hyperlink>
            <w:hyperlink w:anchor="ie423f1b2cb7e4f1cb2746bcb8cc81f8b_28">
              <w:r>
                <w:rPr>
                  <w:rStyle w:val="InternetLink"/>
                  <w:rFonts w:ascii="Times New Roman;sans-serif" w:hAnsi="Times New Roman;sans-serif"/>
                  <w:b w:val="false"/>
                  <w:color w:val="000080"/>
                  <w:sz w:val="20"/>
                  <w:u w:val="single"/>
                </w:rPr>
                <w:t>June 30</w:t>
              </w:r>
            </w:hyperlink>
            <w:hyperlink w:anchor="ie423f1b2cb7e4f1cb2746bcb8cc81f8b_28">
              <w:r>
                <w:rPr>
                  <w:rStyle w:val="InternetLink"/>
                  <w:rFonts w:ascii="Times New Roman;sans-serif" w:hAnsi="Times New Roman;sans-serif"/>
                  <w:b w:val="false"/>
                  <w:color w:val="000080"/>
                  <w:sz w:val="20"/>
                  <w:u w:val="single"/>
                </w:rPr>
                <w:t>, 2024 and 2023</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28">
              <w:r>
                <w:rPr>
                  <w:rStyle w:val="InternetLink"/>
                  <w:rFonts w:ascii="Times New Roman;sans-serif" w:hAnsi="Times New Roman;sans-serif"/>
                  <w:b w:val="false"/>
                  <w:color w:val="0000FF"/>
                  <w:sz w:val="20"/>
                  <w:u w:val="single"/>
                </w:rPr>
                <w:t>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31">
              <w:r>
                <w:rPr>
                  <w:rStyle w:val="InternetLink"/>
                  <w:rFonts w:ascii="Times New Roman;sans-serif" w:hAnsi="Times New Roman;sans-serif"/>
                  <w:b w:val="false"/>
                  <w:color w:val="000080"/>
                  <w:sz w:val="20"/>
                  <w:u w:val="single"/>
                </w:rPr>
                <w:t xml:space="preserve">Condensed Consolidated Statements of Changes in Partners’ Capital: For the </w:t>
              </w:r>
            </w:hyperlink>
            <w:hyperlink w:anchor="ie423f1b2cb7e4f1cb2746bcb8cc81f8b_31">
              <w:r>
                <w:rPr>
                  <w:rStyle w:val="InternetLink"/>
                  <w:rFonts w:ascii="Times New Roman;sans-serif" w:hAnsi="Times New Roman;sans-serif"/>
                  <w:b w:val="false"/>
                  <w:color w:val="000080"/>
                  <w:sz w:val="20"/>
                  <w:u w:val="single"/>
                </w:rPr>
                <w:t xml:space="preserve">three and </w:t>
              </w:r>
            </w:hyperlink>
            <w:hyperlink w:anchor="ie423f1b2cb7e4f1cb2746bcb8cc81f8b_31">
              <w:r>
                <w:rPr>
                  <w:rStyle w:val="InternetLink"/>
                  <w:rFonts w:ascii="Times New Roman;sans-serif" w:hAnsi="Times New Roman;sans-serif"/>
                  <w:b w:val="false"/>
                  <w:color w:val="000080"/>
                  <w:sz w:val="20"/>
                  <w:u w:val="single"/>
                </w:rPr>
                <w:t>six</w:t>
              </w:r>
            </w:hyperlink>
            <w:hyperlink w:anchor="ie423f1b2cb7e4f1cb2746bcb8cc81f8b_31">
              <w:r>
                <w:rPr>
                  <w:rStyle w:val="InternetLink"/>
                  <w:rFonts w:ascii="Times New Roman;sans-serif" w:hAnsi="Times New Roman;sans-serif"/>
                  <w:b w:val="false"/>
                  <w:color w:val="000080"/>
                  <w:sz w:val="20"/>
                  <w:u w:val="single"/>
                </w:rPr>
                <w:t xml:space="preserve"> months ended </w:t>
              </w:r>
            </w:hyperlink>
            <w:hyperlink w:anchor="ie423f1b2cb7e4f1cb2746bcb8cc81f8b_31">
              <w:r>
                <w:rPr>
                  <w:rStyle w:val="InternetLink"/>
                  <w:rFonts w:ascii="Times New Roman;sans-serif" w:hAnsi="Times New Roman;sans-serif"/>
                  <w:b w:val="false"/>
                  <w:color w:val="000080"/>
                  <w:sz w:val="20"/>
                  <w:u w:val="single"/>
                </w:rPr>
                <w:t>June 30</w:t>
              </w:r>
            </w:hyperlink>
            <w:hyperlink w:anchor="ie423f1b2cb7e4f1cb2746bcb8cc81f8b_31">
              <w:r>
                <w:rPr>
                  <w:rStyle w:val="InternetLink"/>
                  <w:rFonts w:ascii="Times New Roman;sans-serif" w:hAnsi="Times New Roman;sans-serif"/>
                  <w:b w:val="false"/>
                  <w:color w:val="000080"/>
                  <w:sz w:val="20"/>
                  <w:u w:val="single"/>
                </w:rPr>
                <w:t>, 2024 and 2023</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31">
              <w:r>
                <w:rPr>
                  <w:rStyle w:val="InternetLink"/>
                  <w:rFonts w:ascii="Times New Roman;sans-serif" w:hAnsi="Times New Roman;sans-serif"/>
                  <w:b w:val="false"/>
                  <w:color w:val="0000FF"/>
                  <w:sz w:val="20"/>
                  <w:u w:val="single"/>
                </w:rPr>
                <w:t>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34">
              <w:r>
                <w:rPr>
                  <w:rStyle w:val="InternetLink"/>
                  <w:rFonts w:ascii="Times New Roman;sans-serif" w:hAnsi="Times New Roman;sans-serif"/>
                  <w:b w:val="false"/>
                  <w:color w:val="0000FF"/>
                  <w:sz w:val="20"/>
                  <w:u w:val="single"/>
                </w:rPr>
                <w:t>Notes to the Condensed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37">
              <w:r>
                <w:rPr>
                  <w:rStyle w:val="InternetLink"/>
                  <w:rFonts w:ascii="Times New Roman;sans-serif" w:hAnsi="Times New Roman;sans-serif"/>
                  <w:b w:val="false"/>
                  <w:color w:val="0000FF"/>
                  <w:sz w:val="20"/>
                  <w:u w:val="single"/>
                </w:rPr>
                <w:t>1. Organization and Basis of Consolidation and Presentation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37">
              <w:r>
                <w:rPr>
                  <w:rStyle w:val="InternetLink"/>
                  <w:rFonts w:ascii="Times New Roman;sans-serif" w:hAnsi="Times New Roman;sans-serif"/>
                  <w:b w:val="false"/>
                  <w:color w:val="0000FF"/>
                  <w:sz w:val="20"/>
                  <w:u w:val="single"/>
                </w:rPr>
                <w:t>8</w:t>
              </w:r>
            </w:hyperlink>
          </w:p>
        </w:tc>
      </w:tr>
      <w:tr>
        <w:trPr/>
        <w:tc>
          <w:tcPr>
            <w:tcW w:w="9693"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23f1b2cb7e4f1cb2746bcb8cc81f8b_43">
              <w:r>
                <w:rPr>
                  <w:rStyle w:val="InternetLink"/>
                  <w:rFonts w:ascii="Times New Roman;sans-serif" w:hAnsi="Times New Roman;sans-serif"/>
                  <w:b w:val="false"/>
                  <w:color w:val="0000FF"/>
                  <w:sz w:val="20"/>
                  <w:u w:val="single"/>
                </w:rPr>
                <w:t>2. Revenues and Accounts Receivable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43">
              <w:r>
                <w:rPr>
                  <w:rStyle w:val="InternetLink"/>
                  <w:rFonts w:ascii="Times New Roman;sans-serif" w:hAnsi="Times New Roman;sans-serif"/>
                  <w:b w:val="false"/>
                  <w:color w:val="0000FF"/>
                  <w:sz w:val="20"/>
                  <w:u w:val="single"/>
                </w:rPr>
                <w:t>11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49">
              <w:r>
                <w:rPr>
                  <w:rStyle w:val="InternetLink"/>
                  <w:rFonts w:ascii="Times New Roman;sans-serif" w:hAnsi="Times New Roman;sans-serif"/>
                  <w:b w:val="false"/>
                  <w:color w:val="0000FF"/>
                  <w:sz w:val="20"/>
                  <w:u w:val="single"/>
                </w:rPr>
                <w:t>3. Net Income Per Class A Share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49">
              <w:r>
                <w:rPr>
                  <w:rStyle w:val="InternetLink"/>
                  <w:rFonts w:ascii="Times New Roman;sans-serif" w:hAnsi="Times New Roman;sans-serif"/>
                  <w:b w:val="false"/>
                  <w:color w:val="0000FF"/>
                  <w:sz w:val="20"/>
                  <w:u w:val="single"/>
                </w:rPr>
                <w:t>14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52">
              <w:r>
                <w:rPr>
                  <w:rStyle w:val="InternetLink"/>
                  <w:rFonts w:ascii="Times New Roman;sans-serif" w:hAnsi="Times New Roman;sans-serif"/>
                  <w:b w:val="false"/>
                  <w:color w:val="0000FF"/>
                  <w:sz w:val="20"/>
                  <w:u w:val="single"/>
                </w:rPr>
                <w:t>4. Inventory, Linefill and Long-term Inventory</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52">
              <w:r>
                <w:rPr>
                  <w:rStyle w:val="InternetLink"/>
                  <w:rFonts w:ascii="Times New Roman;sans-serif" w:hAnsi="Times New Roman;sans-serif"/>
                  <w:b w:val="false"/>
                  <w:color w:val="0000FF"/>
                  <w:sz w:val="20"/>
                  <w:u w:val="single"/>
                </w:rPr>
                <w:t>15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55">
              <w:r>
                <w:rPr>
                  <w:rStyle w:val="InternetLink"/>
                  <w:rFonts w:ascii="Times New Roman;sans-serif" w:hAnsi="Times New Roman;sans-serif"/>
                  <w:b w:val="false"/>
                  <w:color w:val="0000FF"/>
                  <w:sz w:val="20"/>
                  <w:u w:val="single"/>
                </w:rPr>
                <w:t>5. Debt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55">
              <w:r>
                <w:rPr>
                  <w:rStyle w:val="InternetLink"/>
                  <w:rFonts w:ascii="Times New Roman;sans-serif" w:hAnsi="Times New Roman;sans-serif"/>
                  <w:b w:val="false"/>
                  <w:color w:val="0000FF"/>
                  <w:sz w:val="20"/>
                  <w:u w:val="single"/>
                </w:rPr>
                <w:t>15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58">
              <w:r>
                <w:rPr>
                  <w:rStyle w:val="InternetLink"/>
                  <w:rFonts w:ascii="Times New Roman;sans-serif" w:hAnsi="Times New Roman;sans-serif"/>
                  <w:b w:val="false"/>
                  <w:color w:val="0000FF"/>
                  <w:sz w:val="20"/>
                  <w:u w:val="single"/>
                </w:rPr>
                <w:t>6. Partners’ Capital and Distributions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58">
              <w:r>
                <w:rPr>
                  <w:rStyle w:val="InternetLink"/>
                  <w:rFonts w:ascii="Times New Roman;sans-serif" w:hAnsi="Times New Roman;sans-serif"/>
                  <w:b w:val="false"/>
                  <w:color w:val="0000FF"/>
                  <w:sz w:val="20"/>
                  <w:u w:val="single"/>
                </w:rPr>
                <w:t>17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61">
              <w:r>
                <w:rPr>
                  <w:rStyle w:val="InternetLink"/>
                  <w:rFonts w:ascii="Times New Roman;sans-serif" w:hAnsi="Times New Roman;sans-serif"/>
                  <w:b w:val="false"/>
                  <w:color w:val="0000FF"/>
                  <w:sz w:val="20"/>
                  <w:u w:val="single"/>
                </w:rPr>
                <w:t>7. Derivatives and Risk Management Activities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61">
              <w:r>
                <w:rPr>
                  <w:rStyle w:val="InternetLink"/>
                  <w:rFonts w:ascii="Times New Roman;sans-serif" w:hAnsi="Times New Roman;sans-serif"/>
                  <w:b w:val="false"/>
                  <w:color w:val="0000FF"/>
                  <w:sz w:val="20"/>
                  <w:u w:val="single"/>
                </w:rPr>
                <w:t>19</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64">
              <w:r>
                <w:rPr>
                  <w:rStyle w:val="InternetLink"/>
                  <w:rFonts w:ascii="Times New Roman;sans-serif" w:hAnsi="Times New Roman;sans-serif"/>
                  <w:b w:val="false"/>
                  <w:color w:val="0000FF"/>
                  <w:sz w:val="20"/>
                  <w:u w:val="single"/>
                </w:rPr>
                <w:t>8. Related Party Transactions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64">
              <w:r>
                <w:rPr>
                  <w:rStyle w:val="InternetLink"/>
                  <w:rFonts w:ascii="Times New Roman;sans-serif" w:hAnsi="Times New Roman;sans-serif"/>
                  <w:b w:val="false"/>
                  <w:color w:val="0000FF"/>
                  <w:sz w:val="20"/>
                  <w:u w:val="single"/>
                </w:rPr>
                <w:t>23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67">
              <w:r>
                <w:rPr>
                  <w:rStyle w:val="InternetLink"/>
                  <w:rFonts w:ascii="Times New Roman;sans-serif" w:hAnsi="Times New Roman;sans-serif"/>
                  <w:b w:val="false"/>
                  <w:color w:val="0000FF"/>
                  <w:sz w:val="20"/>
                  <w:u w:val="single"/>
                </w:rPr>
                <w:t>9. Commitments and Contingencies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67">
              <w:r>
                <w:rPr>
                  <w:rStyle w:val="InternetLink"/>
                  <w:rFonts w:ascii="Times New Roman;sans-serif" w:hAnsi="Times New Roman;sans-serif"/>
                  <w:b w:val="false"/>
                  <w:color w:val="0000FF"/>
                  <w:sz w:val="20"/>
                  <w:u w:val="single"/>
                </w:rPr>
                <w:t>24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70">
              <w:r>
                <w:rPr>
                  <w:rStyle w:val="InternetLink"/>
                  <w:rFonts w:ascii="Times New Roman;sans-serif" w:hAnsi="Times New Roman;sans-serif"/>
                  <w:b w:val="false"/>
                  <w:color w:val="0000FF"/>
                  <w:sz w:val="20"/>
                  <w:u w:val="single"/>
                </w:rPr>
                <w:t>10. Segment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70">
              <w:r>
                <w:rPr>
                  <w:rStyle w:val="InternetLink"/>
                  <w:rFonts w:ascii="Times New Roman;sans-serif" w:hAnsi="Times New Roman;sans-serif"/>
                  <w:b w:val="false"/>
                  <w:color w:val="0000FF"/>
                  <w:sz w:val="20"/>
                  <w:u w:val="single"/>
                </w:rPr>
                <w:t>29</w:t>
              </w:r>
            </w:hyperlink>
          </w:p>
        </w:tc>
      </w:tr>
      <w:tr>
        <w:trPr/>
        <w:tc>
          <w:tcPr>
            <w:tcW w:w="9693"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630"/>
              <w:jc w:val="left"/>
              <w:rPr/>
            </w:pPr>
            <w:hyperlink w:anchor="ie423f1b2cb7e4f1cb2746bcb8cc81f8b_79">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79">
              <w:r>
                <w:rPr>
                  <w:rStyle w:val="InternetLink"/>
                  <w:rFonts w:ascii="Times New Roman;sans-serif" w:hAnsi="Times New Roman;sans-serif"/>
                  <w:b w:val="false"/>
                  <w:color w:val="0000FF"/>
                  <w:sz w:val="20"/>
                  <w:u w:val="single"/>
                </w:rPr>
                <w:t>33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112">
              <w:r>
                <w:rPr>
                  <w:rStyle w:val="InternetLink"/>
                  <w:rFonts w:ascii="Times New Roman;sans-serif" w:hAnsi="Times New Roman;sans-serif"/>
                  <w:b w:val="false"/>
                  <w:color w:val="0000FF"/>
                  <w:sz w:val="20"/>
                  <w:u w:val="single"/>
                </w:rPr>
                <w:t>Item 3. 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112">
              <w:r>
                <w:rPr>
                  <w:rStyle w:val="InternetLink"/>
                  <w:rFonts w:ascii="Times New Roman;sans-serif" w:hAnsi="Times New Roman;sans-serif"/>
                  <w:b w:val="false"/>
                  <w:color w:val="0000FF"/>
                  <w:sz w:val="20"/>
                  <w:u w:val="single"/>
                </w:rPr>
                <w:t>50</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115">
              <w:r>
                <w:rPr>
                  <w:rStyle w:val="InternetLink"/>
                  <w:rFonts w:ascii="Times New Roman;sans-serif" w:hAnsi="Times New Roman;sans-serif"/>
                  <w:b w:val="false"/>
                  <w:color w:val="0000FF"/>
                  <w:sz w:val="20"/>
                  <w:u w:val="single"/>
                </w:rPr>
                <w:t>Item 4. 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115">
              <w:r>
                <w:rPr>
                  <w:rStyle w:val="InternetLink"/>
                  <w:rFonts w:ascii="Times New Roman;sans-serif" w:hAnsi="Times New Roman;sans-serif"/>
                  <w:b w:val="false"/>
                  <w:color w:val="0000FF"/>
                  <w:sz w:val="20"/>
                  <w:u w:val="single"/>
                </w:rPr>
                <w:t>52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118">
              <w:r>
                <w:rPr>
                  <w:rStyle w:val="InternetLink"/>
                  <w:rFonts w:ascii="Times New Roman;sans-serif" w:hAnsi="Times New Roman;sans-serif"/>
                  <w:b/>
                  <w:color w:val="0000FF"/>
                  <w:sz w:val="20"/>
                  <w:u w:val="single"/>
                </w:rPr>
                <w:t>PART II. 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121">
              <w:r>
                <w:rPr>
                  <w:rStyle w:val="InternetLink"/>
                  <w:rFonts w:ascii="Times New Roman;sans-serif" w:hAnsi="Times New Roman;sans-serif"/>
                  <w:b w:val="false"/>
                  <w:color w:val="0000FF"/>
                  <w:sz w:val="20"/>
                  <w:u w:val="single"/>
                </w:rPr>
                <w:t>Item 1. 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121">
              <w:r>
                <w:rPr>
                  <w:rStyle w:val="InternetLink"/>
                  <w:rFonts w:ascii="Times New Roman;sans-serif" w:hAnsi="Times New Roman;sans-serif"/>
                  <w:b w:val="false"/>
                  <w:color w:val="0000FF"/>
                  <w:sz w:val="20"/>
                  <w:u w:val="single"/>
                </w:rPr>
                <w:t>52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124">
              <w:r>
                <w:rPr>
                  <w:rStyle w:val="InternetLink"/>
                  <w:rFonts w:ascii="Times New Roman;sans-serif" w:hAnsi="Times New Roman;sans-serif"/>
                  <w:b w:val="false"/>
                  <w:color w:val="0000FF"/>
                  <w:sz w:val="20"/>
                  <w:u w:val="single"/>
                </w:rPr>
                <w:t>Item 1A. 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124">
              <w:r>
                <w:rPr>
                  <w:rStyle w:val="InternetLink"/>
                  <w:rFonts w:ascii="Times New Roman;sans-serif" w:hAnsi="Times New Roman;sans-serif"/>
                  <w:b w:val="false"/>
                  <w:color w:val="0000FF"/>
                  <w:sz w:val="20"/>
                  <w:u w:val="single"/>
                </w:rPr>
                <w:t>53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127">
              <w:r>
                <w:rPr>
                  <w:rStyle w:val="InternetLink"/>
                  <w:rFonts w:ascii="Times New Roman;sans-serif" w:hAnsi="Times New Roman;sans-serif"/>
                  <w:b w:val="false"/>
                  <w:color w:val="0000FF"/>
                  <w:sz w:val="20"/>
                  <w:u w:val="single"/>
                </w:rPr>
                <w:t>Item 2. UNREGISTERED SALES OF EQUITY SECURITIES AND USE OF PROCEEDS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127">
              <w:r>
                <w:rPr>
                  <w:rStyle w:val="InternetLink"/>
                  <w:rFonts w:ascii="Times New Roman;sans-serif" w:hAnsi="Times New Roman;sans-serif"/>
                  <w:b w:val="false"/>
                  <w:color w:val="0000FF"/>
                  <w:sz w:val="20"/>
                  <w:u w:val="single"/>
                </w:rPr>
                <w:t>53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130">
              <w:r>
                <w:rPr>
                  <w:rStyle w:val="InternetLink"/>
                  <w:rFonts w:ascii="Times New Roman;sans-serif" w:hAnsi="Times New Roman;sans-serif"/>
                  <w:b w:val="false"/>
                  <w:color w:val="0000FF"/>
                  <w:sz w:val="20"/>
                  <w:u w:val="single"/>
                </w:rPr>
                <w:t>Item 3. DEFAULTS UPON SENIOR SECURITIES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130">
              <w:r>
                <w:rPr>
                  <w:rStyle w:val="InternetLink"/>
                  <w:rFonts w:ascii="Times New Roman;sans-serif" w:hAnsi="Times New Roman;sans-serif"/>
                  <w:b w:val="false"/>
                  <w:color w:val="0000FF"/>
                  <w:sz w:val="20"/>
                  <w:u w:val="single"/>
                </w:rPr>
                <w:t>53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133">
              <w:r>
                <w:rPr>
                  <w:rStyle w:val="InternetLink"/>
                  <w:rFonts w:ascii="Times New Roman;sans-serif" w:hAnsi="Times New Roman;sans-serif"/>
                  <w:b w:val="false"/>
                  <w:color w:val="0000FF"/>
                  <w:sz w:val="20"/>
                  <w:u w:val="single"/>
                </w:rPr>
                <w:t>Item 4. MINE SAFETY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133">
              <w:r>
                <w:rPr>
                  <w:rStyle w:val="InternetLink"/>
                  <w:rFonts w:ascii="Times New Roman;sans-serif" w:hAnsi="Times New Roman;sans-serif"/>
                  <w:b w:val="false"/>
                  <w:color w:val="0000FF"/>
                  <w:sz w:val="20"/>
                  <w:u w:val="single"/>
                </w:rPr>
                <w:t>53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136">
              <w:r>
                <w:rPr>
                  <w:rStyle w:val="InternetLink"/>
                  <w:rFonts w:ascii="Times New Roman;sans-serif" w:hAnsi="Times New Roman;sans-serif"/>
                  <w:b w:val="false"/>
                  <w:color w:val="0000FF"/>
                  <w:sz w:val="20"/>
                  <w:u w:val="single"/>
                </w:rPr>
                <w:t>Item 5. 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136">
              <w:r>
                <w:rPr>
                  <w:rStyle w:val="InternetLink"/>
                  <w:rFonts w:ascii="Times New Roman;sans-serif" w:hAnsi="Times New Roman;sans-serif"/>
                  <w:b w:val="false"/>
                  <w:color w:val="0000FF"/>
                  <w:sz w:val="20"/>
                  <w:u w:val="single"/>
                </w:rPr>
                <w:t>53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139">
              <w:r>
                <w:rPr>
                  <w:rStyle w:val="InternetLink"/>
                  <w:rFonts w:ascii="Times New Roman;sans-serif" w:hAnsi="Times New Roman;sans-serif"/>
                  <w:b w:val="false"/>
                  <w:color w:val="0000FF"/>
                  <w:sz w:val="20"/>
                  <w:u w:val="single"/>
                </w:rPr>
                <w:t>Item 6. EXHIBITS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139">
              <w:r>
                <w:rPr>
                  <w:rStyle w:val="InternetLink"/>
                  <w:rFonts w:ascii="Times New Roman;sans-serif" w:hAnsi="Times New Roman;sans-serif"/>
                  <w:b w:val="false"/>
                  <w:color w:val="0000FF"/>
                  <w:sz w:val="20"/>
                  <w:u w:val="single"/>
                </w:rPr>
                <w:t>54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423f1b2cb7e4f1cb2746bcb8cc81f8b_145">
              <w:r>
                <w:rPr>
                  <w:rStyle w:val="InternetLink"/>
                  <w:rFonts w:ascii="Times New Roman;sans-serif" w:hAnsi="Times New Roman;sans-serif"/>
                  <w:b w:val="false"/>
                  <w:color w:val="0000FF"/>
                  <w:sz w:val="20"/>
                  <w:u w:val="single"/>
                </w:rPr>
                <w:t>SIGNATURES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23f1b2cb7e4f1cb2746bcb8cc81f8b_145">
              <w:r>
                <w:rPr>
                  <w:rStyle w:val="InternetLink"/>
                  <w:rFonts w:ascii="Times New Roman;sans-serif" w:hAnsi="Times New Roman;sans-serif"/>
                  <w:b w:val="false"/>
                  <w:color w:val="0000FF"/>
                  <w:sz w:val="20"/>
                  <w:u w:val="single"/>
                </w:rPr>
                <w:t>57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ans-serif" w:hAnsi="Times New Roman;sans-serif"/>
          <w:b/>
          <w:color w:val="000000"/>
          <w:sz w:val="20"/>
        </w:rPr>
        <w:t>Item 1.</w:t>
      </w:r>
      <w:r>
        <w:rPr>
          <w:color w:val="000000"/>
        </w:rPr>
        <w:t>    </w:t>
      </w:r>
      <w:r>
        <w:rPr>
          <w:rFonts w:ascii="Times New Roman;sans-serif" w:hAnsi="Times New Roman;sans-serif"/>
          <w:b/>
          <w:color w:val="000000"/>
          <w:sz w:val="20"/>
        </w:rPr>
        <w:t>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 millions, except share data)</w:t>
      </w:r>
    </w:p>
    <w:tbl>
      <w:tblPr>
        <w:tblW w:w="9572" w:type="dxa"/>
        <w:jc w:val="center"/>
        <w:tblInd w:w="0" w:type="dxa"/>
        <w:tblLayout w:type="fixed"/>
        <w:tblCellMar>
          <w:top w:w="28" w:type="dxa"/>
          <w:left w:w="28" w:type="dxa"/>
          <w:bottom w:w="28" w:type="dxa"/>
          <w:right w:w="28" w:type="dxa"/>
        </w:tblCellMar>
      </w:tblPr>
      <w:tblGrid>
        <w:gridCol w:w="2553"/>
        <w:gridCol w:w="2240"/>
        <w:gridCol w:w="2272"/>
        <w:gridCol w:w="211"/>
        <w:gridCol w:w="721"/>
        <w:gridCol w:w="109"/>
        <w:gridCol w:w="109"/>
        <w:gridCol w:w="109"/>
        <w:gridCol w:w="109"/>
        <w:gridCol w:w="221"/>
        <w:gridCol w:w="757"/>
        <w:gridCol w:w="161"/>
      </w:tblGrid>
      <w:tr>
        <w:trPr/>
        <w:tc>
          <w:tcPr>
            <w:tcW w:w="2553"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CURRENT ASSETS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Trade accounts receivable and other receivables,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4,916 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21,143 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(5,361)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Property and equipment,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15,782 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OTHER ASSETS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Investments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Deferred tax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Linefill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Long-term operating lease right-of-use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Long-term 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28,597 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LIABILITIES AND PARTNERS’ CAPITAL</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Trade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Short-term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5,005 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LONG-TERM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Senior notes,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debt,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Long-term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 and deferred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Total long-term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COMMITMENTS AND CONTINGENCIES (NOTE 9)</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PARTNERS’ CAPITAL</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Class A shareholders (197,263,697 and 196,416,760 shares outstanding,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Total partners’ capital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14,972 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and partners’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28,667 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28,597 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13"/>
        <w:gridCol w:w="1546"/>
        <w:gridCol w:w="155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913"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Services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OTHER INCOME/(EXPENSE)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capitalized interest of $2, $3, $4, and $5,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INCOME BEFORE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INCOME ATTRIBUTABLE TO PAGP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Class A shares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Class A share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9404" w:type="dxa"/>
        <w:jc w:val="left"/>
        <w:tblInd w:w="0" w:type="dxa"/>
        <w:tblLayout w:type="fixed"/>
        <w:tblCellMar>
          <w:top w:w="28" w:type="dxa"/>
          <w:left w:w="28" w:type="dxa"/>
          <w:bottom w:w="28" w:type="dxa"/>
          <w:right w:w="28" w:type="dxa"/>
        </w:tblCellMar>
      </w:tblPr>
      <w:tblGrid>
        <w:gridCol w:w="1894"/>
        <w:gridCol w:w="1662"/>
        <w:gridCol w:w="1678"/>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894"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income/(loss)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PAGP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INCOME/(LOSS)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6549" w:type="dxa"/>
        <w:jc w:val="left"/>
        <w:tblInd w:w="0" w:type="dxa"/>
        <w:tblLayout w:type="fixed"/>
        <w:tblCellMar>
          <w:top w:w="28" w:type="dxa"/>
          <w:left w:w="28" w:type="dxa"/>
          <w:bottom w:w="28" w:type="dxa"/>
          <w:right w:w="28" w:type="dxa"/>
        </w:tblCellMar>
      </w:tblPr>
      <w:tblGrid>
        <w:gridCol w:w="1015"/>
        <w:gridCol w:w="892"/>
        <w:gridCol w:w="897"/>
        <w:gridCol w:w="291"/>
        <w:gridCol w:w="519"/>
        <w:gridCol w:w="151"/>
        <w:gridCol w:w="109"/>
        <w:gridCol w:w="109"/>
        <w:gridCol w:w="109"/>
        <w:gridCol w:w="265"/>
        <w:gridCol w:w="604"/>
        <w:gridCol w:w="137"/>
        <w:gridCol w:w="109"/>
        <w:gridCol w:w="109"/>
        <w:gridCol w:w="109"/>
        <w:gridCol w:w="109"/>
        <w:gridCol w:w="109"/>
        <w:gridCol w:w="211"/>
        <w:gridCol w:w="54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0"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1015" w:type="dxa"/>
            <w:gridSpan w:val="4"/>
            <w:tcBorders/>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period activity</w:t>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384" w:type="dxa"/>
        <w:jc w:val="center"/>
        <w:tblInd w:w="0" w:type="dxa"/>
        <w:tblLayout w:type="fixed"/>
        <w:tblCellMar>
          <w:top w:w="28" w:type="dxa"/>
          <w:left w:w="28" w:type="dxa"/>
          <w:bottom w:w="28" w:type="dxa"/>
          <w:right w:w="28" w:type="dxa"/>
        </w:tblCellMar>
      </w:tblPr>
      <w:tblGrid>
        <w:gridCol w:w="1015"/>
        <w:gridCol w:w="892"/>
        <w:gridCol w:w="897"/>
        <w:gridCol w:w="253"/>
        <w:gridCol w:w="577"/>
        <w:gridCol w:w="131"/>
        <w:gridCol w:w="109"/>
        <w:gridCol w:w="109"/>
        <w:gridCol w:w="109"/>
        <w:gridCol w:w="265"/>
        <w:gridCol w:w="604"/>
        <w:gridCol w:w="137"/>
        <w:gridCol w:w="109"/>
        <w:gridCol w:w="109"/>
        <w:gridCol w:w="109"/>
        <w:gridCol w:w="211"/>
        <w:gridCol w:w="406"/>
        <w:gridCol w:w="109"/>
        <w:gridCol w:w="109"/>
        <w:gridCol w:w="109"/>
        <w:gridCol w:w="109"/>
        <w:gridCol w:w="211"/>
        <w:gridCol w:w="54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period activity</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ind w:left="0" w:right="0" w:firstLine="720"/>
        <w:jc w:val="center"/>
        <w:rPr/>
      </w:pPr>
      <w:r>
        <w:rPr/>
      </w:r>
    </w:p>
    <w:tbl>
      <w:tblPr>
        <w:tblW w:w="8077" w:type="dxa"/>
        <w:jc w:val="center"/>
        <w:tblInd w:w="0" w:type="dxa"/>
        <w:tblLayout w:type="fixed"/>
        <w:tblCellMar>
          <w:top w:w="28" w:type="dxa"/>
          <w:left w:w="28" w:type="dxa"/>
          <w:bottom w:w="28" w:type="dxa"/>
          <w:right w:w="28" w:type="dxa"/>
        </w:tblCellMar>
      </w:tblPr>
      <w:tblGrid>
        <w:gridCol w:w="2218"/>
        <w:gridCol w:w="1949"/>
        <w:gridCol w:w="1953"/>
        <w:gridCol w:w="211"/>
        <w:gridCol w:w="466"/>
        <w:gridCol w:w="109"/>
        <w:gridCol w:w="109"/>
        <w:gridCol w:w="109"/>
        <w:gridCol w:w="109"/>
        <w:gridCol w:w="215"/>
        <w:gridCol w:w="475"/>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net income to net cash provided by operating activities:</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expense/(benefit)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foreign currency revaluation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terminated interest rate hedging instruments (Note 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Preferred Distribution Rate Reset Option (Note 7)</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on earnings from unconsolidated entities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acquisitions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in connection with acquisitions, net of cash acquired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equipment and 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purchases of linefill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sales of linefill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repayments under PAA commercial paper program (Note 5)</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issuance of PAA senior notes (Note 5)</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PAA senior notes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paid to Class A shareholders (Note 6)</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paid to noncontrolling interests (Note 6)</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translation adjustment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 and restricted cash</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restricted cash, beginning of period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restricted cash,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net of amounts capitalized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net of amounts refunded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PARTNERS’ CAPITAL</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tbl>
      <w:tblPr>
        <w:tblW w:w="8006" w:type="dxa"/>
        <w:jc w:val="center"/>
        <w:tblInd w:w="0" w:type="dxa"/>
        <w:tblLayout w:type="fixed"/>
        <w:tblCellMar>
          <w:top w:w="28" w:type="dxa"/>
          <w:left w:w="28" w:type="dxa"/>
          <w:bottom w:w="28" w:type="dxa"/>
          <w:right w:w="28" w:type="dxa"/>
        </w:tblCellMar>
      </w:tblPr>
      <w:tblGrid>
        <w:gridCol w:w="1330"/>
        <w:gridCol w:w="1169"/>
        <w:gridCol w:w="1176"/>
        <w:gridCol w:w="236"/>
        <w:gridCol w:w="691"/>
        <w:gridCol w:w="124"/>
        <w:gridCol w:w="109"/>
        <w:gridCol w:w="109"/>
        <w:gridCol w:w="109"/>
        <w:gridCol w:w="243"/>
        <w:gridCol w:w="831"/>
        <w:gridCol w:w="127"/>
        <w:gridCol w:w="109"/>
        <w:gridCol w:w="109"/>
        <w:gridCol w:w="109"/>
        <w:gridCol w:w="277"/>
        <w:gridCol w:w="946"/>
        <w:gridCol w:w="202"/>
      </w:tblGrid>
      <w:tr>
        <w:trPr/>
        <w:tc>
          <w:tcPr>
            <w:tcW w:w="133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Partners’ Capital</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14,972 </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(Note 6)</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Partners’ Capital</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14,878 </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(Note 6)</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14,800 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8603" w:type="dxa"/>
        <w:jc w:val="center"/>
        <w:tblInd w:w="0" w:type="dxa"/>
        <w:tblLayout w:type="fixed"/>
        <w:tblCellMar>
          <w:top w:w="28" w:type="dxa"/>
          <w:left w:w="28" w:type="dxa"/>
          <w:bottom w:w="28" w:type="dxa"/>
          <w:right w:w="28" w:type="dxa"/>
        </w:tblCellMar>
      </w:tblPr>
      <w:tblGrid>
        <w:gridCol w:w="939"/>
        <w:gridCol w:w="825"/>
        <w:gridCol w:w="830"/>
        <w:gridCol w:w="367"/>
        <w:gridCol w:w="1075"/>
        <w:gridCol w:w="193"/>
        <w:gridCol w:w="109"/>
        <w:gridCol w:w="109"/>
        <w:gridCol w:w="109"/>
        <w:gridCol w:w="376"/>
        <w:gridCol w:w="1288"/>
        <w:gridCol w:w="196"/>
        <w:gridCol w:w="109"/>
        <w:gridCol w:w="109"/>
        <w:gridCol w:w="109"/>
        <w:gridCol w:w="361"/>
        <w:gridCol w:w="1236"/>
        <w:gridCol w:w="263"/>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Partners’ Capital</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14,638 </w:t>
            </w:r>
          </w:p>
        </w:tc>
        <w:tc>
          <w:tcPr>
            <w:tcW w:w="2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4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2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14,867 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Partners’ Capital</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14,764 </w:t>
            </w:r>
          </w:p>
        </w:tc>
        <w:tc>
          <w:tcPr>
            <w:tcW w:w="2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4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2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14,867 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1—Organization and Basis of Consolidation and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Plains GP Holdings, L.P. (“PAGP”) is a Delaware limited partnership formed in 2013 that has elected to be taxed as a corporation for United States federal income tax purposes. PAGP does not directly own any operating assets; as of June 30, 2024, its principal source of cash flow is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we owned an approximate 85% limited partner interest in Plains AAP L.P. (“AAP”) through our ownership of approximately 197.3 million Class A units of AAP (“AAP Units”). We also own a 100% managing member interest in Plains All American GP LLC (“GP LLC”), a Delaware limited liability company that holds the non-economic general partner interest in AAP. AAP is a Delaware limited partnership that, as of June 30, 2024, directly owned a limited partner interest in PAA through its ownership of approximately 232.7 million PAA common units (approximately 30% of PAA’s total outstanding common units and Series A preferred units combined). AAP is the sole member of PAA GP LLC (“PAA GP”), a Delaware limited liability company that directly holds the non-economic general partner interest in PAA.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and natural gas liquids (“NGL”) producing basins (including the Permian Basin) and transportation corridors and at major market hubs in the United States and Canada. PAA’s assets and the services it provides are primarily focused on and conducted through two operating segments: Crude Oil and NGL. See Note 10 for further discussion of our operating segments.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References to the “Plains Entities” include us, our general partner, GP LLC, AAP, PAA GP and PAA and its subsidiaries.</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Definitions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defined terms are used in this Form 10-Q and shall have the meanings indicated below:</w:t>
      </w:r>
    </w:p>
    <w:p>
      <w:pPr>
        <w:pStyle w:val="TextBody"/>
        <w:bidi w:val="0"/>
        <w:spacing w:before="0" w:after="0"/>
        <w:jc w:val="left"/>
        <w:rPr/>
      </w:pPr>
      <w:r>
        <w:rPr/>
      </w:r>
    </w:p>
    <w:tbl>
      <w:tblPr>
        <w:tblW w:w="6312" w:type="dxa"/>
        <w:jc w:val="left"/>
        <w:tblInd w:w="0" w:type="dxa"/>
        <w:tblLayout w:type="fixed"/>
        <w:tblCellMar>
          <w:top w:w="28" w:type="dxa"/>
          <w:left w:w="28" w:type="dxa"/>
          <w:bottom w:w="28" w:type="dxa"/>
          <w:right w:w="28" w:type="dxa"/>
        </w:tblCellMar>
      </w:tblPr>
      <w:tblGrid>
        <w:gridCol w:w="298"/>
        <w:gridCol w:w="262"/>
        <w:gridCol w:w="266"/>
        <w:gridCol w:w="109"/>
        <w:gridCol w:w="109"/>
        <w:gridCol w:w="109"/>
        <w:gridCol w:w="1509"/>
        <w:gridCol w:w="1509"/>
        <w:gridCol w:w="214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AOCI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income/(loss)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Billion cubic feet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Btu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thermal unit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dollar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Decision Maker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interest, taxes, depreciation and amortization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Environmental Protection Agency</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Intercontinental Exchange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Swaps and Derivatives Association</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LTIP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incentive plan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 cubic feet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 barrels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including ethane, propane and butane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NYMEX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Mercantile Exchange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OECD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Organisation for Economic Co-operation and Development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Securities and Exchange Commission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Terawatt hour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dollar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Texas Intermediate</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of Consolidation and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interim financial statements and related notes thereto should be read in conjunction with our 2023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The condensed consolidated balance sheet data as of December 31, 2023 was derived from audited financial statements, but does not include all disclosures required by GAAP. The results of operations for the three and six months ended June 30, 2024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balances and transactions have been eliminated in consolidation, and certain reclassifications have been made to information from previous years to conform to the current presentation.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determined that our subsidiaries, PAA and AAP, are VIEs and should be consolidated by PAGP because:</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AAP is the primary beneficiary of PAA because it has the power to direct the activities that most significantly impact PAA’s performance and the right to receive benefits, and obligation to absorb losses, that could be significant to PAA.</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PAGP is the primary beneficiary of AAP because it has the power to direct the activities that most significantly impact AAP’s performance and the right to receive benefits, and obligation to absorb losses, that could be significant to AAP.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exception of a deferred tax asset of $1.221 billion and $1.239 billion as of June 30, 2024 and December 31, 2023, respectively, substantially all assets and liabilities presented on PAGP’s Condensed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six months ended June 30, 2024 or the year ended December 31, 2023. See Note 16 to our Consolidated Financial Statements included in Part IV of our 2023 Annual Report on Form 10-K for information regarding the Omnibus Agreement entered into by the Plains Entities on November 15, 2016.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Subsequent Events</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Subsequent events have been evaluated through the financial statements issuance date and have been included in the following footnotes where applicable.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 Disclosure Rules and Other Legislation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Except as discussed in our 2023 Annual Report on Form 10-K, there have been no new accounting pronouncements that have become effective or have been issued during the six months ended June 30, 2024 that are of significance or potential significance to us.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SEC Climate Disclosure Rules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the SEC adopted final rules (“climate disclosure rules”) requiring registrants to disclose, among other things, information about material climate-related risks and their impact on a registrant’s strategy, business model and outlook; information about material direct and indirect greenhouse gas emissions (Scope 1 and Scope 2), which are subject to assurance requirements; and the financial statement effects of severe weather events and other natural conditions. Such disclosure requirements will begin phasing in for annual periods beginning in 2025. In April 2024, the SEC stayed the climate disclosure rules pending resolution of legal challenges. We are currently evaluating the climate disclosure rules to determine the impact on our related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International Tax Reform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Recently, several countries, including Canada, have enacted legislation to implement key aspects of the global minimum top-up tax in accordance with the Pillar Two model rules of the OECD tax framework. We continue to evaluate the new legislation, but do not currently expect a material impact on our financial position, results of operations or cash flows.</w: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2—Revenues and Accounts Receivable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disaggregate our revenues by segment and type of activity. See Note 3 to our Consolidated Financial Statements included in Part IV of our 2023 Annual Report on Form 10-K for additional information regarding our types of revenues and policies for revenue recognition.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Revenues from Contracts with Customers.</w:t>
      </w:r>
      <w:r>
        <w:rPr>
          <w:color w:val="000000"/>
        </w:rPr>
        <w:t xml:space="preserve"> </w:t>
      </w:r>
      <w:r>
        <w:rPr>
          <w:rFonts w:ascii="Times New Roman;sans-serif" w:hAnsi="Times New Roman;sans-serif"/>
          <w:b w:val="false"/>
          <w:color w:val="000000"/>
          <w:sz w:val="20"/>
        </w:rPr>
        <w:t>The following tables present our revenues from contracts with customers disaggregated by segment and type of activity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831"/>
        <w:gridCol w:w="1588"/>
        <w:gridCol w:w="159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3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Crude Oil segment revenues from contracts with customers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Crude Oil segment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104" w:type="dxa"/>
        <w:jc w:val="left"/>
        <w:tblInd w:w="0" w:type="dxa"/>
        <w:tblLayout w:type="fixed"/>
        <w:tblCellMar>
          <w:top w:w="28" w:type="dxa"/>
          <w:left w:w="28" w:type="dxa"/>
          <w:bottom w:w="28" w:type="dxa"/>
          <w:right w:w="28" w:type="dxa"/>
        </w:tblCellMar>
      </w:tblPr>
      <w:tblGrid>
        <w:gridCol w:w="1785"/>
        <w:gridCol w:w="1572"/>
        <w:gridCol w:w="1577"/>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NGL segment revenues from contracts with customers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NGL segment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Reconciliation to Total Revenues of Reportable Segments. </w:t>
      </w:r>
      <w:r>
        <w:rPr>
          <w:rFonts w:ascii="Times New Roman;sans-serif" w:hAnsi="Times New Roman;sans-serif"/>
          <w:b w:val="false"/>
          <w:color w:val="000000"/>
          <w:sz w:val="20"/>
        </w:rPr>
        <w:t>The following disclosures only include information regarding revenues associated with consolidated entities; revenues from entities accounted for by the equity method are not included. The following tables present the reconciliation of our revenues from contracts with customers to total revenues of reportable segments and total revenues as disclosed in our Condensed Consolidated Statements of Operations (in millions):</w:t>
      </w:r>
    </w:p>
    <w:p>
      <w:pPr>
        <w:pStyle w:val="TextBody"/>
        <w:bidi w:val="0"/>
        <w:spacing w:before="0" w:after="0"/>
        <w:ind w:left="0" w:right="0" w:firstLine="720"/>
        <w:jc w:val="left"/>
        <w:rPr/>
      </w:pPr>
      <w:r>
        <w:rPr/>
      </w:r>
    </w:p>
    <w:tbl>
      <w:tblPr>
        <w:tblW w:w="7268" w:type="dxa"/>
        <w:jc w:val="center"/>
        <w:tblInd w:w="0" w:type="dxa"/>
        <w:tblLayout w:type="fixed"/>
        <w:tblCellMar>
          <w:top w:w="28" w:type="dxa"/>
          <w:left w:w="28" w:type="dxa"/>
          <w:bottom w:w="28" w:type="dxa"/>
          <w:right w:w="28" w:type="dxa"/>
        </w:tblCellMar>
      </w:tblPr>
      <w:tblGrid>
        <w:gridCol w:w="1220"/>
        <w:gridCol w:w="1072"/>
        <w:gridCol w:w="1082"/>
        <w:gridCol w:w="109"/>
        <w:gridCol w:w="109"/>
        <w:gridCol w:w="109"/>
        <w:gridCol w:w="211"/>
        <w:gridCol w:w="721"/>
        <w:gridCol w:w="109"/>
        <w:gridCol w:w="109"/>
        <w:gridCol w:w="109"/>
        <w:gridCol w:w="109"/>
        <w:gridCol w:w="211"/>
        <w:gridCol w:w="466"/>
        <w:gridCol w:w="109"/>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tbl>
      <w:tblPr>
        <w:tblW w:w="7418" w:type="dxa"/>
        <w:jc w:val="center"/>
        <w:tblInd w:w="0" w:type="dxa"/>
        <w:tblLayout w:type="fixed"/>
        <w:tblCellMar>
          <w:top w:w="28" w:type="dxa"/>
          <w:left w:w="28" w:type="dxa"/>
          <w:bottom w:w="28" w:type="dxa"/>
          <w:right w:w="28" w:type="dxa"/>
        </w:tblCellMar>
      </w:tblPr>
      <w:tblGrid>
        <w:gridCol w:w="1220"/>
        <w:gridCol w:w="1072"/>
        <w:gridCol w:w="1082"/>
        <w:gridCol w:w="109"/>
        <w:gridCol w:w="109"/>
        <w:gridCol w:w="109"/>
        <w:gridCol w:w="211"/>
        <w:gridCol w:w="721"/>
        <w:gridCol w:w="109"/>
        <w:gridCol w:w="109"/>
        <w:gridCol w:w="109"/>
        <w:gridCol w:w="109"/>
        <w:gridCol w:w="211"/>
        <w:gridCol w:w="616"/>
        <w:gridCol w:w="109"/>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Minimum Volume Commitments. </w:t>
      </w:r>
      <w:r>
        <w:rPr>
          <w:rFonts w:ascii="Times New Roman;sans-serif" w:hAnsi="Times New Roman;sans-serif"/>
          <w:b w:val="false"/>
          <w:color w:val="000000"/>
          <w:sz w:val="20"/>
        </w:rPr>
        <w:t>We have certain agreements that require counterparties to transport or throughput a minimum volume over an 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pStyle w:val="TextBody"/>
        <w:bidi w:val="0"/>
        <w:spacing w:before="0" w:after="0"/>
        <w:ind w:left="0" w:right="0" w:firstLine="720"/>
        <w:jc w:val="left"/>
        <w:rPr/>
      </w:pPr>
      <w:r>
        <w:rPr/>
      </w:r>
    </w:p>
    <w:tbl>
      <w:tblPr>
        <w:tblW w:w="7429" w:type="dxa"/>
        <w:jc w:val="center"/>
        <w:tblInd w:w="0" w:type="dxa"/>
        <w:tblLayout w:type="fixed"/>
        <w:tblCellMar>
          <w:top w:w="28" w:type="dxa"/>
          <w:left w:w="28" w:type="dxa"/>
          <w:bottom w:w="28" w:type="dxa"/>
          <w:right w:w="28" w:type="dxa"/>
        </w:tblCellMar>
      </w:tblPr>
      <w:tblGrid>
        <w:gridCol w:w="728"/>
        <w:gridCol w:w="639"/>
        <w:gridCol w:w="642"/>
        <w:gridCol w:w="109"/>
        <w:gridCol w:w="109"/>
        <w:gridCol w:w="109"/>
        <w:gridCol w:w="859"/>
        <w:gridCol w:w="859"/>
        <w:gridCol w:w="861"/>
        <w:gridCol w:w="109"/>
        <w:gridCol w:w="109"/>
        <w:gridCol w:w="109"/>
        <w:gridCol w:w="223"/>
        <w:gridCol w:w="382"/>
        <w:gridCol w:w="115"/>
        <w:gridCol w:w="109"/>
        <w:gridCol w:w="109"/>
        <w:gridCol w:w="109"/>
        <w:gridCol w:w="331"/>
        <w:gridCol w:w="567"/>
        <w:gridCol w:w="242"/>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Counterparty Deficiencies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Billed and collected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Contract Balances</w:t>
      </w:r>
      <w:r>
        <w:rPr>
          <w:rFonts w:ascii="Times New Roman;sans-serif" w:hAnsi="Times New Roman;sans-serif"/>
          <w:b w:val="false"/>
          <w:color w:val="000000"/>
          <w:sz w:val="20"/>
        </w:rPr>
        <w:t>. Our contract balances consist of amounts received associated with services or sales for which we have not yet completed the related performance obligation. The following table presents the changes in the liability balance associated with contracts with customers (in millions):</w:t>
      </w:r>
    </w:p>
    <w:p>
      <w:pPr>
        <w:pStyle w:val="TextBody"/>
        <w:bidi w:val="0"/>
        <w:spacing w:before="0" w:after="0"/>
        <w:ind w:left="0" w:right="0" w:firstLine="720"/>
        <w:jc w:val="left"/>
        <w:rPr/>
      </w:pPr>
      <w:r>
        <w:rPr/>
      </w:r>
    </w:p>
    <w:tbl>
      <w:tblPr>
        <w:tblW w:w="4586" w:type="dxa"/>
        <w:jc w:val="center"/>
        <w:tblInd w:w="0" w:type="dxa"/>
        <w:tblLayout w:type="fixed"/>
        <w:tblCellMar>
          <w:top w:w="28" w:type="dxa"/>
          <w:left w:w="28" w:type="dxa"/>
          <w:bottom w:w="28" w:type="dxa"/>
          <w:right w:w="28" w:type="dxa"/>
        </w:tblCellMar>
      </w:tblPr>
      <w:tblGrid>
        <w:gridCol w:w="977"/>
        <w:gridCol w:w="859"/>
        <w:gridCol w:w="864"/>
        <w:gridCol w:w="109"/>
        <w:gridCol w:w="109"/>
        <w:gridCol w:w="109"/>
        <w:gridCol w:w="395"/>
        <w:gridCol w:w="875"/>
        <w:gridCol w:w="289"/>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Liabilities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as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Remaining Performance Obligations</w:t>
      </w:r>
      <w:r>
        <w:rPr>
          <w:rFonts w:ascii="Times New Roman;sans-serif" w:hAnsi="Times New Roman;sans-serif"/>
          <w:b w:val="false"/>
          <w:color w:val="000000"/>
          <w:sz w:val="20"/>
        </w:rPr>
        <w:t>. The information below includes the amount of consideration allocated to partially and wholly unsatisfied 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June 30, 2024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39"/>
        <w:gridCol w:w="972"/>
        <w:gridCol w:w="974"/>
        <w:gridCol w:w="290"/>
        <w:gridCol w:w="643"/>
        <w:gridCol w:w="151"/>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92"/>
        <w:gridCol w:w="646"/>
        <w:gridCol w:w="219"/>
      </w:tblGrid>
      <w:tr>
        <w:trPr/>
        <w:tc>
          <w:tcPr>
            <w:tcW w:w="1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Remainder of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 and Thereafter</w:t>
            </w:r>
          </w:p>
        </w:tc>
      </w:tr>
      <w:tr>
        <w:trPr/>
        <w:tc>
          <w:tcPr>
            <w:tcW w:w="3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Pipeline revenues supported by minimum volume commitments and capacity agreements </w:t>
            </w:r>
            <w:r>
              <w:rPr>
                <w:rFonts w:ascii="Times New Roman;sans-serif" w:hAnsi="Times New Roman;sans-serif"/>
                <w:b w:val="false"/>
                <w:color w:val="000000"/>
                <w:sz w:val="13"/>
              </w:rPr>
              <w:t>(1)</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 agreement revenues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Calculated as volumes committed under contracts multiplied by the current applicable tariff rate. </w:t>
      </w:r>
    </w:p>
    <w:p>
      <w:pPr>
        <w:pStyle w:val="TextBody"/>
        <w:bidi w:val="0"/>
        <w:spacing w:before="60" w:after="283"/>
        <w:ind w:left="0" w:right="0" w:hanging="36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Minimum volume commitments on certain of our joint venture pipeline systems;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Acreage dedications;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Buy/sell arrangements with future committed volumes;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Short-term contracts and those with variable consideration, due to the election of practical expedients;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Contracts within the scope of ASC Topic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and</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 xml:space="preserve">Contracts within the scope of ASC Topic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Trade Accounts Receivable and Other Receivables, Net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2024 and December 31, 2023,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reconciliation of trade accounts receivable from revenues from contracts with customers to total Trade accounts receivable and other receivables, net as presented on our Condensed Consolidated Balance Sheets (in millions): </w:t>
      </w:r>
    </w:p>
    <w:p>
      <w:pPr>
        <w:pStyle w:val="TextBody"/>
        <w:bidi w:val="0"/>
        <w:spacing w:before="0" w:after="0"/>
        <w:ind w:left="0" w:right="0" w:firstLine="720"/>
        <w:jc w:val="left"/>
        <w:rPr/>
      </w:pPr>
      <w:r>
        <w:rPr/>
      </w:r>
    </w:p>
    <w:tbl>
      <w:tblPr>
        <w:tblW w:w="8882" w:type="dxa"/>
        <w:jc w:val="center"/>
        <w:tblInd w:w="0" w:type="dxa"/>
        <w:tblLayout w:type="fixed"/>
        <w:tblCellMar>
          <w:top w:w="28" w:type="dxa"/>
          <w:left w:w="28" w:type="dxa"/>
          <w:bottom w:w="28" w:type="dxa"/>
          <w:right w:w="28" w:type="dxa"/>
        </w:tblCellMar>
      </w:tblPr>
      <w:tblGrid>
        <w:gridCol w:w="2348"/>
        <w:gridCol w:w="2057"/>
        <w:gridCol w:w="2074"/>
        <w:gridCol w:w="211"/>
        <w:gridCol w:w="616"/>
        <w:gridCol w:w="109"/>
        <w:gridCol w:w="109"/>
        <w:gridCol w:w="109"/>
        <w:gridCol w:w="109"/>
        <w:gridCol w:w="245"/>
        <w:gridCol w:w="716"/>
        <w:gridCol w:w="179"/>
      </w:tblGrid>
      <w:tr>
        <w:trPr/>
        <w:tc>
          <w:tcPr>
            <w:tcW w:w="2348"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arising from revenues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trade accounts receivables and other receivables </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due to contractual rights of offset with counterparties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and other receivables,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balance is comprised primarily of accounts receivable associated with buy/sell arrangements that are not within the scope of ASC 606.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3—Net Income Per Class A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Class A share is determined by dividing net income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Class A share is determined by dividing net income attributable to PAGP by the diluted weighted average number of Class A shares outstanding during the period. For purposes of calculating diluted net income per Class A share, both the net income attributable to PAGP and the diluted weighted average number of Class A shares outstanding consider the impact of possible future exchanges of AAP units and the associated Class B shares into our Class A shares. In addition, the calculation of the diluted weighted average number of Class A shares outstanding considers the effect of potentially dilutive awards under the Plains GP Holdings, L.P. Long-Term Incentive Plan (the “PAGP LTIP”).</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Exchanges of potentially dilutive AAP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11 to our Consolidated Financial Statements included in Part IV of our 2023 Annual Report on Form 10-K for information regarding exchanges of AAP units. PAGP LTIP awards that are deemed to be dilutive are reduced by a hypothetical share repurchase based on the remaining unamortized fair value, as prescribed by the treasury stock method in guidance issued by the FASB. See Note 17 to our Consolidated Financial Statements included in Part IV of our 2023 Annual Report on Form 10-K for information regarding PAGP LTIP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 weighted-average basis, for each of the three and six months ended June 30, 2024, the possible exchange of 35 million AAP units would not have had a dilutive effect on basic net income per Class A share. On a weighted-average basis, for each of the three and six months ended June 30, 2023, the possible exchange of 46 million AAP units would not have had a dilutive effect on basic net income per Class A share. For each of the three and six months ended June 30, 2024 and 2023, our PAGP LTIP awards were dilutive; however, this did not change the presentation of diluted weighted average Class A shares outstanding or diluted net income per Class A share.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income per Class A share (in millions, except per share data):</w:t>
      </w:r>
    </w:p>
    <w:p>
      <w:pPr>
        <w:pStyle w:val="TextBody"/>
        <w:bidi w:val="0"/>
        <w:spacing w:before="0" w:after="0"/>
        <w:ind w:left="0" w:right="0" w:firstLine="720"/>
        <w:jc w:val="left"/>
        <w:rPr/>
      </w:pPr>
      <w:r>
        <w:rPr/>
      </w:r>
    </w:p>
    <w:tbl>
      <w:tblPr>
        <w:tblW w:w="9584" w:type="dxa"/>
        <w:jc w:val="center"/>
        <w:tblInd w:w="0" w:type="dxa"/>
        <w:tblLayout w:type="fixed"/>
        <w:tblCellMar>
          <w:top w:w="28" w:type="dxa"/>
          <w:left w:w="28" w:type="dxa"/>
          <w:bottom w:w="28" w:type="dxa"/>
          <w:right w:w="28" w:type="dxa"/>
        </w:tblCellMar>
      </w:tblPr>
      <w:tblGrid>
        <w:gridCol w:w="1896"/>
        <w:gridCol w:w="1665"/>
        <w:gridCol w:w="1673"/>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896"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 Net Income per Class A Share</w:t>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PAGP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Class A shares outstanding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Class A share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4—Inventory, Linefill and Long-term Inventory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Inventory, linefill and long-term inventory consisted of the following (barrels in thousands and carrying value in millions):</w:t>
      </w:r>
    </w:p>
    <w:p>
      <w:pPr>
        <w:pStyle w:val="TextBody"/>
        <w:bidi w:val="0"/>
        <w:spacing w:before="0" w:after="0"/>
        <w:ind w:left="0" w:right="0" w:firstLine="720"/>
        <w:jc w:val="left"/>
        <w:rPr/>
      </w:pPr>
      <w:r>
        <w:rPr/>
      </w:r>
    </w:p>
    <w:tbl>
      <w:tblPr>
        <w:tblW w:w="10807" w:type="dxa"/>
        <w:jc w:val="center"/>
        <w:tblInd w:w="0" w:type="dxa"/>
        <w:tblLayout w:type="fixed"/>
        <w:tblCellMar>
          <w:top w:w="28" w:type="dxa"/>
          <w:left w:w="28" w:type="dxa"/>
          <w:bottom w:w="28" w:type="dxa"/>
          <w:right w:w="28" w:type="dxa"/>
        </w:tblCellMar>
      </w:tblPr>
      <w:tblGrid>
        <w:gridCol w:w="423"/>
        <w:gridCol w:w="306"/>
        <w:gridCol w:w="307"/>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p>
            <w:pPr>
              <w:pStyle w:val="TableContents"/>
              <w:bidi w:val="0"/>
              <w:spacing w:lineRule="auto" w:line="240" w:before="0" w:after="0"/>
              <w:jc w:val="center"/>
              <w:rPr/>
            </w:pPr>
            <w:r>
              <w:rPr>
                <w:rFonts w:ascii="Times New Roman;sans-serif" w:hAnsi="Times New Roman;sans-serif"/>
                <w:b/>
                <w:color w:val="000000"/>
                <w:sz w:val="16"/>
              </w:rPr>
              <w:t>Unit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p>
            <w:pPr>
              <w:pStyle w:val="TableContents"/>
              <w:bidi w:val="0"/>
              <w:spacing w:lineRule="auto" w:line="240" w:before="0" w:after="0"/>
              <w:jc w:val="center"/>
              <w:rPr/>
            </w:pPr>
            <w:r>
              <w:rPr>
                <w:rFonts w:ascii="Times New Roman;sans-serif" w:hAnsi="Times New Roman;sans-serif"/>
                <w:b/>
                <w:color w:val="000000"/>
                <w:sz w:val="16"/>
              </w:rPr>
              <w:t>Unit </w:t>
            </w:r>
            <w:r>
              <w:rPr>
                <w:rFonts w:ascii="Times New Roman;sans-serif" w:hAnsi="Times New Roman;sans-serif"/>
                <w:b/>
                <w:color w:val="000000"/>
                <w:sz w:val="10"/>
              </w:rPr>
              <w:t>(1)</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Inventory</w:t>
            </w:r>
          </w:p>
        </w:tc>
        <w:tc>
          <w:tcPr>
            <w:tcW w:w="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Linefill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Linefill subtotal</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inventory</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Price per unit of measure is comprised of a weighted average associated with various grades, qualities and locations. Accordingly, these prices may not coincide with any published benchmarks for such products.</w:t>
      </w:r>
    </w:p>
    <w:p>
      <w:pPr>
        <w:pStyle w:val="TextBody"/>
        <w:bidi w:val="0"/>
        <w:spacing w:before="6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Debt consisted of the following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830"/>
        <w:gridCol w:w="2490"/>
        <w:gridCol w:w="2494"/>
        <w:gridCol w:w="211"/>
        <w:gridCol w:w="616"/>
        <w:gridCol w:w="109"/>
        <w:gridCol w:w="109"/>
        <w:gridCol w:w="109"/>
        <w:gridCol w:w="109"/>
        <w:gridCol w:w="241"/>
        <w:gridCol w:w="706"/>
        <w:gridCol w:w="181"/>
      </w:tblGrid>
      <w:tr>
        <w:trPr/>
        <w:tc>
          <w:tcPr>
            <w:tcW w:w="2830"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DEBT</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14" w:type="dxa"/>
            <w:gridSpan w:val="3"/>
            <w:tcBorders/>
            <w:shd w:fill="FFFFFF" w:val="clear"/>
            <w:tcMar>
              <w:top w:w="0" w:type="dxa"/>
              <w:left w:w="0" w:type="dxa"/>
              <w:bottom w:w="0" w:type="dxa"/>
              <w:right w:w="0" w:type="dxa"/>
            </w:tcMar>
            <w:vAlign w:val="center"/>
          </w:tcPr>
          <w:p>
            <w:pPr>
              <w:pStyle w:val="TableContents"/>
              <w:bidi w:val="0"/>
              <w:spacing w:lineRule="auto" w:line="240" w:before="0" w:after="60"/>
              <w:ind w:left="0" w:right="0" w:hanging="180"/>
              <w:jc w:val="left"/>
              <w:rPr/>
            </w:pPr>
            <w:r>
              <w:rPr>
                <w:rFonts w:ascii="Times New Roman;sans-serif" w:hAnsi="Times New Roman;sans-serif"/>
                <w:b w:val="false"/>
                <w:color w:val="000000"/>
                <w:sz w:val="20"/>
              </w:rPr>
              <w:t xml:space="preserve">PAA commercial paper notes, bearing a weighted-average interest rate of 5.8%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8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senior notes: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3.60% senior notes due November 2024 </w:t>
            </w:r>
            <w:r>
              <w:rPr>
                <w:rFonts w:ascii="Times New Roman;sans-serif" w:hAnsi="Times New Roman;sans-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8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debt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PAA senior notes, net of unamortized discounts and debt issuance costs of $44 and $41, respectively </w:t>
            </w:r>
            <w:r>
              <w:rPr>
                <w:rFonts w:ascii="Times New Roman;sans-serif" w:hAnsi="Times New Roman;sans-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8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7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85"/>
              <w:jc w:val="left"/>
              <w:rPr/>
            </w:pPr>
            <w:r>
              <w:rPr>
                <w:rFonts w:ascii="Times New Roman;sans-serif" w:hAnsi="Times New Roman;sans-serif"/>
                <w:b w:val="false"/>
                <w:color w:val="000000"/>
                <w:sz w:val="20"/>
              </w:rPr>
              <w:t xml:space="preserve">Total debt </w:t>
            </w:r>
            <w:r>
              <w:rPr>
                <w:rFonts w:ascii="Times New Roman;sans-serif" w:hAnsi="Times New Roman;sans-serif"/>
                <w:b w:val="false"/>
                <w:color w:val="000000"/>
                <w:sz w:val="13"/>
              </w:rPr>
              <w:t>(3)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classified these PAA commercial paper notes as short-term as of December 31, 2023, as these notes were primarily designated as working capital borrowings, were required to be repaid within one year and were primarily for hedged NGL and crude oil inventory and NYMEX and ICE margin deposits.</w:t>
      </w:r>
    </w:p>
    <w:p>
      <w:pPr>
        <w:pStyle w:val="TextBody"/>
        <w:bidi w:val="0"/>
        <w:spacing w:lineRule="auto" w:line="288" w:before="12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As of December 31, 2023, we classified PAA’s $750 million, 3.60% senior notes due November 2024 as long-term based on our ability and intent to refinance the notes on a long-term basis at that time.</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PAA’s fixed-rate senior notes had a face value of approximately $7.9 billion and $7.3 billion as of June 30, 2024 and December 31, 2023, respectively. We estimated the aggregate fair value of these notes as of June 30, 2024 and December 31, 2023 to be approximately $7.4 billion and $6.9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commercial paper program approximates fair value as interest rates reflect current market rates. The fair value estimates for PAA’s senior notes and commercial paper program are based upon observable market data and are classified in Level 2 of the fair value hierarchy.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2024, PAA completed the offering of $650 million, 5.70% senior notes due September 2034 at a public offering price of 99.953%. Interest payments are due on March 15 and September 15 of each year, commencing on March 15,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Borrowings and Repayments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borrowings under the PAA commercial paper program for the six months ended June 30, 2024 and 2023 were approximately $20.6 billion and $1.5 billion, respectively. Total repayments under the PAA commercial paper program were approximately $21.0 billion and $1.5 billion for the six months ended June 30, 2024 and 2023, respectively. The variance in total gross borrowings and repayments is impacted by various business and financial factors including, but not limited to, the timing, average term and method of general partnership borrowing activities.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June 30, 2024 and December 31, 2023, we had outstanding letters of credit of $143 million and $205 million,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6—Partners’ Capital and Distributions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Shares Outstanding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activity for our Class A shares, Class B shares and Class C shares:</w:t>
      </w:r>
    </w:p>
    <w:p>
      <w:pPr>
        <w:pStyle w:val="TextBody"/>
        <w:bidi w:val="0"/>
        <w:spacing w:before="0" w:after="0"/>
        <w:ind w:left="0" w:right="0" w:firstLine="720"/>
        <w:jc w:val="left"/>
        <w:rPr/>
      </w:pPr>
      <w:r>
        <w:rPr/>
      </w:r>
    </w:p>
    <w:tbl>
      <w:tblPr>
        <w:tblW w:w="8328" w:type="dxa"/>
        <w:jc w:val="center"/>
        <w:tblInd w:w="0" w:type="dxa"/>
        <w:tblLayout w:type="fixed"/>
        <w:tblCellMar>
          <w:top w:w="28" w:type="dxa"/>
          <w:left w:w="28" w:type="dxa"/>
          <w:bottom w:w="28" w:type="dxa"/>
          <w:right w:w="28" w:type="dxa"/>
        </w:tblCellMar>
      </w:tblPr>
      <w:tblGrid>
        <w:gridCol w:w="1065"/>
        <w:gridCol w:w="935"/>
        <w:gridCol w:w="940"/>
        <w:gridCol w:w="593"/>
        <w:gridCol w:w="593"/>
        <w:gridCol w:w="391"/>
        <w:gridCol w:w="109"/>
        <w:gridCol w:w="109"/>
        <w:gridCol w:w="109"/>
        <w:gridCol w:w="540"/>
        <w:gridCol w:w="541"/>
        <w:gridCol w:w="386"/>
        <w:gridCol w:w="109"/>
        <w:gridCol w:w="109"/>
        <w:gridCol w:w="109"/>
        <w:gridCol w:w="593"/>
        <w:gridCol w:w="593"/>
        <w:gridCol w:w="50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C Shares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196,416,760 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36,237,168 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539,445,289 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Exchange Right exercises </w:t>
            </w:r>
            <w:r>
              <w:rPr>
                <w:rFonts w:ascii="Times New Roman;sans-serif" w:hAnsi="Times New Roman;sans-serif"/>
                <w:b w:val="false"/>
                <w:color w:val="000000"/>
                <w:sz w:val="13"/>
              </w:rPr>
              <w:t>(1)</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835,499 </w:t>
            </w:r>
          </w:p>
        </w:tc>
        <w:tc>
          <w:tcPr>
            <w:tcW w:w="3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(835,499)</w:t>
            </w:r>
          </w:p>
        </w:tc>
        <w:tc>
          <w:tcPr>
            <w:tcW w:w="3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62,282 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2024</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197,252,259 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35,401,669 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539,507,571 </w:t>
            </w:r>
          </w:p>
        </w:tc>
        <w:tc>
          <w:tcPr>
            <w:tcW w:w="5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Exchange Right exercises </w:t>
            </w:r>
            <w:r>
              <w:rPr>
                <w:rFonts w:ascii="Times New Roman;sans-serif" w:hAnsi="Times New Roman;sans-serif"/>
                <w:b w:val="false"/>
                <w:color w:val="000000"/>
                <w:sz w:val="13"/>
              </w:rPr>
              <w:t>(1)</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11,438 </w:t>
            </w:r>
          </w:p>
        </w:tc>
        <w:tc>
          <w:tcPr>
            <w:tcW w:w="3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(11,438)</w:t>
            </w:r>
          </w:p>
        </w:tc>
        <w:tc>
          <w:tcPr>
            <w:tcW w:w="3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10,268 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2024</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197,263,697 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35,390,231 </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539,517,839 </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9078" w:type="dxa"/>
        <w:jc w:val="center"/>
        <w:tblInd w:w="0" w:type="dxa"/>
        <w:tblLayout w:type="fixed"/>
        <w:tblCellMar>
          <w:top w:w="28" w:type="dxa"/>
          <w:left w:w="28" w:type="dxa"/>
          <w:bottom w:w="28" w:type="dxa"/>
          <w:right w:w="28" w:type="dxa"/>
        </w:tblCellMar>
      </w:tblPr>
      <w:tblGrid>
        <w:gridCol w:w="1337"/>
        <w:gridCol w:w="1173"/>
        <w:gridCol w:w="1180"/>
        <w:gridCol w:w="593"/>
        <w:gridCol w:w="593"/>
        <w:gridCol w:w="391"/>
        <w:gridCol w:w="109"/>
        <w:gridCol w:w="109"/>
        <w:gridCol w:w="109"/>
        <w:gridCol w:w="540"/>
        <w:gridCol w:w="541"/>
        <w:gridCol w:w="386"/>
        <w:gridCol w:w="109"/>
        <w:gridCol w:w="109"/>
        <w:gridCol w:w="109"/>
        <w:gridCol w:w="593"/>
        <w:gridCol w:w="593"/>
        <w:gridCol w:w="504"/>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C Shares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194,407,642 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46,205,947 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528,442,538 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Conversion of AAP Management Units </w:t>
            </w:r>
            <w:r>
              <w:rPr>
                <w:rFonts w:ascii="Times New Roman;sans-serif" w:hAnsi="Times New Roman;sans-serif"/>
                <w:b w:val="false"/>
                <w:color w:val="000000"/>
                <w:sz w:val="13"/>
              </w:rPr>
              <w:t>(1) (2)</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388,839 </w:t>
            </w:r>
          </w:p>
        </w:tc>
        <w:tc>
          <w:tcPr>
            <w:tcW w:w="3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Redemption Right exercises </w:t>
            </w:r>
            <w:r>
              <w:rPr>
                <w:rFonts w:ascii="Times New Roman;sans-serif" w:hAnsi="Times New Roman;sans-serif"/>
                <w:b w:val="false"/>
                <w:color w:val="000000"/>
                <w:sz w:val="13"/>
              </w:rPr>
              <w:t>(1)</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(181,916)</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181,916 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35,508 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194,407,642 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46,412,870 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528,659,962 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Exchange Right exercises </w:t>
            </w:r>
            <w:r>
              <w:rPr>
                <w:rFonts w:ascii="Times New Roman;sans-serif" w:hAnsi="Times New Roman;sans-serif"/>
                <w:b w:val="false"/>
                <w:color w:val="000000"/>
                <w:sz w:val="13"/>
              </w:rPr>
              <w:t>(1)</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1,554,000 </w:t>
            </w:r>
          </w:p>
        </w:tc>
        <w:tc>
          <w:tcPr>
            <w:tcW w:w="3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(1,554,000)</w:t>
            </w:r>
          </w:p>
        </w:tc>
        <w:tc>
          <w:tcPr>
            <w:tcW w:w="3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Redemption Right exercises </w:t>
            </w:r>
            <w:r>
              <w:rPr>
                <w:rFonts w:ascii="Times New Roman;sans-serif" w:hAnsi="Times New Roman;sans-serif"/>
                <w:b w:val="false"/>
                <w:color w:val="000000"/>
                <w:sz w:val="13"/>
              </w:rPr>
              <w:t>(1)</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(60,354)</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60,354 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2023</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195,961,642 </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44,798,516 </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528,720,316 </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See Note 11 to our Consolidated Financial Statements included in Part IV of our 2023 Annual Report on Form 10-K for information regarding conversions of AAP Management Units, Exchange Rights and Redemption Rights.</w:t>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Following this conversion, no AAP Management Units remain outstanding.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Distributions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distributions to our Class A shareholders paid during or pertaining to the first six months of 2024 (in millions, except per share data):</w:t>
      </w:r>
    </w:p>
    <w:p>
      <w:pPr>
        <w:pStyle w:val="TextBody"/>
        <w:bidi w:val="0"/>
        <w:spacing w:before="0" w:after="0"/>
        <w:ind w:left="0" w:right="0" w:firstLine="720"/>
        <w:jc w:val="left"/>
        <w:rPr/>
      </w:pPr>
      <w:r>
        <w:rPr/>
      </w:r>
    </w:p>
    <w:tbl>
      <w:tblPr>
        <w:tblW w:w="5726" w:type="dxa"/>
        <w:jc w:val="left"/>
        <w:tblInd w:w="0" w:type="dxa"/>
        <w:tblLayout w:type="fixed"/>
        <w:tblCellMar>
          <w:top w:w="28" w:type="dxa"/>
          <w:left w:w="28" w:type="dxa"/>
          <w:bottom w:w="28" w:type="dxa"/>
          <w:right w:w="28" w:type="dxa"/>
        </w:tblCellMar>
      </w:tblPr>
      <w:tblGrid>
        <w:gridCol w:w="750"/>
        <w:gridCol w:w="659"/>
        <w:gridCol w:w="661"/>
        <w:gridCol w:w="109"/>
        <w:gridCol w:w="109"/>
        <w:gridCol w:w="109"/>
        <w:gridCol w:w="506"/>
        <w:gridCol w:w="867"/>
        <w:gridCol w:w="263"/>
        <w:gridCol w:w="109"/>
        <w:gridCol w:w="109"/>
        <w:gridCol w:w="109"/>
        <w:gridCol w:w="265"/>
        <w:gridCol w:w="906"/>
        <w:gridCol w:w="195"/>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 to</w:t>
              <w:br/>
              <w:t>Class A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 per</w:t>
              <w:br/>
              <w:t>Class A Share</w:t>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August 14, 2024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0.3175 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May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0.3175 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0.3175 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Payable to shareholders of record at the close of business on July 31, 2024 for the period from April 1, 2024 through June 30,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Consolidated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Noncontrolling Interests in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noncontrolling interests in our subsidiaries consisted of (i) limited partner interests in PAA including a 70% interest in PAA’s common units and PAA’s Series A preferred units combined and 100% of PAA’s Series B preferred units, (ii) an approximate 15% limited partner interest in AAP, (iii) a 35% interest in Plains Oryx Permian Basin LLC (the “Permian JV”), (iv) a 30% interest in Cactus II Pipeline LLC (“Cactus II”) and (v) a 33% interest in Red River Pipeline Company LLC (“Red River”).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Subsidiary Distributions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PAA Series A Preferred Unit Distributions</w:t>
      </w:r>
      <w:r>
        <w:rPr>
          <w:rFonts w:ascii="Times New Roman;sans-serif" w:hAnsi="Times New Roman;sans-serif"/>
          <w:b w:val="false"/>
          <w:color w:val="000000"/>
          <w:sz w:val="20"/>
        </w:rPr>
        <w:t>. Distributions on PAA’s Series A preferred units accumulate and are payable quarterly within 45 days following the end of each quarter. See Note 11 to our Consolidated Financial Statements included in Part IV of our 2023 Annual Report on Form 10-K for additional information regarding PAA Series A preferred unit distributions. The following table details distributions to PAA’s Series A preferred unitholders paid during or pertaining to the first six months of 2024 (in millions, except per unit data):</w:t>
      </w:r>
    </w:p>
    <w:p>
      <w:pPr>
        <w:pStyle w:val="TextBody"/>
        <w:bidi w:val="0"/>
        <w:spacing w:before="0" w:after="0"/>
        <w:ind w:left="0" w:right="0" w:firstLine="720"/>
        <w:jc w:val="left"/>
        <w:rPr/>
      </w:pPr>
      <w:r>
        <w:rPr/>
      </w:r>
    </w:p>
    <w:tbl>
      <w:tblPr>
        <w:tblW w:w="6107" w:type="dxa"/>
        <w:jc w:val="center"/>
        <w:tblInd w:w="0" w:type="dxa"/>
        <w:tblLayout w:type="fixed"/>
        <w:tblCellMar>
          <w:top w:w="28" w:type="dxa"/>
          <w:left w:w="28" w:type="dxa"/>
          <w:bottom w:w="28" w:type="dxa"/>
          <w:right w:w="28" w:type="dxa"/>
        </w:tblCellMar>
      </w:tblPr>
      <w:tblGrid>
        <w:gridCol w:w="750"/>
        <w:gridCol w:w="659"/>
        <w:gridCol w:w="661"/>
        <w:gridCol w:w="109"/>
        <w:gridCol w:w="109"/>
        <w:gridCol w:w="109"/>
        <w:gridCol w:w="427"/>
        <w:gridCol w:w="731"/>
        <w:gridCol w:w="222"/>
        <w:gridCol w:w="111"/>
        <w:gridCol w:w="111"/>
        <w:gridCol w:w="111"/>
        <w:gridCol w:w="111"/>
        <w:gridCol w:w="111"/>
        <w:gridCol w:w="111"/>
        <w:gridCol w:w="357"/>
        <w:gridCol w:w="1045"/>
        <w:gridCol w:w="262"/>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Unitholders</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Distribution</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 per Unit</w:t>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August 14, 2024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shd w:fill="FFFFFF" w:val="clear"/>
        </w:rPr>
        <w:t>Payable to unitholders of record at the close of business on July 31, 2024 for the period from April 1, 2024 through June 30, 2024. At June 30, 2024, such amount was accrued as distributions payable in “Other current liabilities” on our Condensed Consolidated Balance Sheet.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PAA</w:t>
      </w:r>
      <w:r>
        <w:rPr>
          <w:color w:val="000000"/>
        </w:rPr>
        <w:t xml:space="preserve"> </w:t>
      </w:r>
      <w:r>
        <w:rPr>
          <w:rFonts w:ascii="Times New Roman;sans-serif" w:hAnsi="Times New Roman;sans-serif"/>
          <w:b w:val="false"/>
          <w:i/>
          <w:color w:val="000000"/>
          <w:sz w:val="20"/>
        </w:rPr>
        <w:t>Series B Preferred Unit Distributions</w:t>
      </w:r>
      <w:r>
        <w:rPr>
          <w:rFonts w:ascii="Times New Roman;sans-serif" w:hAnsi="Times New Roman;sans-serif"/>
          <w:b w:val="false"/>
          <w:color w:val="000000"/>
          <w:sz w:val="20"/>
        </w:rPr>
        <w:t>. Distributions on PAA’s Series B preferred units accumulate and are payable quarterly in arrears on the 15th day of February, May, August and November. See Note 11 to our Consolidated Financial Statements included in Part IV of our 2023 Annual Report on Form 10-K for additional information regarding PAA Series B preferred unit distributions. The following table details distributions paid or to be paid to PAA’s Series B preferred unitholders (in millions, except per unit data):</w:t>
      </w:r>
    </w:p>
    <w:p>
      <w:pPr>
        <w:pStyle w:val="TextBody"/>
        <w:bidi w:val="0"/>
        <w:spacing w:before="0" w:after="0"/>
        <w:ind w:left="0" w:right="0" w:firstLine="720"/>
        <w:jc w:val="left"/>
        <w:rPr/>
      </w:pPr>
      <w:r>
        <w:rPr/>
      </w:r>
    </w:p>
    <w:tbl>
      <w:tblPr>
        <w:tblW w:w="6146" w:type="dxa"/>
        <w:jc w:val="center"/>
        <w:tblInd w:w="0" w:type="dxa"/>
        <w:tblLayout w:type="fixed"/>
        <w:tblCellMar>
          <w:top w:w="28" w:type="dxa"/>
          <w:left w:w="28" w:type="dxa"/>
          <w:bottom w:w="28" w:type="dxa"/>
          <w:right w:w="28" w:type="dxa"/>
        </w:tblCellMar>
      </w:tblPr>
      <w:tblGrid>
        <w:gridCol w:w="750"/>
        <w:gridCol w:w="659"/>
        <w:gridCol w:w="661"/>
        <w:gridCol w:w="109"/>
        <w:gridCol w:w="109"/>
        <w:gridCol w:w="109"/>
        <w:gridCol w:w="441"/>
        <w:gridCol w:w="755"/>
        <w:gridCol w:w="229"/>
        <w:gridCol w:w="110"/>
        <w:gridCol w:w="110"/>
        <w:gridCol w:w="110"/>
        <w:gridCol w:w="110"/>
        <w:gridCol w:w="110"/>
        <w:gridCol w:w="110"/>
        <w:gridCol w:w="357"/>
        <w:gridCol w:w="1045"/>
        <w:gridCol w:w="262"/>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 Preferred Unitholders</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Cash Distribution </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 per Unit</w:t>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August 15, 2024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Payable to unitholders of record at the close of business on August 1, 2024 for the period from May 15, 2024 through August 14, 2024. At </w:t>
      </w:r>
      <w:r>
        <w:rPr>
          <w:rFonts w:ascii="Times New Roman;sans-serif" w:hAnsi="Times New Roman;sans-serif"/>
          <w:b w:val="false"/>
          <w:color w:val="000000"/>
          <w:sz w:val="20"/>
          <w:shd w:fill="FFFFFF" w:val="clear"/>
        </w:rPr>
        <w:t>June 30, 2024</w:t>
      </w:r>
      <w:r>
        <w:rPr>
          <w:rFonts w:ascii="Times New Roman;sans-serif" w:hAnsi="Times New Roman;sans-serif"/>
          <w:b w:val="false"/>
          <w:color w:val="000000"/>
          <w:sz w:val="20"/>
        </w:rPr>
        <w:t>, approximately $10 million of accrued distributions payable to PAA’s Series B preferred unitholders was included in “Other current liabilities” on our Condensed Consolidated Balance Sheet.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PAA Common Unit Distributions.</w:t>
      </w:r>
      <w:r>
        <w:rPr>
          <w:color w:val="000000"/>
        </w:rPr>
        <w:t xml:space="preserve"> </w:t>
      </w:r>
      <w:r>
        <w:rPr>
          <w:rFonts w:ascii="Times New Roman;sans-serif" w:hAnsi="Times New Roman;sans-serif"/>
          <w:b w:val="false"/>
          <w:color w:val="000000"/>
          <w:sz w:val="20"/>
        </w:rPr>
        <w:t>The following table details distributions to PAA’s common unitholders paid during or pertaining to the first six months of 2024 (in millions, except per unit data):</w:t>
      </w:r>
    </w:p>
    <w:p>
      <w:pPr>
        <w:pStyle w:val="TextBody"/>
        <w:bidi w:val="0"/>
        <w:spacing w:before="0" w:after="0"/>
        <w:ind w:left="0" w:right="0" w:firstLine="720"/>
        <w:jc w:val="left"/>
        <w:rPr/>
      </w:pPr>
      <w:r>
        <w:rPr/>
      </w:r>
    </w:p>
    <w:tbl>
      <w:tblPr>
        <w:tblW w:w="9357" w:type="dxa"/>
        <w:jc w:val="center"/>
        <w:tblInd w:w="0" w:type="dxa"/>
        <w:tblLayout w:type="fixed"/>
        <w:tblCellMar>
          <w:top w:w="28" w:type="dxa"/>
          <w:left w:w="28" w:type="dxa"/>
          <w:bottom w:w="28" w:type="dxa"/>
          <w:right w:w="28" w:type="dxa"/>
        </w:tblCellMar>
      </w:tblPr>
      <w:tblGrid>
        <w:gridCol w:w="750"/>
        <w:gridCol w:w="659"/>
        <w:gridCol w:w="661"/>
        <w:gridCol w:w="109"/>
        <w:gridCol w:w="109"/>
        <w:gridCol w:w="109"/>
        <w:gridCol w:w="211"/>
        <w:gridCol w:w="466"/>
        <w:gridCol w:w="109"/>
        <w:gridCol w:w="109"/>
        <w:gridCol w:w="109"/>
        <w:gridCol w:w="109"/>
        <w:gridCol w:w="211"/>
        <w:gridCol w:w="361"/>
        <w:gridCol w:w="109"/>
        <w:gridCol w:w="109"/>
        <w:gridCol w:w="109"/>
        <w:gridCol w:w="109"/>
        <w:gridCol w:w="487"/>
        <w:gridCol w:w="1075"/>
        <w:gridCol w:w="253"/>
        <w:gridCol w:w="109"/>
        <w:gridCol w:w="109"/>
        <w:gridCol w:w="109"/>
        <w:gridCol w:w="109"/>
        <w:gridCol w:w="109"/>
        <w:gridCol w:w="109"/>
        <w:gridCol w:w="460"/>
        <w:gridCol w:w="1574"/>
        <w:gridCol w:w="336"/>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Distribution per Common Unit</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Public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August 14, 2024</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0.3175 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0.3175 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0.3175 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Payable to unitholders of record at the close of business on July 31, 2024 for the period from April 1, 2024 through June 30,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AAP Distributions.</w:t>
      </w:r>
      <w:r>
        <w:rPr>
          <w:color w:val="000000"/>
        </w:rPr>
        <w:t xml:space="preserve"> </w:t>
      </w:r>
      <w:r>
        <w:rPr>
          <w:rFonts w:ascii="Times New Roman;sans-serif" w:hAnsi="Times New Roman;sans-serif"/>
          <w:b w:val="false"/>
          <w:color w:val="000000"/>
          <w:sz w:val="20"/>
        </w:rPr>
        <w:t>The following table details the distributions to AAP’s partners paid during or pertaining to the first six months of 2024 from distributions received from PAA (in millions):</w:t>
      </w:r>
    </w:p>
    <w:p>
      <w:pPr>
        <w:pStyle w:val="TextBody"/>
        <w:bidi w:val="0"/>
        <w:spacing w:before="0" w:after="0"/>
        <w:ind w:left="0" w:right="0" w:firstLine="720"/>
        <w:jc w:val="left"/>
        <w:rPr/>
      </w:pPr>
      <w:r>
        <w:rPr/>
      </w:r>
    </w:p>
    <w:tbl>
      <w:tblPr>
        <w:tblW w:w="7452" w:type="dxa"/>
        <w:jc w:val="center"/>
        <w:tblInd w:w="0" w:type="dxa"/>
        <w:tblLayout w:type="fixed"/>
        <w:tblCellMar>
          <w:top w:w="28" w:type="dxa"/>
          <w:left w:w="28" w:type="dxa"/>
          <w:bottom w:w="28" w:type="dxa"/>
          <w:right w:w="28" w:type="dxa"/>
        </w:tblCellMar>
      </w:tblPr>
      <w:tblGrid>
        <w:gridCol w:w="750"/>
        <w:gridCol w:w="659"/>
        <w:gridCol w:w="661"/>
        <w:gridCol w:w="109"/>
        <w:gridCol w:w="109"/>
        <w:gridCol w:w="109"/>
        <w:gridCol w:w="576"/>
        <w:gridCol w:w="985"/>
        <w:gridCol w:w="299"/>
        <w:gridCol w:w="109"/>
        <w:gridCol w:w="109"/>
        <w:gridCol w:w="109"/>
        <w:gridCol w:w="211"/>
        <w:gridCol w:w="361"/>
        <w:gridCol w:w="109"/>
        <w:gridCol w:w="109"/>
        <w:gridCol w:w="109"/>
        <w:gridCol w:w="109"/>
        <w:gridCol w:w="539"/>
        <w:gridCol w:w="924"/>
        <w:gridCol w:w="397"/>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Distributions to AAP</w:t>
            </w:r>
            <w:r>
              <w:rPr>
                <w:color w:val="000000"/>
              </w:rPr>
              <w:t>’</w:t>
            </w:r>
            <w:r>
              <w:rPr>
                <w:rFonts w:ascii="Times New Roman;sans-serif" w:hAnsi="Times New Roman;sans-serif"/>
                <w:b/>
                <w:color w:val="000000"/>
                <w:sz w:val="16"/>
              </w:rPr>
              <w:t>s Partners</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 Distribution</w:t>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August 14, 2024</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Payable to unitholders of record at the close of business on July 31, 2024 for the period from April 1, 2024 through June 30,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Consolidated Joint Venture Distributions. </w:t>
      </w:r>
      <w:r>
        <w:rPr>
          <w:rFonts w:ascii="Times New Roman;sans-serif" w:hAnsi="Times New Roman;sans-serif"/>
          <w:b w:val="false"/>
          <w:color w:val="000000"/>
          <w:sz w:val="20"/>
        </w:rPr>
        <w:t>The following table details distributions paid to noncontrolling interests in consolidated joint ventures during the periods presented (in millions):</w:t>
      </w:r>
    </w:p>
    <w:p>
      <w:pPr>
        <w:pStyle w:val="TextBody"/>
        <w:bidi w:val="0"/>
        <w:spacing w:before="0" w:after="0"/>
        <w:jc w:val="left"/>
        <w:rPr/>
      </w:pPr>
      <w:r>
        <w:rPr/>
      </w:r>
    </w:p>
    <w:tbl>
      <w:tblPr>
        <w:tblW w:w="5212" w:type="dxa"/>
        <w:jc w:val="left"/>
        <w:tblInd w:w="0" w:type="dxa"/>
        <w:tblLayout w:type="fixed"/>
        <w:tblCellMar>
          <w:top w:w="28" w:type="dxa"/>
          <w:left w:w="28" w:type="dxa"/>
          <w:bottom w:w="28" w:type="dxa"/>
          <w:right w:w="28" w:type="dxa"/>
        </w:tblCellMar>
      </w:tblPr>
      <w:tblGrid>
        <w:gridCol w:w="375"/>
        <w:gridCol w:w="328"/>
        <w:gridCol w:w="331"/>
        <w:gridCol w:w="211"/>
        <w:gridCol w:w="361"/>
        <w:gridCol w:w="109"/>
        <w:gridCol w:w="109"/>
        <w:gridCol w:w="109"/>
        <w:gridCol w:w="109"/>
        <w:gridCol w:w="211"/>
        <w:gridCol w:w="361"/>
        <w:gridCol w:w="109"/>
        <w:gridCol w:w="109"/>
        <w:gridCol w:w="109"/>
        <w:gridCol w:w="109"/>
        <w:gridCol w:w="211"/>
        <w:gridCol w:w="466"/>
        <w:gridCol w:w="109"/>
        <w:gridCol w:w="109"/>
        <w:gridCol w:w="109"/>
        <w:gridCol w:w="109"/>
        <w:gridCol w:w="211"/>
        <w:gridCol w:w="466"/>
        <w:gridCol w:w="109"/>
        <w:gridCol w:w="109"/>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JV</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Cactus II</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River</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7—Derivatives and Risk Management Activities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identify the risks that underlie our core business activities and use risk management strategies to mitigate those risks when we determine that there is value in doing so. We use various derivative instruments to optimize our profits while managing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2024 and December 31, 2023,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Commodity Price Risk Hedging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our operations, we purchase and sell commodities. We use derivatives to manage the associated risks and to optimize profits. As of June 30, 2024, net derivative positions related to these activities included: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net long position of 6.5 million barrels associated with our crude oil purchases, which was unwound ratably during July 2024 to match monthly average pricing.</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 net short time spread position of 4.3 million barrels, which hedges a portion of our anticipated crude oil lease gathering purchases through August 2025.</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 net crude oil basis spread position of 5.9 million barrels at multiple locations through November 2025. These derivatives allow us to lock in grade and location basis differentials.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 net short position of 15.4 million barrels through March 2026 related to anticipated net sales of crude oil and NGL inventory.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June 30, 2024:</w:t>
      </w:r>
    </w:p>
    <w:p>
      <w:pPr>
        <w:pStyle w:val="TextBody"/>
        <w:bidi w:val="0"/>
        <w:spacing w:before="0" w:after="0"/>
        <w:ind w:left="0" w:right="0" w:firstLine="720"/>
        <w:jc w:val="left"/>
        <w:rPr/>
      </w:pPr>
      <w:r>
        <w:rPr/>
      </w:r>
    </w:p>
    <w:tbl>
      <w:tblPr>
        <w:tblW w:w="5931" w:type="dxa"/>
        <w:jc w:val="center"/>
        <w:tblInd w:w="0" w:type="dxa"/>
        <w:tblLayout w:type="fixed"/>
        <w:tblCellMar>
          <w:top w:w="28" w:type="dxa"/>
          <w:left w:w="28" w:type="dxa"/>
          <w:bottom w:w="28" w:type="dxa"/>
          <w:right w:w="28" w:type="dxa"/>
        </w:tblCellMar>
      </w:tblPr>
      <w:tblGrid>
        <w:gridCol w:w="913"/>
        <w:gridCol w:w="800"/>
        <w:gridCol w:w="806"/>
        <w:gridCol w:w="109"/>
        <w:gridCol w:w="109"/>
        <w:gridCol w:w="109"/>
        <w:gridCol w:w="444"/>
        <w:gridCol w:w="444"/>
        <w:gridCol w:w="446"/>
        <w:gridCol w:w="109"/>
        <w:gridCol w:w="109"/>
        <w:gridCol w:w="109"/>
        <w:gridCol w:w="416"/>
        <w:gridCol w:w="416"/>
        <w:gridCol w:w="592"/>
      </w:tblGrid>
      <w:tr>
        <w:trPr/>
        <w:tc>
          <w:tcPr>
            <w:tcW w:w="91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(Short)/Long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Tenor</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53.5 Bcf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2025</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Propane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 MMbls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2025</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Butane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 MMbls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2025</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Condensate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 MMbls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2025</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Fuel gas requirements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 Bcf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2025</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Power supply requirements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 TWh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2030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Positions to hedge a portion of our power supply and fuel gas requirements at our Canadian natural gas processing and fractionation plants.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pStyle w:val="TextBody"/>
        <w:bidi w:val="0"/>
        <w:spacing w:before="0" w:after="0"/>
        <w:ind w:left="0" w:right="0" w:firstLine="720"/>
        <w:jc w:val="left"/>
        <w:rPr/>
      </w:pPr>
      <w:r>
        <w:rPr/>
      </w:r>
    </w:p>
    <w:tbl>
      <w:tblPr>
        <w:tblW w:w="8640" w:type="dxa"/>
        <w:jc w:val="center"/>
        <w:tblInd w:w="0" w:type="dxa"/>
        <w:tblLayout w:type="fixed"/>
        <w:tblCellMar>
          <w:top w:w="28" w:type="dxa"/>
          <w:left w:w="28" w:type="dxa"/>
          <w:bottom w:w="28" w:type="dxa"/>
          <w:right w:w="28" w:type="dxa"/>
        </w:tblCellMar>
      </w:tblPr>
      <w:tblGrid>
        <w:gridCol w:w="1600"/>
        <w:gridCol w:w="1409"/>
        <w:gridCol w:w="1416"/>
        <w:gridCol w:w="211"/>
        <w:gridCol w:w="436"/>
        <w:gridCol w:w="109"/>
        <w:gridCol w:w="109"/>
        <w:gridCol w:w="109"/>
        <w:gridCol w:w="109"/>
        <w:gridCol w:w="211"/>
        <w:gridCol w:w="466"/>
        <w:gridCol w:w="109"/>
        <w:gridCol w:w="109"/>
        <w:gridCol w:w="109"/>
        <w:gridCol w:w="109"/>
        <w:gridCol w:w="211"/>
        <w:gridCol w:w="541"/>
        <w:gridCol w:w="109"/>
        <w:gridCol w:w="109"/>
        <w:gridCol w:w="109"/>
        <w:gridCol w:w="109"/>
        <w:gridCol w:w="211"/>
        <w:gridCol w:w="466"/>
        <w:gridCol w:w="154"/>
      </w:tblGrid>
      <w:tr>
        <w:trPr/>
        <w:tc>
          <w:tcPr>
            <w:tcW w:w="160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gain/(loss) from commodity derivative activity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tbl>
      <w:tblPr>
        <w:tblW w:w="5191" w:type="dxa"/>
        <w:jc w:val="center"/>
        <w:tblInd w:w="0" w:type="dxa"/>
        <w:tblLayout w:type="fixed"/>
        <w:tblCellMar>
          <w:top w:w="28" w:type="dxa"/>
          <w:left w:w="28" w:type="dxa"/>
          <w:bottom w:w="28" w:type="dxa"/>
          <w:right w:w="28" w:type="dxa"/>
        </w:tblCellMar>
      </w:tblPr>
      <w:tblGrid>
        <w:gridCol w:w="1064"/>
        <w:gridCol w:w="935"/>
        <w:gridCol w:w="940"/>
        <w:gridCol w:w="211"/>
        <w:gridCol w:w="466"/>
        <w:gridCol w:w="109"/>
        <w:gridCol w:w="109"/>
        <w:gridCol w:w="109"/>
        <w:gridCol w:w="109"/>
        <w:gridCol w:w="324"/>
        <w:gridCol w:w="577"/>
        <w:gridCol w:w="238"/>
      </w:tblGrid>
      <w:tr>
        <w:trPr/>
        <w:tc>
          <w:tcPr>
            <w:tcW w:w="10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margin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6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Variation margin posted/(returned)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Letters of credit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Times New Roman;sans-serif" w:hAnsi="Times New Roman;sans-serif"/>
                <w:b w:val="false"/>
                <w:color w:val="000000"/>
                <w:sz w:val="20"/>
              </w:rPr>
              <w:t>Net broker receivable/(payable)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pStyle w:val="TextBody"/>
        <w:bidi w:val="0"/>
        <w:spacing w:before="0" w:after="0"/>
        <w:ind w:left="0" w:right="0" w:firstLine="720"/>
        <w:jc w:val="left"/>
        <w:rPr/>
      </w:pPr>
      <w:r>
        <w:rPr/>
      </w:r>
    </w:p>
    <w:tbl>
      <w:tblPr>
        <w:tblW w:w="10402" w:type="dxa"/>
        <w:jc w:val="center"/>
        <w:tblInd w:w="0" w:type="dxa"/>
        <w:tblLayout w:type="fixed"/>
        <w:tblCellMar>
          <w:top w:w="28" w:type="dxa"/>
          <w:left w:w="28" w:type="dxa"/>
          <w:bottom w:w="28" w:type="dxa"/>
          <w:right w:w="28" w:type="dxa"/>
        </w:tblCellMar>
      </w:tblPr>
      <w:tblGrid>
        <w:gridCol w:w="370"/>
        <w:gridCol w:w="325"/>
        <w:gridCol w:w="326"/>
        <w:gridCol w:w="109"/>
        <w:gridCol w:w="109"/>
        <w:gridCol w:w="109"/>
        <w:gridCol w:w="211"/>
        <w:gridCol w:w="361"/>
        <w:gridCol w:w="109"/>
        <w:gridCol w:w="109"/>
        <w:gridCol w:w="109"/>
        <w:gridCol w:w="109"/>
        <w:gridCol w:w="211"/>
        <w:gridCol w:w="491"/>
        <w:gridCol w:w="109"/>
        <w:gridCol w:w="109"/>
        <w:gridCol w:w="109"/>
        <w:gridCol w:w="109"/>
        <w:gridCol w:w="225"/>
        <w:gridCol w:w="498"/>
        <w:gridCol w:w="118"/>
        <w:gridCol w:w="109"/>
        <w:gridCol w:w="109"/>
        <w:gridCol w:w="109"/>
        <w:gridCol w:w="245"/>
        <w:gridCol w:w="438"/>
        <w:gridCol w:w="128"/>
        <w:gridCol w:w="109"/>
        <w:gridCol w:w="109"/>
        <w:gridCol w:w="109"/>
        <w:gridCol w:w="109"/>
        <w:gridCol w:w="109"/>
        <w:gridCol w:w="109"/>
        <w:gridCol w:w="211"/>
        <w:gridCol w:w="466"/>
        <w:gridCol w:w="109"/>
        <w:gridCol w:w="109"/>
        <w:gridCol w:w="109"/>
        <w:gridCol w:w="109"/>
        <w:gridCol w:w="211"/>
        <w:gridCol w:w="491"/>
        <w:gridCol w:w="109"/>
        <w:gridCol w:w="109"/>
        <w:gridCol w:w="109"/>
        <w:gridCol w:w="109"/>
        <w:gridCol w:w="254"/>
        <w:gridCol w:w="454"/>
        <w:gridCol w:w="133"/>
        <w:gridCol w:w="109"/>
        <w:gridCol w:w="109"/>
        <w:gridCol w:w="109"/>
        <w:gridCol w:w="243"/>
        <w:gridCol w:w="434"/>
        <w:gridCol w:w="179"/>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 Presented on the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 Presented on the Balance Sheet</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and deferred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Rate Risk Hedging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terms of our outstanding interest rate derivatives as of June 30, 2024 (notional amounts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767"/>
        <w:gridCol w:w="675"/>
        <w:gridCol w:w="676"/>
        <w:gridCol w:w="109"/>
        <w:gridCol w:w="109"/>
        <w:gridCol w:w="109"/>
        <w:gridCol w:w="630"/>
        <w:gridCol w:w="630"/>
        <w:gridCol w:w="632"/>
        <w:gridCol w:w="109"/>
        <w:gridCol w:w="109"/>
        <w:gridCol w:w="109"/>
        <w:gridCol w:w="211"/>
        <w:gridCol w:w="466"/>
        <w:gridCol w:w="109"/>
        <w:gridCol w:w="109"/>
        <w:gridCol w:w="109"/>
        <w:gridCol w:w="109"/>
        <w:gridCol w:w="465"/>
        <w:gridCol w:w="465"/>
        <w:gridCol w:w="466"/>
        <w:gridCol w:w="109"/>
        <w:gridCol w:w="109"/>
        <w:gridCol w:w="109"/>
        <w:gridCol w:w="370"/>
        <w:gridCol w:w="370"/>
        <w:gridCol w:w="371"/>
        <w:gridCol w:w="109"/>
        <w:gridCol w:w="109"/>
        <w:gridCol w:w="109"/>
        <w:gridCol w:w="369"/>
        <w:gridCol w:w="369"/>
        <w:gridCol w:w="529"/>
      </w:tblGrid>
      <w:tr>
        <w:trPr/>
        <w:tc>
          <w:tcPr>
            <w:tcW w:w="76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Hedged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and Types of</w:t>
              <w:br/>
              <w:t>Derivatives Employed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Expected</w:t>
              <w:b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Rate</w:t>
              <w:br/>
              <w:t>Locked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Accounting</w:t>
              <w:br/>
              <w:t>Treatment</w:t>
            </w:r>
          </w:p>
        </w:tc>
      </w:tr>
      <w:tr>
        <w:trPr/>
        <w:tc>
          <w:tcPr>
            <w:tcW w:w="2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Anticipated interest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 forward starting swaps</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Cash flow hedge</w:t>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we terminated $100 million of notional interest hedging instruments for proceeds of $57 million, which was recorded in AOCI. As of June 30, 2024, there was a net loss of $58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2056 as the underlying hedged transactions impact earnings. A portion of these amounts is based on market prices as of June 30, 2024; thus, actual amounts to be reclassified will differ and could vary materially as a result of changes in market conditions.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unrealized gain recognized in AOCI for derivatives (in millions):</w:t>
      </w:r>
    </w:p>
    <w:p>
      <w:pPr>
        <w:pStyle w:val="TextBody"/>
        <w:bidi w:val="0"/>
        <w:spacing w:before="0" w:after="0"/>
        <w:ind w:left="0" w:right="0" w:firstLine="720"/>
        <w:jc w:val="left"/>
        <w:rPr/>
      </w:pPr>
      <w:r>
        <w:rPr/>
      </w:r>
    </w:p>
    <w:tbl>
      <w:tblPr>
        <w:tblW w:w="5913" w:type="dxa"/>
        <w:jc w:val="center"/>
        <w:tblInd w:w="0" w:type="dxa"/>
        <w:tblLayout w:type="fixed"/>
        <w:tblCellMar>
          <w:top w:w="28" w:type="dxa"/>
          <w:left w:w="28" w:type="dxa"/>
          <w:bottom w:w="28" w:type="dxa"/>
          <w:right w:w="28" w:type="dxa"/>
        </w:tblCellMar>
      </w:tblPr>
      <w:tblGrid>
        <w:gridCol w:w="853"/>
        <w:gridCol w:w="749"/>
        <w:gridCol w:w="753"/>
        <w:gridCol w:w="229"/>
        <w:gridCol w:w="277"/>
        <w:gridCol w:w="118"/>
        <w:gridCol w:w="118"/>
        <w:gridCol w:w="118"/>
        <w:gridCol w:w="118"/>
        <w:gridCol w:w="229"/>
        <w:gridCol w:w="277"/>
        <w:gridCol w:w="118"/>
        <w:gridCol w:w="109"/>
        <w:gridCol w:w="109"/>
        <w:gridCol w:w="109"/>
        <w:gridCol w:w="211"/>
        <w:gridCol w:w="361"/>
        <w:gridCol w:w="109"/>
        <w:gridCol w:w="109"/>
        <w:gridCol w:w="109"/>
        <w:gridCol w:w="109"/>
        <w:gridCol w:w="211"/>
        <w:gridCol w:w="25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 net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2024, the net fair value of our interest rate hedges, which were included in “Other long-term assets, net” on our Condensed Consolidated Balance Sheet, totaled $16 million. At December 31, 2023, the net fair value of these hedges totaled $51 million and $4 million, which were included in “Other current assets” and “Other long-term assets, net”, respectively.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Derivative Financial Assets and Liabilities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by level within the fair value hierarchy our financial assets and liabilities that were accounted for at fair value on a recurring basis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018"/>
        <w:gridCol w:w="895"/>
        <w:gridCol w:w="897"/>
        <w:gridCol w:w="109"/>
        <w:gridCol w:w="109"/>
        <w:gridCol w:w="109"/>
        <w:gridCol w:w="217"/>
        <w:gridCol w:w="324"/>
        <w:gridCol w:w="110"/>
        <w:gridCol w:w="110"/>
        <w:gridCol w:w="110"/>
        <w:gridCol w:w="110"/>
        <w:gridCol w:w="214"/>
        <w:gridCol w:w="523"/>
        <w:gridCol w:w="110"/>
        <w:gridCol w:w="110"/>
        <w:gridCol w:w="110"/>
        <w:gridCol w:w="110"/>
        <w:gridCol w:w="110"/>
        <w:gridCol w:w="109"/>
        <w:gridCol w:w="211"/>
        <w:gridCol w:w="515"/>
        <w:gridCol w:w="109"/>
        <w:gridCol w:w="122"/>
        <w:gridCol w:w="122"/>
        <w:gridCol w:w="122"/>
        <w:gridCol w:w="122"/>
        <w:gridCol w:w="122"/>
        <w:gridCol w:w="122"/>
        <w:gridCol w:w="256"/>
        <w:gridCol w:w="290"/>
        <w:gridCol w:w="122"/>
        <w:gridCol w:w="122"/>
        <w:gridCol w:w="122"/>
        <w:gridCol w:w="122"/>
        <w:gridCol w:w="236"/>
        <w:gridCol w:w="404"/>
        <w:gridCol w:w="122"/>
        <w:gridCol w:w="109"/>
        <w:gridCol w:w="109"/>
        <w:gridCol w:w="109"/>
        <w:gridCol w:w="109"/>
        <w:gridCol w:w="109"/>
        <w:gridCol w:w="211"/>
        <w:gridCol w:w="406"/>
        <w:gridCol w:w="166"/>
      </w:tblGrid>
      <w:tr>
        <w:trPr/>
        <w:tc>
          <w:tcPr>
            <w:tcW w:w="101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June 30,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December 31, 2023</w:t>
            </w:r>
          </w:p>
        </w:tc>
        <w:tc>
          <w:tcPr>
            <w:tcW w:w="1328" w:type="dxa"/>
            <w:gridSpan w:val="8"/>
            <w:tcBorders/>
          </w:tcPr>
          <w:p>
            <w:pPr>
              <w:pStyle w:val="TableContents"/>
              <w:bidi w:val="0"/>
              <w:spacing w:before="0" w:after="283"/>
              <w:jc w:val="left"/>
              <w:rPr>
                <w:sz w:val="4"/>
                <w:szCs w:val="4"/>
              </w:rPr>
            </w:pPr>
            <w:r>
              <w:rPr>
                <w:sz w:val="4"/>
                <w:szCs w:val="4"/>
              </w:rPr>
            </w:r>
          </w:p>
        </w:tc>
      </w:tr>
      <w:tr>
        <w:trPr/>
        <w:tc>
          <w:tcPr>
            <w:tcW w:w="28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Recurring Fair Value Measures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6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2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6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2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derivative asset/(liability)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Derivative assets and liabilities are presented above on a net basis but do not include related cash margin deposits.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Level 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Level 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2 of the fair value hierarchy includes exchange-cleared commodity derivatives and over-the-counter commodity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Rollforward of Level 3 Net Asset/(Liability)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Preferred Distribution Rate Reset Option was accounted for as an embedded derivative that was bifurcated from the related host contract and recorded at fair value. The Preferred Distribution Rate Reset Option was settled in January 2023 when PAA received notice that the Series A preferred unitholders elected the Preferred Distribution Rate Reset Option, which resulted in a gain of $58 million recognized in “Other income, net” in our Condensed Consolidated Statement of Operations for the six months ended June 30, 2023. See Note 12 to our Consolidated Financial Statements included in Part IV of our 2023 Annual Report on Form 10-K for additional information regarding the Preferred Distribution Rate Reset Option.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changes in fair value of the beginning and ending balances for the Preferred Distribution Rate Reset Option embedded derivative, which was classified as Level 3 in the fair value hierarchy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659"/>
        <w:gridCol w:w="2315"/>
        <w:gridCol w:w="2328"/>
        <w:gridCol w:w="109"/>
        <w:gridCol w:w="109"/>
        <w:gridCol w:w="109"/>
        <w:gridCol w:w="109"/>
        <w:gridCol w:w="109"/>
        <w:gridCol w:w="109"/>
        <w:gridCol w:w="109"/>
        <w:gridCol w:w="109"/>
        <w:gridCol w:w="476"/>
        <w:gridCol w:w="1205"/>
        <w:gridCol w:w="350"/>
      </w:tblGrid>
      <w:tr>
        <w:trPr/>
        <w:tc>
          <w:tcPr>
            <w:tcW w:w="2659"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73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1" w:type="dxa"/>
            <w:gridSpan w:val="3"/>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gains/(losses) for the period included in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1" w:type="dxa"/>
            <w:gridSpan w:val="3"/>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gains/(losses) included in earnings relating to Level 3 derivatives still held at the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8—Related Party Transactions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16 to our Consolidated Financial Statements included in Part IV of our 2023 Annual Report on Form 10-K for a complete discussion of related parties, including the determination of our related parties and nature of involvement with such related parties.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2024 and 2023, we recognized sales and transportation revenues, purchased petroleum products and utilized transportation and storage services from related parties. These transactions were conducted at posted tariff rates or prices that we believe approximate market.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impact to our Condensed Consolidated Statements of Operations from these transactions is included below (in millions):</w:t>
      </w:r>
    </w:p>
    <w:tbl>
      <w:tblPr>
        <w:tblW w:w="7979" w:type="dxa"/>
        <w:jc w:val="center"/>
        <w:tblInd w:w="0" w:type="dxa"/>
        <w:tblLayout w:type="fixed"/>
        <w:tblCellMar>
          <w:top w:w="28" w:type="dxa"/>
          <w:left w:w="28" w:type="dxa"/>
          <w:bottom w:w="28" w:type="dxa"/>
          <w:right w:w="28" w:type="dxa"/>
        </w:tblCellMar>
      </w:tblPr>
      <w:tblGrid>
        <w:gridCol w:w="1419"/>
        <w:gridCol w:w="1243"/>
        <w:gridCol w:w="1252"/>
        <w:gridCol w:w="211"/>
        <w:gridCol w:w="361"/>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related parties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 from related parties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receivable and payable amounts with these related parties as reflected on our Condensed Consolidated Balance Sheets were as follows (in millions):</w:t>
      </w:r>
    </w:p>
    <w:p>
      <w:pPr>
        <w:pStyle w:val="TextBody"/>
        <w:bidi w:val="0"/>
        <w:spacing w:before="0" w:after="0"/>
        <w:ind w:left="0" w:right="0" w:firstLine="720"/>
        <w:jc w:val="left"/>
        <w:rPr/>
      </w:pPr>
      <w:r>
        <w:rPr/>
      </w:r>
    </w:p>
    <w:tbl>
      <w:tblPr>
        <w:tblW w:w="8352" w:type="dxa"/>
        <w:jc w:val="center"/>
        <w:tblInd w:w="0" w:type="dxa"/>
        <w:tblLayout w:type="fixed"/>
        <w:tblCellMar>
          <w:top w:w="28" w:type="dxa"/>
          <w:left w:w="28" w:type="dxa"/>
          <w:bottom w:w="28" w:type="dxa"/>
          <w:right w:w="28" w:type="dxa"/>
        </w:tblCellMar>
      </w:tblPr>
      <w:tblGrid>
        <w:gridCol w:w="2230"/>
        <w:gridCol w:w="1962"/>
        <w:gridCol w:w="1973"/>
        <w:gridCol w:w="223"/>
        <w:gridCol w:w="382"/>
        <w:gridCol w:w="115"/>
        <w:gridCol w:w="109"/>
        <w:gridCol w:w="109"/>
        <w:gridCol w:w="109"/>
        <w:gridCol w:w="331"/>
        <w:gridCol w:w="567"/>
        <w:gridCol w:w="242"/>
      </w:tblGrid>
      <w:tr>
        <w:trPr/>
        <w:tc>
          <w:tcPr>
            <w:tcW w:w="2230"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Trade accounts receivable and other receivables, net from related parties </w:t>
            </w:r>
            <w:r>
              <w:rPr>
                <w:rFonts w:ascii="Times New Roman;sans-serif" w:hAnsi="Times New Roman;sans-serif"/>
                <w:b w:val="false"/>
                <w:color w:val="000000"/>
                <w:sz w:val="13"/>
              </w:rPr>
              <w:t>(1)</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Trade accounts payable to related parties </w:t>
            </w:r>
            <w:r>
              <w:rPr>
                <w:rFonts w:ascii="Times New Roman;sans-serif" w:hAnsi="Times New Roman;sans-serif"/>
                <w:b w:val="false"/>
                <w:color w:val="000000"/>
                <w:sz w:val="13"/>
              </w:rPr>
              <w:t>(1) (2)</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amounts related to transportation and storage services and amounts owed to us or advanced to us related to investment capital projects of equity method investees where we serve as construction manager.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9—Commitments and Contingencies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Loss Contingencies — General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Legal Proceedings — General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Environmental — General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2024, our estimated undiscounted reserve for environmental liabilities (excluding liabilities related to the Line 901 incident, as discussed further below) totaled $56 million, of which $12 million was classified as short-term and $44 million was classified as long-term. At December 31, 2023, our estimated undiscounted reserve for environmental liabilities (excluding liabilities related to the Line 901 incident) totaled $56 million, of which $10 million was classified as short-term and $46 million was classified as long-term. Such short-term liabilities are reflected in “Other current liabilities” and long-term liabilities are reflected in “Other long-term liabilities and deferred credits” on our Condensed Consolidated Balance Sheets. At both June 30, 2024 and December 31, 2023, we had recorded receivables (excluding receivables related to the Line 901 incident) totaling approximately $4 million for amounts probable of recovery under insurance and from third parties under indemnification agreements, approximately $1 million of which for each period is reflected in “Other long-term assets, net” and the remainder is reflected in “Trade accounts receivable and other receivables, net” on our Condensed Consolidated Balance Sheets.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Specific Legal, Environmental or Regulatory Matters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Line 901 Incident</w:t>
      </w:r>
      <w:r>
        <w:rPr>
          <w:rFonts w:ascii="Times New Roman;sans-serif" w:hAnsi="Times New Roman;sans-serif"/>
          <w:b w:val="false"/>
          <w:color w:val="000000"/>
          <w:sz w:val="20"/>
        </w:rPr>
        <w:t>. In May 2015, we experienced a crude oil release from our Las Flores to Gaviota Pipeline (Line 901) in Santa Barbara County, 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which resolved all regulatory claims related to the incident, also contains requirements for implementing certain agreed-upon injunctive relief, as well as requirements for potentially restarting Line 901 and the Sisquoc to Pentland portion of Line 903. On October 13, 2022, Plains sold Line 901 and the Sisquoc to Pentland portion of Line 903 to Pacific Pipeline Company, an indirect wholly owned subsidiary of Exxon Mobil Corporation. As required by the terms of the Consent Decree, such purchaser assumed responsibility for compliance with the Consent Decree as it relates to the future ownership and operation of Line 901 and the Sisquoc to Pentland portion of Line 903.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and certain separately represented claimants appealed the Court’s rulings. The Appellate Court’s order resulted in approximately $275,000 of claims being remanded to the trial court for further adjudication and the affirmation of the trial court’s dismissal of all other claims.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received several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In addition to the other lawsuits disclosed herein, the following lawsuits remain: (i) a lawsuit in California Superior Court in Santa Barbara County for lost revenue or profit asserted by a former oil producer that declared bankruptcy and shut in its offshore production platform following the Line 901 incident, for which trial began in August 2024; (ii) a lawsuit filed by the California State Land Commission in California Superior Court in Santa Barbara County seeking lost royalties following the shut-down of Line 901, as well as costs related to the decommissioning of such platform, which is currently scheduled for trial in October 2024, and (iii) lawsuits filed in California Superior Court in Santa Barbara County by various companies and individuals who provided labor, goods, or services associated with oil production activities they claim were disrupted following the Line 901 incident, which lawsuits have not yet been set for trial. We are vigorously defending these remaining lawsuits and believe we have strong defenses.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 class action lawsuit was filed against us in United States District Court for the Central District of California in which the class plaintiffs seek a declaratory judgment that Plains’ right-of-way agreements would not allow Plains to lay a new pipeline to replace Line 901 and/or the non-operating segment of Line 903 without paying additional compensation. The purchaser of Line 901 and the Sisquoc to Pentland portion of Line 903 has assumed liability for these claims with respect to its interest in such acquired pipelines and Plains has been dismissed from this portion of the lawsuit. All other claims that were proceeding against Plains in this lawsuit have been settled or dismissed by the court.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 separate class action lawsuit that was pending in United States District Court for the Central District of California, the plaintiffs claimed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In 2022, in order to fully and finally resolve all claims and litigation for both classes, we reached an agreement to settle this case in exchange for a payment of $230 million (the “Class Action Settlement”). The Class Action Settlement was formally approved by the trial court on September 20, 2022, and we made the $230 million settlement payment on October 27, 2022 and the lawsuit was subsequently dismissed.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Plains formally submitted claims for reimbursement of the Class Action Settlement to our insurance carriers on November 7, 2022. To date, we have received payment of approximately $3.6 million from one insurer, which represents the final payment obligation of such insurer and brings the total amount collected from all insurers under such program to $275 million of the $500 million policy limits as of June 30, 2024. Insurers responsible for $185 million of the remaining $225 million of coverage have formally communicated a denial of coverage for the Class Action Settlement, generally alleging that some or all damages encompassed by the Class Action Settlement are not covered by their policies and that all or some portion of the $275 million for which Plains has already received insurance reimbursement does not properly exhaust the underlying policies that paid those sums. The insurer responsible for the final $40 million of coverage under such insurance program has not yet accepted nor denied coverage. We have initiated final and binding arbitration proceedings against all of the insurers responsible for the remaining $225 million of coverage with respect to which we have not received reimbursement. We believe that our claim for reimbursement from our insurers of the Class Action Settlement payment is strong and that our ultimate recovery of such amounts is probable. Our belief is based on: (i) our analysis of the terms of the underlying insurance policies as applied to the facts and circumstances that comprise our claim for reimbursement, (ii) our experience with the cost submissions and timely collection of claims for the $275 million collected to date for this incident under the same insurance program as the denied claims, including from some of the same insurers who are now denying claims, (iii) our extensive legal review and assessment of the insurer’s claimed basis for denial of coverage, which review and assessment includes the advice of external legal counsel experienced in these type of matters and solidly supports our belief that our insurers are required to provide coverage based on the terms of the policies and the nature of our claims, and (iv) the financial strength of the insurance carriers as determined by an independent credit ratings agency. Various factors could impact the timing and amount of recovery of our insurance receivable, including future developments that adversely impact our assessment of the strength of our coverage claims, the outcome of any dispute resolution proceedings with respect to our coverage claims and the extent to which insurers may become insolvent in the future. An unfavorable resolution could have a material impact on our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foregoing, including the Class Action Settlement, we have made adjustments to our total estimated Line 901 costs and the portion of such costs that we believe are probable of recovery from insurance carriers, net of deductibles. Effective as of June 30, 2024, we estimate that the aggregate total costs we have incurred or will incur with respect to the Line 901 incident will be approximately $750 million, which includes actual and projected emergency response and clean-up costs, natural resource damage assessments, fines and penalties payable pursuant to the Consent Decree, certain third-party claims settlements (including the Class Action Settlement), and estimated costs associated with our remaining Line 901 lawsuits and claims as described above,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recognize any costs, net of amounts probable of recovery from insurance carriers, during the six months ended June 30, 2024 and 2023. As of June 30, 2024, we had a remaining undiscounted gross liability of approximately $81 million related to the Line 901 incident, which aggregate amount is reflected in “Current liabilities” on our Condensed Consolidated Balance Sheet. As discussed above, we maintain insurance coverage, which is subject to certain exclusions and deductibles, in the event of such liabilities. As of June 30, 2024, our incurred costs for the Line 901 incident have exceeded our insurance coverage limit of $500 million related to our 2015 insurance program applicable to the Line 901 incident by $250 million. Through June 30, 2024, we had collected, subject to customary reservations, approximately $280 million out of the $505 million of release costs that we believe are probable of recovery from insurance carriers (including the 2015 insurance program and our directors and officers (D&amp;O) insurance policies), net of deductibles. Therefore, as of June 30, 2024, we have recognized a receivable of approximately $225 million for the portion of the release costs that we believe is probable of recovery from insurance, net of deductibles and amounts already collected. We anticipate that the process to enforce our coverage claims with respect to the Class Action Settlement will take time and, accordingly, have classified the related receivable amounts as short-term and long-term based on the resolution status of the process as of the balance sheet date. As of June 30, 2024, we have classified $175 million of the receivable as a short-term asset in “Trade accounts receivable and other receivables, net” with the remaining $50 million recognized as a long-term asset in “Other long-term assets, net” on our Condensed Consolidated Balance Sheet. As of December 31, 2023, we classified $225 million as a long-term asset in “Other long-term assets, net” on our Condensed Consolidated Balance Sheet.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completed the required clean-up and remediation work as determined by the Unified Command and the Unified Command has been dissolved; however, we expect to make payments for additional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Other Litigation Matters. </w:t>
      </w:r>
      <w:r>
        <w:rPr>
          <w:rFonts w:ascii="Times New Roman;sans-serif" w:hAnsi="Times New Roman;sans-serif"/>
          <w:b w:val="false"/>
          <w:color w:val="000000"/>
          <w:sz w:val="20"/>
        </w:rPr>
        <w:t>On July 19, 2022, Hartree Natural Gas Storage, LLC (“Hartree”) filed a lawsuit under seal in the Superior Court for the State of Delaware asserting claims against PAA Natural Gas Storage, L.P. (“PNGS”) and PAA arising out of a Membership Interest Purchase Agreement relating to the 2021 sale of the Pine Prairie Energy Center natural gas storage facility to Hartree. A bifurcated bench and jury trial was held in May of 2024, with the jury deciding claims asserted against PAA (“PAA claims”) and the court to decide the claims asserted against PNGS (“PNGS claims”). The jury found PAA liable but awarded $0 damages on the PAA claims. We are still awaiting a verdict from the court on the PNGS claims and an entry of judgement on the PAA claims. We expect that the outcome of the lawsuit will not have a material adverse effect on our financial condition, results of operations or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10—Segment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manage our operations through two operating segments, which are also our reportable segments: Crude Oil and NGL. See Note 19 to our Consolidated Financial Statements included in Part IV of our 2023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and impairments)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in consolidated joint venture entities (“Segment amounts attributable to noncontrolling interests in consolidated joint ventures”).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certain financial data for each segment (in millions):</w:t>
      </w:r>
    </w:p>
    <w:p>
      <w:pPr>
        <w:pStyle w:val="TextBody"/>
        <w:bidi w:val="0"/>
        <w:spacing w:before="0" w:after="0"/>
        <w:ind w:left="0" w:right="0" w:firstLine="720"/>
        <w:jc w:val="left"/>
        <w:rPr/>
      </w:pPr>
      <w:r>
        <w:rPr/>
      </w:r>
    </w:p>
    <w:tbl>
      <w:tblPr>
        <w:tblW w:w="9384" w:type="dxa"/>
        <w:jc w:val="center"/>
        <w:tblInd w:w="0" w:type="dxa"/>
        <w:tblLayout w:type="fixed"/>
        <w:tblCellMar>
          <w:top w:w="28" w:type="dxa"/>
          <w:left w:w="28" w:type="dxa"/>
          <w:bottom w:w="28" w:type="dxa"/>
          <w:right w:w="28" w:type="dxa"/>
        </w:tblCellMar>
      </w:tblPr>
      <w:tblGrid>
        <w:gridCol w:w="1293"/>
        <w:gridCol w:w="1136"/>
        <w:gridCol w:w="1141"/>
        <w:gridCol w:w="211"/>
        <w:gridCol w:w="721"/>
        <w:gridCol w:w="109"/>
        <w:gridCol w:w="109"/>
        <w:gridCol w:w="109"/>
        <w:gridCol w:w="109"/>
        <w:gridCol w:w="211"/>
        <w:gridCol w:w="616"/>
        <w:gridCol w:w="109"/>
        <w:gridCol w:w="109"/>
        <w:gridCol w:w="109"/>
        <w:gridCol w:w="109"/>
        <w:gridCol w:w="465"/>
        <w:gridCol w:w="1063"/>
        <w:gridCol w:w="242"/>
        <w:gridCol w:w="109"/>
        <w:gridCol w:w="109"/>
        <w:gridCol w:w="109"/>
        <w:gridCol w:w="211"/>
        <w:gridCol w:w="721"/>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Intersegment Revenues</w:t>
              <w:b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June 30, 2024</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June 30, 2023</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 2024</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 2023</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Segment Adjusted EBITDA Reconciliation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Segment Adjusted EBITDA to Net income attributable to PAGP (in millions):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163"/>
        <w:gridCol w:w="1802"/>
        <w:gridCol w:w="176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5"/>
      </w:tblGrid>
      <w:tr>
        <w:trPr/>
        <w:tc>
          <w:tcPr>
            <w:tcW w:w="2163"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(1)</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Depreciation and amortization of unconsolidated entities </w:t>
            </w:r>
            <w:r>
              <w:rPr>
                <w:rFonts w:ascii="Times New Roman;sans-serif" w:hAnsi="Times New Roman;sans-serif"/>
                <w:b w:val="false"/>
                <w:color w:val="000000"/>
                <w:sz w:val="13"/>
              </w:rPr>
              <w:t>(2)</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Derivative activities and inventory valuation adjustments </w:t>
            </w:r>
            <w:r>
              <w:rPr>
                <w:rFonts w:ascii="Times New Roman;sans-serif" w:hAnsi="Times New Roman;sans-serif"/>
                <w:b w:val="false"/>
                <w:color w:val="000000"/>
                <w:sz w:val="13"/>
              </w:rPr>
              <w:t>(3)</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Long-term inventory costing adjustments </w:t>
            </w:r>
            <w:r>
              <w:rPr>
                <w:rFonts w:ascii="Times New Roman;sans-serif" w:hAnsi="Times New Roman;sans-serif"/>
                <w:b w:val="false"/>
                <w:color w:val="000000"/>
                <w:sz w:val="13"/>
              </w:rPr>
              <w:t>(4)</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Deficiencies under minimum volume commitments, net </w:t>
            </w:r>
            <w:r>
              <w:rPr>
                <w:rFonts w:ascii="Times New Roman;sans-serif" w:hAnsi="Times New Roman;sans-serif"/>
                <w:b w:val="false"/>
                <w:color w:val="000000"/>
                <w:sz w:val="13"/>
              </w:rPr>
              <w:t>(5)</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Equity-indexed compensation expense </w:t>
            </w:r>
            <w:r>
              <w:rPr>
                <w:rFonts w:ascii="Times New Roman;sans-serif" w:hAnsi="Times New Roman;sans-serif"/>
                <w:b w:val="false"/>
                <w:color w:val="000000"/>
                <w:sz w:val="13"/>
              </w:rPr>
              <w:t>(6)</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Foreign currency revaluation </w:t>
            </w:r>
            <w:r>
              <w:rPr>
                <w:rFonts w:ascii="Times New Roman;sans-serif" w:hAnsi="Times New Roman;sans-serif"/>
                <w:b w:val="false"/>
                <w:color w:val="000000"/>
                <w:sz w:val="13"/>
              </w:rPr>
              <w:t>(7)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73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Segment amounts attributable to noncontrolling interests in consolidated joint ventures </w:t>
            </w:r>
            <w:r>
              <w:rPr>
                <w:rFonts w:ascii="Times New Roman;sans-serif" w:hAnsi="Times New Roman;sans-serif"/>
                <w:b w:val="false"/>
                <w:color w:val="000000"/>
                <w:sz w:val="13"/>
              </w:rPr>
              <w:t>(8)</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Unallocated general and administrative expenses </w:t>
            </w:r>
            <w:r>
              <w:rPr>
                <w:rFonts w:ascii="Times New Roman;sans-serif" w:hAnsi="Times New Roman;sans-serif"/>
                <w:b w:val="false"/>
                <w:color w:val="000000"/>
                <w:sz w:val="13"/>
              </w:rPr>
              <w:t>(9)</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PAGP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adjustments utilized by our CODM in the evaluation of segment results.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our proportionate share of the depreciation and amortization expense (including write-downs related to cancelled projects and impairments) of unconsolidated entities.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 xml:space="preserve">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 xml:space="preserve">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Our total equity-indexed compensation expense includes expense associated with awards that will be settled in PAA common units and awards that will be settled in cash. The awards that will be settled in PAA common units are included in PAA’s diluted net income per unit calculation when the applicable performance criteria have been met. We exclude compensation expense associated with these awards in determining Segment Adjusted EBITDA as the dilutive impact of the outstanding awards is included in PAA’s diluted net income per unit calculation, as applicable. The portion of compensation expense associated with awards that will be settled in cash is not excluded in determining Segment Adjusted EBITDA. See Note 17 to our Consolidated Financial Statements included in Part IV of our 2023 Annual Report on Form 10-K for a discussion regarding our equity-indexed compensation plans.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(7)</w:t>
      </w:r>
      <w:r>
        <w:rPr>
          <w:rFonts w:ascii="Times New Roman;sans-serif" w:hAnsi="Times New Roman;sans-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(8)</w:t>
      </w:r>
      <w:r>
        <w:rPr>
          <w:rFonts w:ascii="Times New Roman;sans-serif" w:hAnsi="Times New Roman;sans-serif"/>
          <w:b w:val="false"/>
          <w:color w:val="000000"/>
          <w:sz w:val="20"/>
        </w:rPr>
        <w:t>Reflects amounts attributable to noncontrolling interests in the Permian JV, Cactus II and Red River.</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(9)</w:t>
      </w:r>
      <w:r>
        <w:rPr>
          <w:rFonts w:ascii="Times New Roman;sans-serif" w:hAnsi="Times New Roman;sans-serif"/>
          <w:b w:val="false"/>
          <w:color w:val="000000"/>
          <w:sz w:val="20"/>
        </w:rPr>
        <w:t>Represents general and administrative expenses incremental to those of PAA, which are not allocated to our reporting segments in determining Segment Adjusted EBITDA.</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2023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includes the following:</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Executive Summary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Results of Operations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Liquidity and Capital Resources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Recent Accounting Pronouncements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Forward-Looking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Company Overview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Delaware limited partnership that has elected to be taxed as a corporation for United States federal income tax purposes. As of June 30, 2024, our sole cash-generating assets consisted of an approximate 85% limited partner interest in AAP. We also own a 100% managing member interest in GP LLC, which holds the non-economic general partner interest in AAP. As of June 30, 2024, AAP directly owned a limited partner interest in PAA through its ownership of approximately 232.7 million PAA common units (approximately 30% of PAA’s total outstanding common units and Series A preferred units combined). AAP is the sole member of PAA GP, which holds the non-economic general partner interest in PAA.</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and NGL producing basins (including the Permian Basin) and transportation corridors and at major market hubs in the United States and Canada. PAA’s assets and the services it provides are primarily focused on crude oil and NGL.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Overview of Operating Results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shd w:fill="FFFFFF" w:val="clear"/>
        </w:rPr>
        <w:t xml:space="preserve">During the first six months of 2024, we recognized net income of $653 million compared to $776 million during the first six months of 2023. </w:t>
      </w:r>
      <w:r>
        <w:rPr>
          <w:rFonts w:ascii="Times New Roman;sans-serif" w:hAnsi="Times New Roman;sans-serif"/>
          <w:b w:val="false"/>
          <w:color w:val="000000"/>
          <w:sz w:val="20"/>
        </w:rPr>
        <w:t>Net income for the 2023 period includes favorable impacts from gains on asset sales and the mark-to-market adjustment of the Preferred Distribution Rate Reset Option, contributing to the relative decrease in net income in 2024. Our Crude Oil segment results were more favorable for the first six months of 2024 compared to 2023 and our NGL segment results were relatively flat year-over-year.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the “Results of Operations” section below for further discussion.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Consolidated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an overview of our consolidated financial results calculated in accordance with GAAP (in millions, except per share data): </w:t>
      </w:r>
    </w:p>
    <w:p>
      <w:pPr>
        <w:pStyle w:val="TextBody"/>
        <w:bidi w:val="0"/>
        <w:spacing w:before="0" w:after="0"/>
        <w:ind w:left="0" w:right="0" w:firstLine="720"/>
        <w:jc w:val="left"/>
        <w:rPr/>
      </w:pPr>
      <w:r>
        <w:rPr/>
      </w:r>
    </w:p>
    <w:tbl>
      <w:tblPr>
        <w:tblW w:w="11387" w:type="dxa"/>
        <w:jc w:val="center"/>
        <w:tblInd w:w="0" w:type="dxa"/>
        <w:tblLayout w:type="fixed"/>
        <w:tblCellMar>
          <w:top w:w="28" w:type="dxa"/>
          <w:left w:w="28" w:type="dxa"/>
          <w:bottom w:w="28" w:type="dxa"/>
          <w:right w:w="28" w:type="dxa"/>
        </w:tblCellMar>
      </w:tblPr>
      <w:tblGrid>
        <w:gridCol w:w="844"/>
        <w:gridCol w:w="268"/>
        <w:gridCol w:w="26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7"/>
        <w:gridCol w:w="189"/>
        <w:gridCol w:w="271"/>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526"/>
        <w:gridCol w:w="109"/>
        <w:gridCol w:w="109"/>
        <w:gridCol w:w="109"/>
        <w:gridCol w:w="109"/>
        <w:gridCol w:w="239"/>
        <w:gridCol w:w="242"/>
        <w:gridCol w:w="316"/>
      </w:tblGrid>
      <w:tr>
        <w:trPr/>
        <w:tc>
          <w:tcPr>
            <w:tcW w:w="8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PAGP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Class A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Class A shares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Indicates that variance as a percentage is not meaningful.</w:t>
      </w:r>
    </w:p>
    <w:p>
      <w:pPr>
        <w:pStyle w:val="TextBody"/>
        <w:bidi w:val="0"/>
        <w:spacing w:before="60" w:after="283"/>
        <w:ind w:left="0" w:right="0" w:hanging="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Revenues and Purchases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our consolidated revenues and purchases and related costs are primarily associated with our merchant activities and are generally explained by changes in commodity prices and the impact of gains and losses related to derivative instruments used to manage our commodity price exposure. Because both product sales revenues and purchases and related costs are generally based off of the same pricing indices, the market price of the commodities will not necessarily have an impact on the absolute margins related to those sales and purchases.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majority of our sales and purchases are indexed to the prompt month price of the NYMEX Light, Sweet crude oil futures contract (“NYMEX Price”). The following table presents the range of the NYMEX Price over the last two years (in dollars per barrel):</w:t>
      </w:r>
    </w:p>
    <w:p>
      <w:pPr>
        <w:pStyle w:val="TextBody"/>
        <w:bidi w:val="0"/>
        <w:spacing w:before="0" w:after="0"/>
        <w:ind w:left="0" w:right="0" w:firstLine="720"/>
        <w:jc w:val="left"/>
        <w:rPr/>
      </w:pPr>
      <w:r>
        <w:rPr/>
      </w:r>
    </w:p>
    <w:tbl>
      <w:tblPr>
        <w:tblW w:w="5796" w:type="dxa"/>
        <w:jc w:val="center"/>
        <w:tblInd w:w="0" w:type="dxa"/>
        <w:tblLayout w:type="fixed"/>
        <w:tblCellMar>
          <w:top w:w="28" w:type="dxa"/>
          <w:left w:w="28" w:type="dxa"/>
          <w:bottom w:w="28" w:type="dxa"/>
          <w:right w:w="28" w:type="dxa"/>
        </w:tblCellMar>
      </w:tblPr>
      <w:tblGrid>
        <w:gridCol w:w="1092"/>
        <w:gridCol w:w="959"/>
        <w:gridCol w:w="963"/>
        <w:gridCol w:w="211"/>
        <w:gridCol w:w="361"/>
        <w:gridCol w:w="109"/>
        <w:gridCol w:w="109"/>
        <w:gridCol w:w="109"/>
        <w:gridCol w:w="109"/>
        <w:gridCol w:w="211"/>
        <w:gridCol w:w="361"/>
        <w:gridCol w:w="109"/>
        <w:gridCol w:w="109"/>
        <w:gridCol w:w="109"/>
        <w:gridCol w:w="109"/>
        <w:gridCol w:w="222"/>
        <w:gridCol w:w="380"/>
        <w:gridCol w:w="164"/>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NYMEX Price</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sales revenues and purchases increased for the three and six months ended June 30, 2024 compared to the same periods in 2023 primarily due to higher commodity prices in the 2024 periods.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services increased for the three and six months ended June 30, 2024 compared to the same periods in 2023 primarily due to higher pipeline volumes and tariff escalations, as well as the impact of acquisitions.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further discussion of our net revenues (revenues less purchases and related costs) in the “—Analysis of Operating Segments” section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Field Operating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discussion of field operating costs in the “—Analysis of Operating Segments” section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General and Administrative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general and administrative expenses for the three and six months ended June 30, 2024 compared to the same periods in 2023 was primarily due to (i) higher information systems costs due to ongoing systems conversion and integration work and (ii) higher employee-related costs, including an increase in equity-indexed compensation expense (a portion of which is excluded in the calculation of Adjusted EBITDA and 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Gains/(Losses) on Asset Sales,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gain on asset sales for the six months ended June 30, 2023 was primarily comprised of a gain of approximately $140 million related to the sale of our Keyera Fort Saskatchewan facility in the first quarter of 2023. See Note 7 to our Consolidated Financial Statements included in Part IV of our 2023 Annual Report on Form 10-K for additional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Equity Earnings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discussion of Equity earnings in unconsolidated entities in the “—Analysis of Operating Segments” section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Other Income,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impacting Other income, net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98"/>
        <w:gridCol w:w="1979"/>
        <w:gridCol w:w="1991"/>
        <w:gridCol w:w="109"/>
        <w:gridCol w:w="109"/>
        <w:gridCol w:w="109"/>
        <w:gridCol w:w="212"/>
        <w:gridCol w:w="258"/>
        <w:gridCol w:w="109"/>
        <w:gridCol w:w="109"/>
        <w:gridCol w:w="109"/>
        <w:gridCol w:w="109"/>
        <w:gridCol w:w="212"/>
        <w:gridCol w:w="364"/>
        <w:gridCol w:w="109"/>
        <w:gridCol w:w="109"/>
        <w:gridCol w:w="109"/>
        <w:gridCol w:w="109"/>
        <w:gridCol w:w="211"/>
        <w:gridCol w:w="312"/>
        <w:gridCol w:w="109"/>
        <w:gridCol w:w="109"/>
        <w:gridCol w:w="109"/>
        <w:gridCol w:w="109"/>
        <w:gridCol w:w="211"/>
        <w:gridCol w:w="361"/>
        <w:gridCol w:w="161"/>
      </w:tblGrid>
      <w:tr>
        <w:trPr/>
        <w:tc>
          <w:tcPr>
            <w:tcW w:w="2298"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62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2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gain/(loss) on foreign currency revaluation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Gain on mark-to-market adjustment of Preferred Distribution Rate Reset Option embedded derivative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activity during the periods presented was primarily related to the impact from the change in the USD to CAD exchange rate on the portion of our intercompany net investment that is not long-term in nature.</w:t>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See Note 7 to our Condensed Consolidated Financial Statements for additional information.</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Income Tax (Expense)/Benefit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favorable income tax variance for the six months ended June 30, 2024 compared to the same period in 2023 was primarily due to the tax impact of (i) the Keyera Fort Saskatchewan divestiture in the first quarter of 2023 (ii) lower year-over-year income within our Canadian operations as impacted by fluctuations of derivative mark-to-market valuations and (iii) lower earnings at PAA on income attributable to PAGP, partially offset by (iv) higher income tax expense in the second quarter of 2024 associated with Canadian withholding tax on dividends from our Canadian entities to other Plains entities.</w:t>
      </w:r>
    </w:p>
    <w:p>
      <w:pPr>
        <w:pStyle w:val="TextBody"/>
        <w:bidi w:val="0"/>
        <w:spacing w:before="0" w:after="0"/>
        <w:ind w:left="0" w:right="0" w:firstLine="720"/>
        <w:jc w:val="left"/>
        <w:rPr/>
      </w:pPr>
      <w:r>
        <w:rPr/>
      </w:r>
    </w:p>
    <w:p>
      <w:pPr>
        <w:pStyle w:val="TextBody"/>
        <w:bidi w:val="0"/>
        <w:spacing w:lineRule="auto" w:line="288" w:before="60" w:after="283"/>
        <w:jc w:val="left"/>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EBITDA and Adjusted EBITDA attributable to PAA.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definition and calculation of certain non-GAAP financial measures may not be comparable to similarly-titled measures of other companies. Adjusted EBITDA and Adjusted EBITDA attributable to PAA are reconciled to Net Income, the most directly comparable measures as reported in accordance with GAAP, and should be viewed in addition to, and not in lieu of, our Condensed Consolidated Financial Statements and accompanying notes.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Non-GAAP Financial Performance Measures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is defined as earnings before interest expense, income tax (expense)/benefit, depreciation and amortization (including our proportionate share of depreciation and amortization, including write-downs related to cancelled projects and impairments, of unconsolidated entities), gains and losses on asset sales and gains or losses on investments in unconsolidated entities, adjusted for certain selected items impacting comparability. Adjusted EBITDA attributable to PAA excludes the portion of Adjusted EBITDA that is attributable to noncontrolling interests in consolidated joint venture entities.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reconciliation of the non-GAAP financial performance measures Adjusted EBITDA and Adjusted EBITDA attributable to PAA to Net Income (in millions):</w:t>
      </w:r>
    </w:p>
    <w:p>
      <w:pPr>
        <w:pStyle w:val="TextBody"/>
        <w:bidi w:val="0"/>
        <w:spacing w:before="0" w:after="0"/>
        <w:ind w:left="0" w:right="0" w:firstLine="720"/>
        <w:jc w:val="left"/>
        <w:rPr/>
      </w:pPr>
      <w:r>
        <w:rPr/>
      </w:r>
    </w:p>
    <w:tbl>
      <w:tblPr>
        <w:tblW w:w="10829" w:type="dxa"/>
        <w:jc w:val="center"/>
        <w:tblInd w:w="0" w:type="dxa"/>
        <w:tblLayout w:type="fixed"/>
        <w:tblCellMar>
          <w:top w:w="28" w:type="dxa"/>
          <w:left w:w="28" w:type="dxa"/>
          <w:bottom w:w="28" w:type="dxa"/>
          <w:right w:w="28" w:type="dxa"/>
        </w:tblCellMar>
      </w:tblPr>
      <w:tblGrid>
        <w:gridCol w:w="936"/>
        <w:gridCol w:w="229"/>
        <w:gridCol w:w="231"/>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5"/>
        <w:gridCol w:w="191"/>
        <w:gridCol w:w="271"/>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481"/>
        <w:gridCol w:w="109"/>
        <w:gridCol w:w="109"/>
        <w:gridCol w:w="109"/>
        <w:gridCol w:w="109"/>
        <w:gridCol w:w="233"/>
        <w:gridCol w:w="233"/>
        <w:gridCol w:w="316"/>
      </w:tblGrid>
      <w:tr>
        <w:trPr/>
        <w:tc>
          <w:tcPr>
            <w:tcW w:w="9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Depreciation and amortization of unconsolidated entities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Unallocated general and administrative expenses</w:t>
            </w:r>
            <w:r>
              <w:rPr>
                <w:color w:val="000000"/>
              </w:rPr>
              <w:t xml:space="preserve">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Selected Items Impacting Comparability: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Derivative activities and inventory valuation adjustments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Deficiencies under minimum volume commitments,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Selected Items Impacting Comparability - Segment Adjusted EBITDA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Mark-to-market adjustment of Preferred Distribution Rate Reset Option embedded derivative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Foreign currency revaluation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Selected Items Impacting Comparability - Adjusted EBITDA </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Adjusted EBITDA </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Adjusted EBITDA attributable to noncontrolling interests in consolidated joint ventures </w:t>
            </w:r>
            <w:r>
              <w:rPr>
                <w:rFonts w:ascii="Times New Roman;sans-serif" w:hAnsi="Times New Roman;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PAA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Indicates that variance as a percentage is not meaningful.</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exclude our proportionate share of the depreciation and amortization expense (including write-downs related to cancelled projects and impairments) of unconsolidated entities when reviewing Adjusted EBITDA, similar to our consolidated assets.</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Represents general and administrative expenses incremental to those of PAA, which are not allocated to our reporting segments in determining Segment Adjusted EBITDA and are excluded in the non-GAAP financial performance measures utilized by management.</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For a more detailed discussion of these selected items impacting comparability, see the footnotes to the Segment Adjusted EBITDA Reconciliation table in Note 10 to our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12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The Preferred Distribution Rate Reset Option of PAA’s Series A preferred units was accounted for as an embedded derivative and recorded at fair value in our Condensed Consolidated Financial Statements. The associated gains and losses are not integral to our results and were thus classified as a selected item impacting comparability. See Note 7 to our Condensed Consolidated Financial Statements for additional information regarding the Preferred Distribution Rate Reset Option.</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Other income, net on our Condensed Consolidated Statements of Operations, adjusted for selected items impacting comparability (“Adjusted other income/(expense), net”) is included in Adjusted EBITDA and excluded from Segment Adjusted EBITDA.</w:t>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(7)</w:t>
      </w:r>
      <w:r>
        <w:rPr>
          <w:rFonts w:ascii="Times New Roman;sans-serif" w:hAnsi="Times New Roman;sans-serif"/>
          <w:b w:val="false"/>
          <w:color w:val="000000"/>
          <w:sz w:val="20"/>
        </w:rPr>
        <w:t>Reflects amounts attributable to noncontrolling interests in the Permian JV, Cactus II and Red River.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Analysis of Operating Segments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manage our operations through two operating segments: Crude Oil and NGL. Our CODM (our Chief Executive Officer) evaluates segment performance based on a variety of measures including Segment Adjusted EBITDA, segment volumes and maintenance capital investment. See Note 10 to our Condensed Consolidated Financial Statements for our definition of Segment Adjusted EBITDA and a reconciliation of Segment Adjusted EBITDA to Net income attributable to PAGP. See Note 19 to our Consolidated Financial Statements included in Part IV of our 2023 Annual Report on Form 10-K for our definition of maintenance capital.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Crude Oil Segment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Crude Oil segment operations generally consist of gathering and transporting crude oil using pipelines,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governed by our risk management policies.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 differentials, particularly grade and location differentials, as well as time spreads. The segment results also include the direct fixed and variable field costs of operating the crude oil assets, as well as an allocation of indirect operating costs. </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operating results from our Crude Oil segment:</w:t>
      </w:r>
    </w:p>
    <w:p>
      <w:pPr>
        <w:pStyle w:val="TextBody"/>
        <w:bidi w:val="0"/>
        <w:spacing w:before="0" w:after="0"/>
        <w:jc w:val="left"/>
        <w:rPr/>
      </w:pPr>
      <w:r>
        <w:rPr/>
      </w:r>
    </w:p>
    <w:p>
      <w:pPr>
        <w:pStyle w:val="TextBody"/>
        <w:bidi w:val="0"/>
        <w:spacing w:before="0" w:after="0"/>
        <w:jc w:val="left"/>
        <w:rPr/>
      </w:pPr>
      <w:r>
        <w:rPr/>
      </w:r>
    </w:p>
    <w:tbl>
      <w:tblPr>
        <w:tblW w:w="11894" w:type="dxa"/>
        <w:jc w:val="center"/>
        <w:tblInd w:w="0" w:type="dxa"/>
        <w:tblLayout w:type="fixed"/>
        <w:tblCellMar>
          <w:top w:w="28" w:type="dxa"/>
          <w:left w:w="28" w:type="dxa"/>
          <w:bottom w:w="28" w:type="dxa"/>
          <w:right w:w="28" w:type="dxa"/>
        </w:tblCellMar>
      </w:tblPr>
      <w:tblGrid>
        <w:gridCol w:w="571"/>
        <w:gridCol w:w="502"/>
        <w:gridCol w:w="503"/>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7"/>
        <w:gridCol w:w="189"/>
        <w:gridCol w:w="271"/>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7"/>
        <w:gridCol w:w="189"/>
        <w:gridCol w:w="316"/>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Operating Results</w:t>
            </w:r>
            <w:r>
              <w:rPr>
                <w:color w:val="000000"/>
              </w:rPr>
              <w:t>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Segment general and administrative expenses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(3)</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activities and inventory valuation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Deficiencies under minimum volume commitments,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Segment amounts attributable to noncontrolling interests in 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11"/>
        <w:gridCol w:w="331"/>
        <w:gridCol w:w="334"/>
        <w:gridCol w:w="109"/>
        <w:gridCol w:w="109"/>
        <w:gridCol w:w="109"/>
        <w:gridCol w:w="308"/>
        <w:gridCol w:w="308"/>
        <w:gridCol w:w="117"/>
        <w:gridCol w:w="116"/>
        <w:gridCol w:w="116"/>
        <w:gridCol w:w="116"/>
        <w:gridCol w:w="308"/>
        <w:gridCol w:w="308"/>
        <w:gridCol w:w="117"/>
        <w:gridCol w:w="109"/>
        <w:gridCol w:w="109"/>
        <w:gridCol w:w="109"/>
        <w:gridCol w:w="240"/>
        <w:gridCol w:w="240"/>
        <w:gridCol w:w="241"/>
        <w:gridCol w:w="109"/>
        <w:gridCol w:w="109"/>
        <w:gridCol w:w="109"/>
        <w:gridCol w:w="202"/>
        <w:gridCol w:w="204"/>
        <w:gridCol w:w="271"/>
        <w:gridCol w:w="109"/>
        <w:gridCol w:w="109"/>
        <w:gridCol w:w="109"/>
        <w:gridCol w:w="109"/>
        <w:gridCol w:w="109"/>
        <w:gridCol w:w="109"/>
        <w:gridCol w:w="308"/>
        <w:gridCol w:w="308"/>
        <w:gridCol w:w="154"/>
        <w:gridCol w:w="113"/>
        <w:gridCol w:w="113"/>
        <w:gridCol w:w="113"/>
        <w:gridCol w:w="308"/>
        <w:gridCol w:w="308"/>
        <w:gridCol w:w="154"/>
        <w:gridCol w:w="109"/>
        <w:gridCol w:w="109"/>
        <w:gridCol w:w="109"/>
        <w:gridCol w:w="240"/>
        <w:gridCol w:w="240"/>
        <w:gridCol w:w="241"/>
        <w:gridCol w:w="109"/>
        <w:gridCol w:w="109"/>
        <w:gridCol w:w="109"/>
        <w:gridCol w:w="202"/>
        <w:gridCol w:w="204"/>
        <w:gridCol w:w="322"/>
      </w:tblGrid>
      <w:tr>
        <w:trPr/>
        <w:tc>
          <w:tcPr>
            <w:tcW w:w="7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Volumes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Crude oil pipeline tariff (by region)</w:t>
            </w:r>
            <w:r>
              <w:rPr>
                <w:color w:val="000000"/>
              </w:rPr>
              <w:t xml:space="preserve">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Permian Basin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Rocky Mountain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color w:val="000000"/>
              </w:rPr>
              <w:t xml:space="preserve">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crude oil pipeline tariff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Commercial crude oil storage capacity </w:t>
            </w:r>
            <w:r>
              <w:rPr>
                <w:rFonts w:ascii="Times New Roman;sans-serif" w:hAnsi="Times New Roman;sans-serif"/>
                <w:b w:val="false"/>
                <w:color w:val="000000"/>
                <w:sz w:val="13"/>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Crude oil lease gathering purchases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Indicates that variance as a percentage is not meaningful.</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Revenues and costs and expenses include intersegment amounts.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adjustments included in the performance measure utilized by our CODM in the evaluation of segment results. See Note 10 to our Condensed Consolidated Financial Statements for additional discussion of such adjustments.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Average daily volumes in thousands of barrels per day calculated as the total volumes (attributable to our interest for assets owned by unconsolidated entities or through undivided joint interests) for the period divided by the number of days in the period. Volumes associated with acquisitions represent total volumes for the number of days we actually owned the assets divided by the number of days in the period.</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Includes volumes (attributable to our interest) from assets owned by unconsolidated entities.</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Average monthly capacity in millions of barrels per day calculated as total volumes for the period divided by the number of months in the period.</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Crude Oil Segment Adjusted EBITDA increased for the three and six months ended June 30, 2024 compared to the same periods in 2023 primarily due to higher tariff volumes on our pipelines, tariff escalations and contributions from acquisitions, partially offset by fewer market-based opportunities.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more detailed discussion of the significant factors impacting Segment Adjusted EBITDA for the three and six months ended June 30, 2024 compared to the same periods in 2023.</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Net Revenues and Equity Earnings. </w:t>
      </w:r>
      <w:r>
        <w:rPr>
          <w:rFonts w:ascii="Times New Roman;sans-serif" w:hAnsi="Times New Roman;sans-serif"/>
          <w:b w:val="false"/>
          <w:color w:val="000000"/>
          <w:sz w:val="20"/>
        </w:rPr>
        <w:t>Our results were favorably impacted by (i) volume growth across our pipeline systems driven by increased production as well as increased movements from the Rocky Mountain region to Cushing, Oklahoma, (ii) tariff escalations and (iii) contributions from acquisitions.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results for the three and six months ended June 30, 2024 compared to 2023 reflect fewer crude oil market-based opportunities.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Field Operating Costs.</w:t>
      </w:r>
      <w:r>
        <w:rPr>
          <w:color w:val="000000"/>
        </w:rPr>
        <w:t xml:space="preserve"> </w:t>
      </w:r>
      <w:r>
        <w:rPr>
          <w:rFonts w:ascii="Times New Roman;sans-serif" w:hAnsi="Times New Roman;sans-serif"/>
          <w:b w:val="false"/>
          <w:color w:val="000000"/>
          <w:sz w:val="20"/>
        </w:rPr>
        <w:t>For the three and six months ended June 30, 2024 compared to the same periods in 2023, we recognized higher expenses associated with (i) employee-related costs primarily resulting from higher average headcount and salaries, (ii) property taxes due to the impact of favorable adjustments in 2023 and (iii) incremental operating costs associated with acquisitions. The unfavorable variance for the three and six months ended June 30, 2024 compared to 2023 was partially offset by (iv) lower utilities-related costs as a result of lower prices, partially offset by higher volumes, (v) a decrease in the amount of drag reducing agents used and (vi) decreased costs resulting from lower third-party trucked volumes.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Maintenance Capital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maintenance capital spending for the three and six months ended June 30, 2024 compared to the same periods in 2023 was primarily due to timing of routine integrity maintenance.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NGL Segment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our merchant activities of extracting NGL mix from the gas stream processed at our Empress straddle plant facility as well as acquiring NGL mix, which is then transported, stored and fractionated into finished products and sold to customers. The commodity exposure associated with our merchant activities is governed by our risk management policies.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Generally, our segment results are impacted by (i) increases or decreases in our NGL sales volumes, (ii) volatility in commodity price differentials, primarily the differential between the price of natural gas and the extracted NGL (“frac spread”), as well as location differentials and time spreads, (iii) the quality and volume of natural gas transported on third-party assets through our Empress straddle plant and (iv) our share of the NGL’s received from a third party straddle plant.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operating results from our NGL segment:</w:t>
      </w:r>
    </w:p>
    <w:p>
      <w:pPr>
        <w:pStyle w:val="TextBody"/>
        <w:bidi w:val="0"/>
        <w:spacing w:before="0" w:after="0"/>
        <w:ind w:left="0" w:right="0" w:firstLine="720"/>
        <w:jc w:val="left"/>
        <w:rPr/>
      </w:pPr>
      <w:r>
        <w:rPr/>
      </w:r>
    </w:p>
    <w:tbl>
      <w:tblPr>
        <w:tblW w:w="10679" w:type="dxa"/>
        <w:jc w:val="center"/>
        <w:tblInd w:w="0" w:type="dxa"/>
        <w:tblLayout w:type="fixed"/>
        <w:tblCellMar>
          <w:top w:w="28" w:type="dxa"/>
          <w:left w:w="28" w:type="dxa"/>
          <w:bottom w:w="28" w:type="dxa"/>
          <w:right w:w="28" w:type="dxa"/>
        </w:tblCellMar>
      </w:tblPr>
      <w:tblGrid>
        <w:gridCol w:w="571"/>
        <w:gridCol w:w="502"/>
        <w:gridCol w:w="503"/>
        <w:gridCol w:w="109"/>
        <w:gridCol w:w="109"/>
        <w:gridCol w:w="109"/>
        <w:gridCol w:w="211"/>
        <w:gridCol w:w="466"/>
        <w:gridCol w:w="109"/>
        <w:gridCol w:w="109"/>
        <w:gridCol w:w="109"/>
        <w:gridCol w:w="109"/>
        <w:gridCol w:w="211"/>
        <w:gridCol w:w="466"/>
        <w:gridCol w:w="109"/>
        <w:gridCol w:w="109"/>
        <w:gridCol w:w="109"/>
        <w:gridCol w:w="109"/>
        <w:gridCol w:w="211"/>
        <w:gridCol w:w="376"/>
        <w:gridCol w:w="109"/>
        <w:gridCol w:w="109"/>
        <w:gridCol w:w="109"/>
        <w:gridCol w:w="109"/>
        <w:gridCol w:w="188"/>
        <w:gridCol w:w="188"/>
        <w:gridCol w:w="271"/>
        <w:gridCol w:w="109"/>
        <w:gridCol w:w="109"/>
        <w:gridCol w:w="109"/>
        <w:gridCol w:w="109"/>
        <w:gridCol w:w="109"/>
        <w:gridCol w:w="109"/>
        <w:gridCol w:w="211"/>
        <w:gridCol w:w="466"/>
        <w:gridCol w:w="109"/>
        <w:gridCol w:w="109"/>
        <w:gridCol w:w="109"/>
        <w:gridCol w:w="109"/>
        <w:gridCol w:w="211"/>
        <w:gridCol w:w="616"/>
        <w:gridCol w:w="109"/>
        <w:gridCol w:w="109"/>
        <w:gridCol w:w="109"/>
        <w:gridCol w:w="109"/>
        <w:gridCol w:w="211"/>
        <w:gridCol w:w="481"/>
        <w:gridCol w:w="109"/>
        <w:gridCol w:w="109"/>
        <w:gridCol w:w="109"/>
        <w:gridCol w:w="109"/>
        <w:gridCol w:w="218"/>
        <w:gridCol w:w="188"/>
        <w:gridCol w:w="316"/>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Operating Results</w:t>
            </w:r>
            <w:r>
              <w:rPr>
                <w:color w:val="000000"/>
              </w:rPr>
              <w:t>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Segment general and administrative expenses</w:t>
            </w:r>
            <w:r>
              <w:rPr>
                <w:color w:val="000000"/>
              </w:rPr>
              <w:t xml:space="preser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(3)</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94"/>
        <w:gridCol w:w="546"/>
        <w:gridCol w:w="548"/>
        <w:gridCol w:w="109"/>
        <w:gridCol w:w="109"/>
        <w:gridCol w:w="109"/>
        <w:gridCol w:w="233"/>
        <w:gridCol w:w="233"/>
        <w:gridCol w:w="141"/>
        <w:gridCol w:w="141"/>
        <w:gridCol w:w="141"/>
        <w:gridCol w:w="141"/>
        <w:gridCol w:w="232"/>
        <w:gridCol w:w="234"/>
        <w:gridCol w:w="141"/>
        <w:gridCol w:w="109"/>
        <w:gridCol w:w="109"/>
        <w:gridCol w:w="109"/>
        <w:gridCol w:w="240"/>
        <w:gridCol w:w="240"/>
        <w:gridCol w:w="241"/>
        <w:gridCol w:w="109"/>
        <w:gridCol w:w="109"/>
        <w:gridCol w:w="109"/>
        <w:gridCol w:w="180"/>
        <w:gridCol w:w="181"/>
        <w:gridCol w:w="271"/>
        <w:gridCol w:w="109"/>
        <w:gridCol w:w="109"/>
        <w:gridCol w:w="109"/>
        <w:gridCol w:w="109"/>
        <w:gridCol w:w="109"/>
        <w:gridCol w:w="109"/>
        <w:gridCol w:w="233"/>
        <w:gridCol w:w="233"/>
        <w:gridCol w:w="154"/>
        <w:gridCol w:w="131"/>
        <w:gridCol w:w="131"/>
        <w:gridCol w:w="131"/>
        <w:gridCol w:w="233"/>
        <w:gridCol w:w="233"/>
        <w:gridCol w:w="154"/>
        <w:gridCol w:w="109"/>
        <w:gridCol w:w="109"/>
        <w:gridCol w:w="109"/>
        <w:gridCol w:w="240"/>
        <w:gridCol w:w="240"/>
        <w:gridCol w:w="241"/>
        <w:gridCol w:w="109"/>
        <w:gridCol w:w="109"/>
        <w:gridCol w:w="109"/>
        <w:gridCol w:w="180"/>
        <w:gridCol w:w="181"/>
        <w:gridCol w:w="323"/>
      </w:tblGrid>
      <w:tr>
        <w:trPr/>
        <w:tc>
          <w:tcPr>
            <w:tcW w:w="79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8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 xml:space="preserve">Average Volumes </w:t>
            </w:r>
          </w:p>
          <w:p>
            <w:pPr>
              <w:pStyle w:val="TableContents"/>
              <w:bidi w:val="0"/>
              <w:spacing w:lineRule="auto" w:line="240" w:before="0" w:after="0"/>
              <w:jc w:val="left"/>
              <w:rPr/>
            </w:pPr>
            <w:r>
              <w:rPr>
                <w:rFonts w:ascii="Times New Roman;sans-serif" w:hAnsi="Times New Roman;sans-serif"/>
                <w:b/>
                <w:color w:val="000000"/>
                <w:sz w:val="16"/>
              </w:rPr>
              <w:t>(in thousands of barrels per day</w:t>
            </w:r>
            <w:r>
              <w:rPr>
                <w:rFonts w:ascii="Times New Roman;sans-serif" w:hAnsi="Times New Roman;sans-serif"/>
                <w:b/>
                <w:color w:val="000000"/>
                <w:sz w:val="20"/>
              </w:rPr>
              <w:t xml:space="preserve">) </w:t>
            </w:r>
            <w:r>
              <w:rPr>
                <w:rFonts w:ascii="Times New Roman;sans-serif" w:hAnsi="Times New Roman;sans-serif"/>
                <w:b/>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8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fractionation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pipeline tariff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Propane and butane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Indicates that variance as a percentage is not meaningful.</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Revenues and costs and expenses include intersegment amounts.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adjustments included in the performance measure utilized by our CODM in the evaluation of segment results. See Note 10 to our Condensed Consolidated Financial Statements for additional discussion of such adjustments.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Average daily volumes are calculated as total volumes (attributable to our interest for assets owned through undivided joint interests) for the period divided by the number of days in the period.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Adjusted EBITDA</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NGL Segment Adjusted EBITDA increased for the three months ended June 30, 2024 compared to 2023 as a result of higher propane and butane sales volumes, primarily due to turnarounds impacting sales volumes in the second quarter of 2023, and incremental margins from iso-to-normal butane spread benefits in the second quarter of 2024.</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NGL Segment Adjusted EBITDA was relatively flat for the six months ended June 30, 2024 compared to 2023 as higher propane and butane sales volumes, as well as higher realized frac spreads, in the first quarter of 2023 more than offset the benefits noted above in the second quarter of 2024 relative to the second quarter of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variances in the components of Segment Adjusted EBITDA are discussed in more detail below.</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Net Revenues.</w:t>
      </w:r>
      <w:r>
        <w:rPr>
          <w:color w:val="000000"/>
        </w:rPr>
        <w:t xml:space="preserve"> </w:t>
      </w:r>
      <w:r>
        <w:rPr>
          <w:rFonts w:ascii="Times New Roman;sans-serif" w:hAnsi="Times New Roman;sans-serif"/>
          <w:b w:val="false"/>
          <w:color w:val="000000"/>
          <w:sz w:val="20"/>
        </w:rPr>
        <w:t xml:space="preserve">Net revenues include the impact of derivative activities and long-term inventory costing adjustments, which are excluded from Segment Adjusted EBITDA and thus are reflected as an “Adjustment” in the table above. Excluding such impacts, net revenues increased for the second quarter of 2024 compared to 2023 and were relatively flat for the six months ended June 30, 2024 compared to 2023. </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net revenues for the second quarter of 2024 compared to 2023 was primarily due to (i) turnarounds in the second quarter of 2023 impacting straddle production which reduced our propane and butane sales volumes in 2023 and (ii) incremental margins from iso-to-normal butane spread benefits in the second quarter of 2024.</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2024 compared to 2023, net revenues were relatively flat as higher propane and butane sales volumes, as well as higher realized frac spreads, in the first quarter of 2023 more than offset the benefits noted above in the second quarter of 2024 relative to the second quarter of 2023.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both the three- and six-month periods ended June 30, 2024 compared to the same periods in 2023, we had lower field operating costs recoveries at our Empress straddle plants realized through our commercial agreements.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Field Operating Costs.</w:t>
      </w:r>
      <w:r>
        <w:rPr>
          <w:color w:val="000000"/>
        </w:rPr>
        <w:t xml:space="preserve"> </w:t>
      </w:r>
      <w:r>
        <w:rPr>
          <w:rFonts w:ascii="Times New Roman;sans-serif" w:hAnsi="Times New Roman;sans-serif"/>
          <w:b w:val="false"/>
          <w:color w:val="000000"/>
          <w:sz w:val="20"/>
        </w:rPr>
        <w:t xml:space="preserve">The decrease in field operating costs for the six months ended June 30, 2024 compared to the same period in 2023 was primarily due to decreased utilities-related costs largely as a result of lower prices, partially offset by higher maintenance and integrity costs. </w:t>
      </w:r>
      <w:r>
        <w:rPr>
          <w:rFonts w:ascii="Times New Roman;sans-serif" w:hAnsi="Times New Roman;sans-serif"/>
          <w:b w:val="false"/>
          <w:color w:val="000000"/>
          <w:sz w:val="20"/>
          <w:shd w:fill="FFFFFF" w:val="clear"/>
        </w:rPr>
        <w:t>The decrease in utilities-related costs was partially offset by the lower benefit to net revenues of operating cost recoveries realized through commercial agreements.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Maintenance Capital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maintenance capital spending for the three and six months ended June 30, 2024 compared to the same periods in 2023 was primarily due to timing of equipment repairs and replacement projects for certain of our pipeline systems and fractionation facilities.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are (i) cash flow from operating activities and (ii) borrowings under PAA’s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long-term debt and (v) distributions to our Class A shareholders and noncontrolling interests. In addition, we may use cash for repurchases of common equity. We generally expect to fund our short-term cash requirements through cash flow generated from operating activities and/or borrowings under PAA’s credit facilities or commercial paper program. In addition, we generally expect to fund our long-term needs, such as those resulting from investment capital activities, acquisitions or refinancing long-term debt, through a variety of sources, which may include any or a combination of the sources listed above.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although we had a working capital deficit of $18 million, we had approximately $3.2 billion of liquidity available to meet our ongoing operating, investing and financing needs, subject to continued covenant compliance, as noted below (in millions):</w:t>
      </w:r>
    </w:p>
    <w:p>
      <w:pPr>
        <w:pStyle w:val="TextBody"/>
        <w:bidi w:val="0"/>
        <w:spacing w:before="0" w:after="0"/>
        <w:ind w:left="0" w:right="0" w:firstLine="720"/>
        <w:jc w:val="left"/>
        <w:rPr/>
      </w:pPr>
      <w:r>
        <w:rPr/>
      </w:r>
    </w:p>
    <w:tbl>
      <w:tblPr>
        <w:tblW w:w="7003" w:type="dxa"/>
        <w:jc w:val="center"/>
        <w:tblInd w:w="0" w:type="dxa"/>
        <w:tblLayout w:type="fixed"/>
        <w:tblCellMar>
          <w:top w:w="28" w:type="dxa"/>
          <w:left w:w="28" w:type="dxa"/>
          <w:bottom w:w="28" w:type="dxa"/>
          <w:right w:w="28" w:type="dxa"/>
        </w:tblCellMar>
      </w:tblPr>
      <w:tblGrid>
        <w:gridCol w:w="2111"/>
        <w:gridCol w:w="1859"/>
        <w:gridCol w:w="1864"/>
        <w:gridCol w:w="251"/>
        <w:gridCol w:w="735"/>
        <w:gridCol w:w="183"/>
      </w:tblGrid>
      <w:tr>
        <w:trPr/>
        <w:tc>
          <w:tcPr>
            <w:tcW w:w="2111"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br/>
              <w:t>June 30, 2024</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Availability under PAA senior unsecured revolving credit facility </w:t>
            </w:r>
            <w:r>
              <w:rPr>
                <w:rFonts w:ascii="Times New Roman;sans-serif" w:hAnsi="Times New Roman;sans-serif"/>
                <w:b w:val="false"/>
                <w:color w:val="000000"/>
                <w:sz w:val="13"/>
              </w:rPr>
              <w:t>(1) (2)</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Availability under PAA senior secured hedged inventory facility </w:t>
            </w:r>
            <w:r>
              <w:rPr>
                <w:rFonts w:ascii="Times New Roman;sans-serif" w:hAnsi="Times New Roman;sans-serif"/>
                <w:b w:val="false"/>
                <w:color w:val="000000"/>
                <w:sz w:val="13"/>
              </w:rPr>
              <w:t>(1) (2)</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outstanding under PAA commercial paper program</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Cash and cash equivalents</w:t>
            </w:r>
            <w:r>
              <w:rPr>
                <w:color w:val="000000"/>
              </w:rPr>
              <w:t xml:space="preserve"> </w:t>
            </w:r>
            <w:r>
              <w:rPr>
                <w:rFonts w:ascii="Times New Roman;sans-serif" w:hAnsi="Times New Roman;sans-serif"/>
                <w:b w:val="false"/>
                <w:color w:val="000000"/>
                <w:sz w:val="13"/>
              </w:rPr>
              <w:t>(3)</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Represents availability prior to giving effect to borrowings outstanding under the PAA commercial paper program, which reduce available capacity under the credit facilities.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Available capacity under the PAA senior unsecured revolving credit facility and the PAA senior secured hedged inventory facility was reduced by outstanding letters of credit issued under these facilities of less than $1 million and $39 million, respectively.</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Excludes restricted cash of $3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Usage of PAA’s credit facilities, and, in turn, its commercial paper program, is subject to ongoing compliance with covenants. The credit agreements for PAA’s revolving credit facilities (which impact PAA’s ability to access its commercial paper program because they provide the financial backstop that supports its short-term credit ratings) and the indentures governing its senior notes contain cross-default provisions. A default under PAA’s credit agreements or indentures would permit the lenders to accelerate the maturity of the outstanding debt. As long as PAA is in compliance with the provisions in its credit agreements, its ability to make distributions of available cash is not restricted. PAA was in compliance with the covenants contained in its credit agreements and indentures as of June 30,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have, and will continue to have, the ability to access the PAA commercial paper program and credit facilities, which we use to meet our short-term cash needs. We believe that our financial position remains strong and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the Organization of Petroleum Exporting Countries (OPEC). A prolonged material decrease in our cash flows would likely produce an adverse effect on our borrowing capacity and cost of borrowing. Our borrowing capacity and borrowing costs are also impacted by PAA’s credit rating. See Item 1A. “Risk Factors” included in our 2023 Annual Report on Form 10-K for further discussion regarding risks that may impact our 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 from Operating Activities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2023 Annual Report on Form 10-K.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for the first six months of 2024 and 2023 was $1.070 billion and $1.629 billion, respectively, and primarily resulted from earnings from our operations. Both periods were also impacted by changes in working capital items. The 2024 period was impacted unfavorably, primarily by margin requirements related to our hedging activities. The 2023 period was impacted favorably, largely associated with reducing inventory levels during the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Capital Expenditures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operating needs, we also use cash for our investment capital projects, maintenance capital activities and acquisition activities. We fund these expenditures with cash generated by operating activities, financing activities and/or proceeds from asset sales. The following table summarizes our investment, maintenance and acquisition capital expenditures (in millions): </w:t>
      </w:r>
    </w:p>
    <w:p>
      <w:pPr>
        <w:pStyle w:val="TextBody"/>
        <w:bidi w:val="0"/>
        <w:spacing w:before="0" w:after="0"/>
        <w:ind w:left="0" w:right="0" w:firstLine="720"/>
        <w:jc w:val="left"/>
        <w:rPr/>
      </w:pPr>
      <w:r>
        <w:rPr/>
      </w:r>
    </w:p>
    <w:tbl>
      <w:tblPr>
        <w:tblW w:w="4163" w:type="dxa"/>
        <w:jc w:val="center"/>
        <w:tblInd w:w="0" w:type="dxa"/>
        <w:tblLayout w:type="fixed"/>
        <w:tblCellMar>
          <w:top w:w="28" w:type="dxa"/>
          <w:left w:w="28" w:type="dxa"/>
          <w:bottom w:w="28" w:type="dxa"/>
          <w:right w:w="28" w:type="dxa"/>
        </w:tblCellMar>
      </w:tblPr>
      <w:tblGrid>
        <w:gridCol w:w="804"/>
        <w:gridCol w:w="706"/>
        <w:gridCol w:w="709"/>
        <w:gridCol w:w="211"/>
        <w:gridCol w:w="466"/>
        <w:gridCol w:w="109"/>
        <w:gridCol w:w="109"/>
        <w:gridCol w:w="109"/>
        <w:gridCol w:w="109"/>
        <w:gridCol w:w="211"/>
        <w:gridCol w:w="466"/>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 capital </w:t>
            </w:r>
            <w:r>
              <w:rPr>
                <w:rFonts w:ascii="Times New Roman;sans-serif" w:hAnsi="Times New Roman;sans-serif"/>
                <w:b w:val="false"/>
                <w:color w:val="000000"/>
                <w:sz w:val="13"/>
              </w:rPr>
              <w:t>(1) (2) (3)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Maintenance capital </w:t>
            </w:r>
            <w:r>
              <w:rPr>
                <w:rFonts w:ascii="Times New Roman;sans-serif" w:hAnsi="Times New Roman;sans-serif"/>
                <w:b w:val="false"/>
                <w:color w:val="000000"/>
                <w:sz w:val="13"/>
              </w:rPr>
              <w:t>(1) (3)</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Acquisition capital </w:t>
            </w:r>
            <w:r>
              <w:rPr>
                <w:rFonts w:ascii="Times New Roman;sans-serif" w:hAnsi="Times New Roman;sans-serif"/>
                <w:b w:val="false"/>
                <w:color w:val="000000"/>
                <w:sz w:val="13"/>
              </w:rPr>
              <w:t>(2) (4)</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Investment capital and maintenance capital, net to our 65% interest in the Permian JV, was approximately $144 million and $109 million, respectively, for the six months ended June 30, 2024, and approximately $141 million and $103 million, respectively, for the six months ended June 30, 2023.</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Acquisition capital for the 2024 period primarily includes the acquisition of an additional ownership interest in an equity method investee.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2024 Investment and Maintenance Capital. </w:t>
      </w:r>
      <w:r>
        <w:rPr>
          <w:rFonts w:ascii="Times New Roman;sans-serif" w:hAnsi="Times New Roman;sans-serif"/>
          <w:b w:val="false"/>
          <w:color w:val="000000"/>
          <w:sz w:val="20"/>
        </w:rPr>
        <w:t>Total investment capital for the year ending December 31, 2024 is projected to be approximately $465 million ($375 million net to our interest). Approximately half of our projected investment capital expenditures are expected to be invested in the Permian JV assets. Additionally, maintenance capital for 2024 is projected to be approximately $270 million ($250 million net to our interest). We expect to fund our 2024 investment and maintenance capital expenditures primarily with retained cash flow.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Divestitures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assets have generally been used to fund our investment capital projects and reduce debt levels. The following table summarizes the proceeds received during the first six months of 2024 and 2023 from sales of assets (in millions):</w:t>
      </w:r>
    </w:p>
    <w:p>
      <w:pPr>
        <w:pStyle w:val="TextBody"/>
        <w:bidi w:val="0"/>
        <w:spacing w:before="0" w:after="0"/>
        <w:ind w:left="0" w:right="0" w:firstLine="720"/>
        <w:jc w:val="left"/>
        <w:rPr/>
      </w:pPr>
      <w:r>
        <w:rPr/>
      </w:r>
    </w:p>
    <w:tbl>
      <w:tblPr>
        <w:tblW w:w="4536" w:type="dxa"/>
        <w:jc w:val="center"/>
        <w:tblInd w:w="0" w:type="dxa"/>
        <w:tblLayout w:type="fixed"/>
        <w:tblCellMar>
          <w:top w:w="28" w:type="dxa"/>
          <w:left w:w="28" w:type="dxa"/>
          <w:bottom w:w="28" w:type="dxa"/>
          <w:right w:w="28" w:type="dxa"/>
        </w:tblCellMar>
      </w:tblPr>
      <w:tblGrid>
        <w:gridCol w:w="896"/>
        <w:gridCol w:w="787"/>
        <w:gridCol w:w="792"/>
        <w:gridCol w:w="109"/>
        <w:gridCol w:w="109"/>
        <w:gridCol w:w="109"/>
        <w:gridCol w:w="211"/>
        <w:gridCol w:w="256"/>
        <w:gridCol w:w="109"/>
        <w:gridCol w:w="109"/>
        <w:gridCol w:w="109"/>
        <w:gridCol w:w="109"/>
        <w:gridCol w:w="211"/>
        <w:gridCol w:w="466"/>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Proceeds from divestitures</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proceeds, including working capital adjustments, net of transaction costs. The proceeds from divestitures for the six months ended June 30, 2023 were primarily from the sale of our 21% non-operated/undivided joint interest in the Keyera Fort Saskatchewan facility in February 2023. See Note 7 to our Consolidated Financial Statements included in Part IV of our 2023 Annual Report on Form 10-K for additional discussion of this transaction.</w:t>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pPr>
      <w:r>
        <w:rPr>
          <w:rFonts w:ascii="Times New Roman;sans-serif" w:hAnsi="Times New Roman;sans-serif"/>
          <w:b/>
          <w:color w:val="000000"/>
          <w:sz w:val="20"/>
        </w:rPr>
        <w:t>Ongoing Activities Related to Strategic Transactions</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Business—Acquisitions and divestitures involve risks that may adversely affect PAA’s business” included in our 2023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Borrowings and Repayments Under Credit Agreements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we had net repayments under the PAA commercial paper program of $433 million. The net repayments resulted primarily from cash flow from operating activities and proceeds from the issuance of PAA’s $650 million, 5.70% senior notes in June 2024, which offset borrowings during the period related to funding needs for capital investments, inventory purchases and other general partnership purposes.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had no net borrowings or repayments under the PAA credit facilities or commercial paper program during the six months ended June 30,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Senior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2024, PAA completed the offering of $650 million, 5.70% senior notes due September 2034 at a public offering price of 99.953%. Interest payments are due on March 15 and September 15 of each year, commencing on March 15, 2025. PAA intends to use the net proceeds from this offering of $643 million, after deducting the underwriting discount and offering expenses, to partially repay the principal amount of its $750 million, 3.60% senior notes due November 2024 and, pending such repayment, has used a portion of the proceeds to repay outstanding borrowings under its commercial paper program and for general partnership purposes.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Common Equity Repurchase Program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repurchases under the Common Equity Repurchase Program (the “Program”) during the six months ended June 30, 2024 or 2023. The remaining available capacity under the Program as of June 30, 2024 was $198 million.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 xml:space="preserve">Registration Statements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PAGP Registration Statements.</w:t>
      </w:r>
      <w:r>
        <w:rPr>
          <w:color w:val="000000"/>
        </w:rPr>
        <w:t xml:space="preserve"> </w:t>
      </w:r>
      <w:r>
        <w:rPr>
          <w:rFonts w:ascii="Times New Roman;sans-serif" w:hAnsi="Times New Roman;sans-serif"/>
          <w:b w:val="false"/>
          <w:color w:val="000000"/>
          <w:sz w:val="20"/>
        </w:rPr>
        <w:t>We have filed with the SEC a shelf registration statement that, subject to effectiveness at the time of use, allows us to issue up to a specified amount of equity securities (“PAGP Traditional Shelf”). At June 30, 2024, we had approximately $939 million of unsold securities available. We also have access to a universal shelf registration statement (“PAGP WKSI Shelf”), which provides us with the ability to offer and sell an unlimited amount of equity securities, subject to market conditions and our capital needs. We did not conduct any offerings under the PAGP Traditional Shelf or PAGP WKSI Shelf during the six months ended June 30,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PAA Registration Statements.</w:t>
      </w:r>
      <w:r>
        <w:rPr>
          <w:color w:val="000000"/>
        </w:rPr>
        <w:t xml:space="preserve"> </w:t>
      </w:r>
      <w:r>
        <w:rPr>
          <w:rFonts w:ascii="Times New Roman;sans-serif" w:hAnsi="Times New Roman;sans-serif"/>
          <w:b w:val="false"/>
          <w:color w:val="000000"/>
          <w:sz w:val="20"/>
        </w:rPr>
        <w:t>PAA periodically accesses the capital markets for both equity and debt financing. PAA has filed with the SEC a universal shelf registration statement that, subject to effectiveness at the time of use, allows PAA to issue up to a specified amount of debt or equity securities (“PAA Traditional Shelf”), under which PAA had approximately $1.1 billion of unsold securities available at June 30, 2024. PAA did not conduct any offerings under the PAA Traditional Shelf during the six months ended June 30, 2024. PAA also has access to a universal shelf registration statement (“PAA WKSI Shelf”), which provides it with the ability to offer and sell an unlimited amount of debt and equity securities, subject to market conditions and its capital needs. The offering of PAA’s $650 million, 5.70% senior notes in June 2024 was conducted under the PAA WKSI Shelf.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Distributions to Our Class A Shareholders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14, 2024, we will pay a quarterly cash distribution of $0.3175 per Class A share ($1.27 per Class A share on an annualized basis) to shareholders of record at the close of business on July 31, 2024 for the period from April 1, 2024 through June 30, 2024, which is unchanged from the distribution per share paid in May of 2024. See Note 6 to our Condensed Consolidated Financial Statements for details of distributions paid during the first six months of 2024.</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Distributions to Noncontrolling 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Distributions to noncontrolling interests represent amounts paid on interests in consolidated entities that are not owned by us. As of June 30, 2024, noncontrolling interests in our subsidiaries consisted of (i) limited partner interests in PAA including a 70% interest in PAA’s common units and PAA’s Series A preferred units combined and 100% of PAA’s Series B preferred units, (ii) an approximate 15% limited partner interest in AAP, (iii) a 35% interest in the Permian JV, (iv) a 30% interest in Cactus II and (v) a 33% interest in Red River.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14, 2024, PAA will pay a quarterly cash distribution of approximately $0.615 per unit to its Series A preferred unitholders of record at the close of business on July 31, 2024 for the period from April 1, 2024 through June 30, 2024.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15, 2024 , PAA will pay a quarterly cash distribution of approximately $24.77 per unit to its Series B preferred unitholders of record at the close of business on August 1, 2024 for the period from May 15, 2024 through August 14,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14, 2024, PAA will pay a quarterly cash distribution of $0.3175 per common unit ($1.27 per unit on an annualized basis) to common unitholders of record at the close of business on July 31, 2024 for the period from April 1, 2024 through June 30, 2024, which is unchanged from the distribution per unit paid in May of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6 to our Condensed Consolidated Financial Statements for details of distributions paid to noncontrolling interests during the six months ended June 30, 2024.</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contingencies that may impact us, see Note 9 to our Condensed Consolidated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Purchase Obligations.</w:t>
      </w:r>
      <w:r>
        <w:rPr>
          <w:color w:val="000000"/>
        </w:rPr>
        <w:t xml:space="preserve"> </w:t>
      </w:r>
      <w:r>
        <w:rPr>
          <w:rFonts w:ascii="Times New Roman;sans-serif" w:hAnsi="Times New Roman;sans-serif"/>
          <w:b w:val="false"/>
          <w:color w:val="000000"/>
          <w:sz w:val="20"/>
        </w:rPr>
        <w:t xml:space="preserve">In the ordinary course of doing business, we purchase crude oil and NGL from third parties under contracts, the majority of which range in term from thirty-day evergreen to five years, with a limited number of contracts with remaining terms extending up to 10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includes our best estimate of the amount and timing of these payments as of June 30, 2024 (in millions): </w:t>
      </w:r>
    </w:p>
    <w:p>
      <w:pPr>
        <w:pStyle w:val="TextBody"/>
        <w:bidi w:val="0"/>
        <w:spacing w:before="0" w:after="0"/>
        <w:jc w:val="left"/>
        <w:rPr/>
      </w:pPr>
      <w:r>
        <w:rPr/>
      </w:r>
    </w:p>
    <w:tbl>
      <w:tblPr>
        <w:tblW w:w="10600" w:type="dxa"/>
        <w:jc w:val="center"/>
        <w:tblInd w:w="0" w:type="dxa"/>
        <w:tblLayout w:type="fixed"/>
        <w:tblCellMar>
          <w:top w:w="28" w:type="dxa"/>
          <w:left w:w="28" w:type="dxa"/>
          <w:bottom w:w="28" w:type="dxa"/>
          <w:right w:w="28" w:type="dxa"/>
        </w:tblCellMar>
      </w:tblPr>
      <w:tblGrid>
        <w:gridCol w:w="435"/>
        <w:gridCol w:w="382"/>
        <w:gridCol w:w="38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Remainder of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Crude oil, NGL and other purchases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Amounts are primarily based on estimated volumes and market prices based on average activity during June 2024.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Letters of Credit.</w:t>
      </w:r>
      <w:r>
        <w:rPr>
          <w:color w:val="000000"/>
        </w:rPr>
        <w:t xml:space="preserve"> </w:t>
      </w:r>
      <w:r>
        <w:rPr>
          <w:rFonts w:ascii="Times New Roman;sans-serif" w:hAnsi="Times New Roman;sans-serif"/>
          <w:b w:val="false"/>
          <w:color w:val="000000"/>
          <w:sz w:val="20"/>
        </w:rPr>
        <w:t>In connection with our merchant activities, we provide certain suppliers with irrevocable standby letters of credit to secure our 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June 30, 2024 and December 31, 2023, we had outstanding letters of credit of approximately $143 million and $205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 to our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 </w:t>
      </w:r>
    </w:p>
    <w:p>
      <w:pPr>
        <w:pStyle w:val="TextBody"/>
        <w:bidi w:val="0"/>
        <w:spacing w:before="0" w:after="0"/>
        <w:jc w:val="center"/>
        <w:rPr/>
      </w:pPr>
      <w:r>
        <w:rPr/>
      </w:r>
    </w:p>
    <w:p>
      <w:pPr>
        <w:pStyle w:val="TextBody"/>
        <w:bidi w:val="0"/>
        <w:spacing w:lineRule="auto" w:line="276" w:before="0" w:after="120"/>
        <w:ind w:left="0" w:right="0" w:hanging="360"/>
        <w:jc w:val="left"/>
        <w:rPr/>
      </w:pPr>
      <w:r>
        <w:rPr>
          <w:color w:val="000000"/>
        </w:rPr>
        <w:t>•</w:t>
      </w:r>
      <w:r>
        <w:rPr>
          <w:rFonts w:ascii="Times New Roman;sans-serif" w:hAnsi="Times New Roman;sans-serif"/>
          <w:b w:val="false"/>
          <w:color w:val="000000"/>
          <w:sz w:val="20"/>
        </w:rPr>
        <w:t>our expected receipt of, and amounts of, distributions from Plains AAP, LP, and the effect thereof on our ability to pay distributions to our Class A shareholders;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fluctuations in refinery capacity and other factors affecting demand for various grades of crude oil and NGL and resulting changes in pricing conditions or transportation throughput requirements;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unanticipated changes in crude oil and NGL market structure, grade differentials and volatility (or lack thereof);</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negative societal sentiment regarding the hydrocarbon energy industry and the continued development and consumption of hydrocarbons, which could influence consumer preferences and governmental or regulatory actions that adversely impact our business;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environmental liabilities, litigation or other events that are not covered by an indemnity, insurance or existing reserves;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occurrence of a natural disaster, catastrophe, terrorist attack (including eco-terrorist attacks) or other event that materially impacts our operations, including cyber or other attacks on our electronic and computer systems;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weather interference with business operations or project construction, including the impact of extreme weather events or conditions;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impact of current and future laws, rulings, legislation, governmental regulations, executive orders, trade policies,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loss of key personnel and inability to attract and retain new talent;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disruptions to futures markets for crude oil, NGL and other petroleum products, which may impair our ability to execute our commercial or hedging strategies;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effectiveness of our risk management activities;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shortages or cost increases of supplies, materials or labor;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maintenance of PAA’s credit rating and ability to receive open credit from our suppliers and trade counterparties;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availability of, and our ability to consummate, acquisitions, divestitures, joint ventures or other strategic opportunities;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incurrence of costs and expenses related to unexpected or unplanned capital expenditures, third-party claims or other factors;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failure to implement or capitalize, or delays in implementing or capitalizing, on investment capital projects, whether due to permitting delays, permitting withdrawals or other factors;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amplification of other risks caused by volatile financial markets, capital constraints, liquidity concerns and inflation;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use or availability of third-party assets upon which our operations depend and over which we have little or no control;</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currency exchange rate of the Canadian dollar to the United States dollar;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inability to recognize current revenue attributable to deficiency payments received from customers who fail to ship or move more than minimum contracted volumes until the related credits expire or are used;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significant under-utilization of our assets and facilities;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increased costs, or lack of availability, of insurance;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fluctuations in the debt and equity markets, including the price of PAA’s units at the time of vesting under its long-term incentive plans;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risks related to the development and operation of our assets;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pace of development of natural gas infrastructure and its impact on expected crude oil production growth in the Permian Basin;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 factors and uncertainties inherent in the transportation, storage, terminalling and marketing of crude oil, as well as in the processing, transportation, fractionation, storage and marketing of NGL.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factors described herein, as well as factors that are unknown or unpredictable, could also have a material adverse effect on future results. Please read “Risk Factors” discussed in Item 1A of our 2023 Annual Report on Form 10-K. Except as required by applicable securities laws, we do not intend to update these forward-looking statements and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3. QUANTITATIVE AND QUALITATIVE DISCLOSURES ABOUT MARKET RISK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hedge price risk associated with the following commodities: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u w:val="single"/>
        </w:rPr>
        <w:t>Crude oil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u w:val="single"/>
        </w:rPr>
        <w:t>Natural gas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u w:val="single"/>
        </w:rPr>
        <w:t>NGL and other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7 to our Condensed Consolidated Financial Statements for further discussion regarding our hedging strategies and objectives.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our commodity derivatives and the change in fair value as of June 30, 2024 that would be expected from a 10% price increase or decrease is shown in the table below (in millions):</w:t>
      </w:r>
    </w:p>
    <w:p>
      <w:pPr>
        <w:pStyle w:val="TextBody"/>
        <w:bidi w:val="0"/>
        <w:spacing w:before="0" w:after="0"/>
        <w:jc w:val="left"/>
        <w:rPr/>
      </w:pPr>
      <w:r>
        <w:rPr/>
      </w:r>
    </w:p>
    <w:tbl>
      <w:tblPr>
        <w:tblW w:w="5256" w:type="dxa"/>
        <w:jc w:val="center"/>
        <w:tblInd w:w="0" w:type="dxa"/>
        <w:tblLayout w:type="fixed"/>
        <w:tblCellMar>
          <w:top w:w="28" w:type="dxa"/>
          <w:left w:w="28" w:type="dxa"/>
          <w:bottom w:w="28" w:type="dxa"/>
          <w:right w:w="28" w:type="dxa"/>
        </w:tblCellMar>
      </w:tblPr>
      <w:tblGrid>
        <w:gridCol w:w="495"/>
        <w:gridCol w:w="433"/>
        <w:gridCol w:w="437"/>
        <w:gridCol w:w="233"/>
        <w:gridCol w:w="541"/>
        <w:gridCol w:w="121"/>
        <w:gridCol w:w="109"/>
        <w:gridCol w:w="109"/>
        <w:gridCol w:w="109"/>
        <w:gridCol w:w="341"/>
        <w:gridCol w:w="608"/>
        <w:gridCol w:w="177"/>
        <w:gridCol w:w="109"/>
        <w:gridCol w:w="109"/>
        <w:gridCol w:w="109"/>
        <w:gridCol w:w="353"/>
        <w:gridCol w:w="604"/>
        <w:gridCol w:w="259"/>
      </w:tblGrid>
      <w:tr>
        <w:trPr/>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10%</w:t>
              <w:br/>
              <w:t>Price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10%</w:t>
              <w:br/>
              <w:t>Price Decrease</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7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and other</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Debt</w:t>
      </w:r>
      <w:r>
        <w:rPr>
          <w:rFonts w:ascii="Times New Roman;sans-serif" w:hAnsi="Times New Roman;sans-serif"/>
          <w:b w:val="false"/>
          <w:color w:val="000000"/>
          <w:sz w:val="20"/>
        </w:rPr>
        <w:t>. 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We did not have any variable rate debt outstanding at June 30, 2024. The average interest rate on variable rate debt that was outstanding during the six months ended June 30, 2024 was 5.8%, based upon rates in effect during such period. The fair value of our interest rate derivatives was a net asset of $16 million as of June 30, 2024. A 10% increase in the forward SOFR curve as of June 30, 2024 would have resulted in an increase of $12 million to the fair value of our interest rate derivatives. A 10% decrease in the forward SOFR curve as of June 30, 2024 would have resulted in a decrease of $12 million to the fair value of our interest rate derivatives. See Note 7 to our Condensed Consolidated Financial Statements for a discussion of our interest rate risk hedging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Series B Preferred Units</w:t>
      </w:r>
      <w:r>
        <w:rPr>
          <w:rFonts w:ascii="Times New Roman;sans-serif" w:hAnsi="Times New Roman;sans-serif"/>
          <w:b w:val="false"/>
          <w:color w:val="000000"/>
          <w:sz w:val="20"/>
        </w:rPr>
        <w:t>. Distributions on PAA’s Series B preferred units accumulate and are payable quarterly in arrears on the 15th day of February, May, August and November. Distributions on PAA’s Series B preferred units accumulate based on the applicable three-month SOFR, plus certain adjustments. Based upon the Series B preferred units outstanding at June 30, 2024 and the liquidation preference of $1,000 per unit, a change of 100 basis points in interest rates would increase or decrease the annual distributions on PAA’s Series B preferred units by approximately $8 million. See Note 11 to our Consolidated Financial Statements included in Part IV of our 2023 Annual Report on Form 10-K for additional information regarding our Series B preferred unit distributions.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Applicable SEC rules require an evaluation of the effectiveness of our DCP. Management, under the supervision and with the participation of our Chief Executive Officer and Chief Financial Officer, has evaluated the effectiveness of our DCP as of June 30, 2024, the end of the period covered by this report, and, based on such evaluation, our Chief Executive Officer and Chief Financial Officer have concluded that our DCP is effective.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information concerning our DCP, we are required to disclose certain changes in internal control over financial reporting. There have been no changes in our internal control over financial reporting during the second quarter of 2024 that have materially affected, or are reasonably likely to materially affect, our internal control over financial reporting.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w:t>
      </w:r>
      <w:r>
        <w:rPr>
          <w:color w:val="000000"/>
        </w:rPr>
        <w:t xml:space="preserve">   </w:t>
      </w:r>
      <w:r>
        <w:rPr>
          <w:rFonts w:ascii="Times New Roman;sans-serif" w:hAnsi="Times New Roman;sans-serif"/>
          <w:b/>
          <w:color w:val="000000"/>
          <w:sz w:val="20"/>
        </w:rPr>
        <w:t>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included in Note 9 to our Condensed Consolidated Financial Statements, and is incorporated herein by reference thereto.</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 discussion of our risk factors, see Item 1A. of our 2023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color w:val="000000"/>
          <w:sz w:val="20"/>
        </w:rPr>
        <w:t>UNREGISTERED SALES OF EQUITY SECURITIES AND USE OF PROCEEDS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of Unregistered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IPO and related transactions, the former owners of Plains All American GP LLC (the “Legacy Owners”) acquired the following interests (collectively, the “Stapled Interests”): (i) Class A units of AAP (“AAP units”) representing an economic limited partner interest in AAP; (ii) 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June 30, 2024, certain Legacy Owners or their permitted transferees exercised the Exchange Right, which resulted in the issuance of 11,438 Class A shares. The issuance of Class A shares in connection with the exercise of the Exchange Right was exempt from the registration requirements of the Securities Act of 1933, as amended, pursuant to Section 4(a)(2) thereof.</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color w:val="000000"/>
          <w:sz w:val="20"/>
        </w:rPr>
        <w:t>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4.</w:t>
      </w:r>
      <w:r>
        <w:rPr>
          <w:color w:val="000000"/>
        </w:rPr>
        <w:t xml:space="preserve">   </w:t>
      </w:r>
      <w:r>
        <w:rPr>
          <w:rFonts w:ascii="Times New Roman;sans-serif" w:hAnsi="Times New Roman;sans-serif"/>
          <w:b/>
          <w:color w:val="000000"/>
          <w:sz w:val="20"/>
        </w:rPr>
        <w:t>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5.</w:t>
      </w:r>
      <w:r>
        <w:rPr>
          <w:color w:val="000000"/>
        </w:rPr>
        <w:t xml:space="preserve">   </w:t>
      </w:r>
      <w:r>
        <w:rPr>
          <w:rFonts w:ascii="Times New Roman;sans-serif" w:hAnsi="Times New Roman;sans-serif"/>
          <w:b/>
          <w:color w:val="000000"/>
          <w:sz w:val="20"/>
        </w:rPr>
        <w:t>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June 30, 2024, none of our directors or officers (as defined in Rule 16a-1(f) of the Securities Exchange Act of 1934) adopted or terminated a Rule 10b5-1 trading arrangement or non-Rule 10b5-1 trading arrangement (as such terms are defined in Item 408 of Regulation S-K).</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Item 6.</w:t>
      </w:r>
      <w:r>
        <w:rPr>
          <w:color w:val="000000"/>
        </w:rPr>
        <w:t xml:space="preserve">   </w:t>
      </w:r>
      <w:r>
        <w:rPr>
          <w:rFonts w:ascii="Times New Roman;sans-serif" w:hAnsi="Times New Roman;sans-serif"/>
          <w:b/>
          <w:color w:val="000000"/>
          <w:sz w:val="20"/>
        </w:rPr>
        <w:t>EXHIBITS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80"/>
        <w:gridCol w:w="246"/>
        <w:gridCol w:w="247"/>
        <w:gridCol w:w="115"/>
        <w:gridCol w:w="115"/>
        <w:gridCol w:w="116"/>
        <w:gridCol w:w="2821"/>
        <w:gridCol w:w="2579"/>
        <w:gridCol w:w="3686"/>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3686"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 No.</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Certificate of Limited Partnership of Plains GP Holdings, L.P. (incorporated by reference to Exhibit 3.1 to our Registration Statement on Form S-1 (333-190227) filed July 29, 2013).</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Second Amended and Restated Agreement of Limited Partnership of Plains GP Holdings, L.P. dated as of November 15, 2016 (incorporated by reference to Exhibit 3.2 to our Current Report on Form 8-K filed November 21, 2016).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Amendment No. 1 dated April 6, 2020 to the Second Amended and Restated Agreement of Limited Partnership of Plains GP Holdings, L.P. (incorporated by reference to Exhibit 3.1 to our Current Report on Form 8-K filed April 9, 2020).</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Certificate of Formation of PAA GP Holdings LLC (incorporated by reference to Exhibit 3.3 to our Registration Statement on Form S-1 (333-190227) filed July 29, 2013).</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Fourth Amended and Restated Limited Liability Company Agreement of PAA GP Holdings LLC dated effective as of August 19, 2021 (incorporated by reference to Exhibit 3.11 to our Annual Report on Form 10-K for the year ended December 31, 2021).</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Seventh Amended and Restated Agreement of Limited Partnership of Plains All American Pipeline, L.P., dated as of October 10, 2017 (incorporated by reference to Exhibit 3.1 to PAA's Current Report on Form 8-K filed October 12, 2017).</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Seventh Amended and Restated Limited Liability Company Agreement of Plains All American GP LLC dated November 15, 2016 (incorporated by reference to Exhibit 3.3 to our Current Report on Form 8-K filed November 21, 2016).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Eighth Amended and Restated Limited Partnership Agreement of Plains AAP, L.P. dated November 15, 2016 (incorporated by reference to Exhibit 3.4 to our Current Report on Form 8-K filed November 21, 2016).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Amendment No. 1 dated September 26, 2018 to the Eighth Amended and Restated Limited Partnership Agreement of Plains AAP, L.P. (incorporated by reference to Exhibit 3.1 to our Current Report on Form 8-K filed October 2, 2018).</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Amendment No. 2 dated May 23, 2019 to the Eighth Amended and Restated Limited Partnership Agreement of Plains AAP, L.P. (incorporated by reference to Exhibit 3.1 to our Current Report on Form 8-K filed May 30, 2019).</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Amendment No. 3 dated August 17, 2023 to the Eighth Amended and Restated Limited Partnership Agreement of Plains AAP, L.P. (incorporated by reference to Exhibit 3.1 to our Current Report on Form 8-K filed August 21, 2023).</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Limited Liability Company Agreement of PAA GP LLC dated December 28, 2007 (incorporated by reference to Exhibit 3.3 to PAA’s Current Report on Form 8-K filed January 4, 2008).</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Indenture dated September 25, 2002 among Plains All American Pipeline, L.P., PAA Finance Corp. and Wachovia Bank, National Association, as trustee (incorporated by reference to Exhibit 4.1 to PAA’s Quarterly Report on Form 10-Q for the quarter ended September 30, 2002).</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PAA’s Current Report on Form 8-K filed May 12, 2006).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PAA’s Current Report on Form 8-K filed October 30, 2006).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8"/>
        <w:gridCol w:w="192"/>
        <w:gridCol w:w="197"/>
        <w:gridCol w:w="115"/>
        <w:gridCol w:w="115"/>
        <w:gridCol w:w="116"/>
        <w:gridCol w:w="2754"/>
        <w:gridCol w:w="2683"/>
        <w:gridCol w:w="3815"/>
      </w:tblGrid>
      <w:tr>
        <w:trPr/>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Twenty-First Supplemental Indenture (5.15% Senior Notes due 2042) dated March 22, 2012 among Plains All American Pipeline, L.P., PAA Finance Corp and U.S. Bank National Association, as trustee (incorporated by reference to Exhibit 4.3 to PAA’s Current Report on Form 8-K filed March 26, 2012).</w:t>
              </w:r>
            </w:hyperlink>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Twenty-Third Supplemental Indenture (4.30% Senior Notes due 2043) dated December 10, 2012, by and among Plains All American Pipeline, L.P., PAA Finance Corp. and U.S. Bank National Association, as trustee (incorporated by reference to Exhibit 4.3 to PAA’s Current Report on Form 8-K filed December 12, 2012).</w:t>
              </w:r>
            </w:hyperlink>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hyperlink>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Twenty-Sixth Supplemental Indenture (3.60% Senior Notes due 2024) dated September 9, 2014, by and among Plains All American Pipeline, L.P., PAA Finance Corp. and U.S. Bank National Association, as trustee (incorporated by reference to Exhibit 4.1 to our Current Report on Form 8-K filed September 11, 2014).</w:t>
              </w:r>
            </w:hyperlink>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hyperlink>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Twenty-Ninth Supplemental Indenture (4.65% Senior Notes due 2025) dated August 24, 2015, by and among Plains All American Pipeline, L.P., PAA Finance Corp., and U.S. Bank National Association, as trustee (incorporated by reference to Exhibit 4.1 to PAA’s Current Report on Form 8-K filed August 26, 2015).</w:t>
              </w:r>
            </w:hyperlink>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Thirtieth Supplemental Indenture (4.50% Senior Notes due 2026) dated November 22, 2016, by and among Plains All American Pipeline, L.P., PAA Finance Corp., and U.S. Bank National Association, as trustee (incorporated by reference to Exhibit 4.1 to PAA’s Current Report on Form 8-K filed November 29, 2016).</w:t>
              </w:r>
            </w:hyperlink>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Thirty-First Supplemental Indenture (3.55% Senior Notes due 2029) dated September 16, 2019, by and among Plains All American Pipeline, L.P., PAA Finance Corp. and U.S. Bank National Association, as trustee (incorporated by reference to Exhibit 4.1 to PAA’s Current Report on Form 8-K filed September 17, 2019).</w:t>
              </w:r>
            </w:hyperlink>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Thirty-Second Supplemental Indenture (3.80% Senior Notes due 2030) dated June 11, 2020, by and among Plains All American Pipeline, L.P., PAA Finance Corp. and U.S. Bank National Association, as trustee (incorporated by reference to Exhibit 4.1 to PAA’s Current Report on Form 8-K filed June 11, 2020).</w:t>
              </w:r>
            </w:hyperlink>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Thirty-Third Supplemental Indenture (5.70% Senior Notes due 2034) dated June 27, 2024, by and among Plains All American Pipeline, L.P., PAA Finance Corp. and U.S. Bank Trust Company, National Association, as trustee (incorporated by reference to Exhibit 4.1 to PAA's Current Report on Form 8-K filed June 27, 2024).</w:t>
              </w:r>
            </w:hyperlink>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Shareholder and Registration Rights Agreement dated October 21, 2013 by and among Plains GP Holdings, L.P. and the other parties signatory thereto (incorporated by reference to Exhibit 4.1 to our Current Report on Form 8-K filed October 25, 2013).</w:t>
              </w:r>
            </w:hyperlink>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Description of Our Securities (incorporated by reference to Exhibit 4.14 to our Annual Report on Form 10-K for the year ended December 31, 2023).</w:t>
              </w:r>
            </w:hyperlink>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q22024exhibit311.htm">
              <w:r>
                <w:rPr>
                  <w:rStyle w:val="InternetLink"/>
                  <w:rFonts w:ascii="Times New Roman;sans-serif" w:hAnsi="Times New Roman;sans-serif"/>
                  <w:b w:val="false"/>
                  <w:color w:val="0000FF"/>
                  <w:sz w:val="20"/>
                  <w:u w:val="single"/>
                </w:rPr>
                <w:t>Certification of Principal Executive Officer pursuant to Exchange Act Rules 13a-14(a) and 15d-14(a).</w:t>
              </w:r>
            </w:hyperlink>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q22024exhibit312.htm">
              <w:r>
                <w:rPr>
                  <w:rStyle w:val="InternetLink"/>
                  <w:rFonts w:ascii="Times New Roman;sans-serif" w:hAnsi="Times New Roman;sans-serif"/>
                  <w:b w:val="false"/>
                  <w:color w:val="0000FF"/>
                  <w:sz w:val="20"/>
                  <w:u w:val="single"/>
                </w:rPr>
                <w:t>Certification of Principal Financial Officer pursuant to Exchange Act Rules 13a-14(a) and 15d-14(a).</w:t>
              </w:r>
            </w:hyperlink>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q22024exhibit321.htm">
              <w:r>
                <w:rPr>
                  <w:rStyle w:val="InternetLink"/>
                  <w:rFonts w:ascii="Times New Roman;sans-serif" w:hAnsi="Times New Roman;sans-serif"/>
                  <w:b w:val="false"/>
                  <w:color w:val="0000FF"/>
                  <w:sz w:val="20"/>
                  <w:u w:val="single"/>
                </w:rPr>
                <w:t>Certification of Principal Executive Officer pursuant to 18 U.S.C. 1350.</w:t>
              </w:r>
            </w:hyperlink>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q22024exhibit322.htm">
              <w:r>
                <w:rPr>
                  <w:rStyle w:val="InternetLink"/>
                  <w:rFonts w:ascii="Times New Roman;sans-serif" w:hAnsi="Times New Roman;sans-serif"/>
                  <w:b w:val="false"/>
                  <w:color w:val="0000FF"/>
                  <w:sz w:val="20"/>
                  <w:u w:val="single"/>
                </w:rPr>
                <w:t>Certification of Principal Financial Officer pursuant to 18 U.S.C. 1350.</w:t>
              </w:r>
            </w:hyperlink>
          </w:p>
        </w:tc>
      </w:tr>
      <w:tr>
        <w:trPr/>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tbl>
      <w:tblPr>
        <w:tblW w:w="8775" w:type="dxa"/>
        <w:jc w:val="left"/>
        <w:tblInd w:w="0" w:type="dxa"/>
        <w:tblLayout w:type="fixed"/>
        <w:tblCellMar>
          <w:top w:w="28" w:type="dxa"/>
          <w:left w:w="28" w:type="dxa"/>
          <w:bottom w:w="28" w:type="dxa"/>
          <w:right w:w="28" w:type="dxa"/>
        </w:tblCellMar>
      </w:tblPr>
      <w:tblGrid>
        <w:gridCol w:w="351"/>
        <w:gridCol w:w="311"/>
        <w:gridCol w:w="313"/>
        <w:gridCol w:w="115"/>
        <w:gridCol w:w="115"/>
        <w:gridCol w:w="116"/>
        <w:gridCol w:w="2179"/>
        <w:gridCol w:w="2179"/>
        <w:gridCol w:w="3096"/>
      </w:tblGrid>
      <w:tr>
        <w:trPr/>
        <w:tc>
          <w:tcPr>
            <w:tcW w:w="3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color w:val="000000"/>
        </w:rPr>
      </w:pPr>
      <w:r>
        <w:rPr>
          <w:color w:val="000000"/>
        </w:rPr>
        <w:t>†    </w:t>
      </w:r>
      <w:r>
        <w:rPr>
          <w:rFonts w:ascii="Times New Roman;sans-serif" w:hAnsi="Times New Roman;sans-serif"/>
          <w:b w:val="false"/>
          <w:color w:val="000000"/>
          <w:sz w:val="20"/>
        </w:rPr>
        <w:t>Filed herewith.</w:t>
      </w:r>
    </w:p>
    <w:p>
      <w:pPr>
        <w:pStyle w:val="TextBody"/>
        <w:bidi w:val="0"/>
        <w:spacing w:lineRule="auto" w:line="288" w:before="0" w:after="120"/>
        <w:jc w:val="left"/>
        <w:rPr>
          <w:color w:val="000000"/>
        </w:rPr>
      </w:pPr>
      <w:r>
        <w:rPr>
          <w:color w:val="000000"/>
        </w:rPr>
        <w:t>††    </w:t>
      </w:r>
      <w:r>
        <w:rPr>
          <w:rFonts w:ascii="Times New Roman;sans-serif" w:hAnsi="Times New Roman;sans-serif"/>
          <w:b w:val="false"/>
          <w:color w:val="000000"/>
          <w:sz w:val="20"/>
        </w:rPr>
        <w:t>Furnished herewith.</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Management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e423f1b2cb7e4f1cb2746bcb8cc81f8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9978" w:type="dxa"/>
        <w:jc w:val="left"/>
        <w:tblInd w:w="0" w:type="dxa"/>
        <w:tblLayout w:type="fixed"/>
        <w:tblCellMar>
          <w:top w:w="28" w:type="dxa"/>
          <w:left w:w="28" w:type="dxa"/>
          <w:bottom w:w="28" w:type="dxa"/>
          <w:right w:w="28" w:type="dxa"/>
        </w:tblCellMar>
      </w:tblPr>
      <w:tblGrid>
        <w:gridCol w:w="493"/>
        <w:gridCol w:w="435"/>
        <w:gridCol w:w="437"/>
        <w:gridCol w:w="416"/>
        <w:gridCol w:w="416"/>
        <w:gridCol w:w="416"/>
        <w:gridCol w:w="2136"/>
        <w:gridCol w:w="2136"/>
        <w:gridCol w:w="3093"/>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309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PLAINS GP HOLDINGS, L.P.</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GP HOLDINGS LLC,</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its general partner</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Willie Chiang,</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Chairman of the Board and Chief Executive Officer of PAA GP Holdings LLC</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Executive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 Swanson,</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Executive Vice President and Chief Financial Officer of PAA GP Holdings LLC</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Financial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 Herbold</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Chris Herbold,</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Senior Vice President, Finance and Chief Accounting Officer of PAA GP Holdings LLC</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Accounting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861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Willie Chiang,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Plains GP Holdings,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8, 2024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2085" w:type="dxa"/>
        <w:jc w:val="left"/>
        <w:tblInd w:w="0" w:type="dxa"/>
        <w:tblLayout w:type="fixed"/>
        <w:tblCellMar>
          <w:top w:w="28" w:type="dxa"/>
          <w:left w:w="28" w:type="dxa"/>
          <w:bottom w:w="28" w:type="dxa"/>
          <w:right w:w="28" w:type="dxa"/>
        </w:tblCellMar>
      </w:tblPr>
      <w:tblGrid>
        <w:gridCol w:w="667"/>
        <w:gridCol w:w="585"/>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Willie Chiang</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 Swanson,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Plains GP Holdings,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8, 2024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2024" w:type="dxa"/>
        <w:jc w:val="left"/>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 Swanson</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PLAINS GP HOLDINGS,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Willie Chiang, Chief Executive Officer of Plains GP Holdings, L.P.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the accompanying report on Form 10-Q for the period ended June 30, 2024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(ii)           the information contained in the Report fairly presents, in all material respects, the financial condition and results of operations of the Company.</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1889" w:type="dxa"/>
        <w:jc w:val="left"/>
        <w:tblInd w:w="0" w:type="dxa"/>
        <w:tblLayout w:type="fixed"/>
        <w:tblCellMar>
          <w:top w:w="28" w:type="dxa"/>
          <w:left w:w="28" w:type="dxa"/>
          <w:bottom w:w="28" w:type="dxa"/>
          <w:right w:w="28" w:type="dxa"/>
        </w:tblCellMar>
      </w:tblPr>
      <w:tblGrid>
        <w:gridCol w:w="604"/>
        <w:gridCol w:w="530"/>
        <w:gridCol w:w="755"/>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Willie Chiang</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PLAINS GP HOLDINGS,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 Swanson, Chief Financial Officer of Plains GP Holdings, L.P.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the accompanying report on Form 10-Q for the period ended June 30, 2024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(ii)           the information contained in the Report fairly presents, in all material respects, the financial condition and results of operations of the Company.</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1890" w:type="dxa"/>
        <w:jc w:val="left"/>
        <w:tblInd w:w="0" w:type="dxa"/>
        <w:tblLayout w:type="fixed"/>
        <w:tblCellMar>
          <w:top w:w="28" w:type="dxa"/>
          <w:left w:w="28" w:type="dxa"/>
          <w:bottom w:w="28" w:type="dxa"/>
          <w:right w:w="28" w:type="dxa"/>
        </w:tblCellMar>
      </w:tblPr>
      <w:tblGrid>
        <w:gridCol w:w="604"/>
        <w:gridCol w:w="531"/>
        <w:gridCol w:w="755"/>
      </w:tblGrid>
      <w:tr>
        <w:trPr/>
        <w:tc>
          <w:tcPr>
            <w:tcW w:w="6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Al Swanson</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r>
    </w:tbl>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1990/000104746913007875/a2216069zex-3_1.htm" TargetMode="External"/><Relationship Id="rId3" Type="http://schemas.openxmlformats.org/officeDocument/2006/relationships/hyperlink" Target="https://www.sec.gov/Archives/edgar/data/1581990/000110465916158356/a16-21845_1ex3d2.htm" TargetMode="External"/><Relationship Id="rId4" Type="http://schemas.openxmlformats.org/officeDocument/2006/relationships/hyperlink" Target="https://www.sec.gov/Archives/edgar/data/1581990/000158199020000012/exhibit31.htm" TargetMode="External"/><Relationship Id="rId5" Type="http://schemas.openxmlformats.org/officeDocument/2006/relationships/hyperlink" Target="https://www.sec.gov/Archives/edgar/data/1581990/000104746913007875/a2216069zex-3_3.htm" TargetMode="External"/><Relationship Id="rId6" Type="http://schemas.openxmlformats.org/officeDocument/2006/relationships/hyperlink" Target="https://www.sec.gov/Archives/edgar/data/1581990/000158199022000006/pagp202110-kexhibit311a.htm" TargetMode="External"/><Relationship Id="rId7" Type="http://schemas.openxmlformats.org/officeDocument/2006/relationships/hyperlink" Target="https://www.sec.gov/Archives/edgar/data/1070423/000110465917061889/a17-22685_5ex3d1.htm" TargetMode="External"/><Relationship Id="rId8" Type="http://schemas.openxmlformats.org/officeDocument/2006/relationships/hyperlink" Target="https://www.sec.gov/Archives/edgar/data/1581990/000110465916158356/a16-21845_1ex3d3.htm" TargetMode="External"/><Relationship Id="rId9" Type="http://schemas.openxmlformats.org/officeDocument/2006/relationships/hyperlink" Target="https://www.sec.gov/Archives/edgar/data/1581990/000110465916158356/a16-21845_1ex3d4.htm" TargetMode="External"/><Relationship Id="rId10" Type="http://schemas.openxmlformats.org/officeDocument/2006/relationships/hyperlink" Target="https://www.sec.gov/Archives/edgar/data/1581990/000110465918060012/a18-36197_1ex3d1.htm" TargetMode="External"/><Relationship Id="rId11" Type="http://schemas.openxmlformats.org/officeDocument/2006/relationships/hyperlink" Target="https://www.sec.gov/Archives/edgar/data/1581990/000110465919032813/a19-10857_1ex3d1.htm" TargetMode="External"/><Relationship Id="rId12" Type="http://schemas.openxmlformats.org/officeDocument/2006/relationships/hyperlink" Target="https://www.sec.gov/Archives/edgar/data/1581990/000110465923093996/tm2324102d2_ex3-1.htm" TargetMode="External"/><Relationship Id="rId13" Type="http://schemas.openxmlformats.org/officeDocument/2006/relationships/hyperlink" Target="https://www.sec.gov/Archives/edgar/data/1070423/000095012908000071/h52770exv3w3.htm" TargetMode="External"/><Relationship Id="rId14" Type="http://schemas.openxmlformats.org/officeDocument/2006/relationships/hyperlink" Target="https://www.sec.gov/Archives/edgar/data/1070423/000089924302002834/dex41.txt" TargetMode="External"/><Relationship Id="rId15" Type="http://schemas.openxmlformats.org/officeDocument/2006/relationships/hyperlink" Target="https://www.sec.gov/Archives/edgar/data/1070423/000110465906034368/a06-11663_1ex4d1.htm" TargetMode="External"/><Relationship Id="rId16" Type="http://schemas.openxmlformats.org/officeDocument/2006/relationships/hyperlink" Target="https://www.sec.gov/Archives/edgar/data/1070423/000095012906009235/h40667exv4w2.htm" TargetMode="External"/><Relationship Id="rId17" Type="http://schemas.openxmlformats.org/officeDocument/2006/relationships/hyperlink" Target="https://www.sec.gov/Archives/edgar/data/1070423/000119312512132295/d321017dex43.htm" TargetMode="External"/><Relationship Id="rId18" Type="http://schemas.openxmlformats.org/officeDocument/2006/relationships/hyperlink" Target="https://www.sec.gov/Archives/edgar/data/1070423/000119312512499932/d453762dex43.htm" TargetMode="External"/><Relationship Id="rId19" Type="http://schemas.openxmlformats.org/officeDocument/2006/relationships/hyperlink" Target="https://www.sec.gov/Archives/edgar/data/1581990/000119312514164185/d717953dex41.htm" TargetMode="External"/><Relationship Id="rId20" Type="http://schemas.openxmlformats.org/officeDocument/2006/relationships/hyperlink" Target="https://www.sec.gov/Archives/edgar/data/1581990/000119312514338295/d787197dex41.htm" TargetMode="External"/><Relationship Id="rId21" Type="http://schemas.openxmlformats.org/officeDocument/2006/relationships/hyperlink" Target="https://www.sec.gov/Archives/edgar/data/1581990/000119312514440012/d835488dex43.htm" TargetMode="External"/><Relationship Id="rId22" Type="http://schemas.openxmlformats.org/officeDocument/2006/relationships/hyperlink" Target="https://www.sec.gov/Archives/edgar/data/1070423/000119312515302829/d45393dex41.htm" TargetMode="External"/><Relationship Id="rId23" Type="http://schemas.openxmlformats.org/officeDocument/2006/relationships/hyperlink" Target="https://www.sec.gov/Archives/edgar/data/1070423/000110465916159593/a16-22232_1ex4d1.htm" TargetMode="External"/><Relationship Id="rId24" Type="http://schemas.openxmlformats.org/officeDocument/2006/relationships/hyperlink" Target="https://www.sec.gov/Archives/edgar/data/1070423/000141057819001281/tv529555_ex4-1.htm" TargetMode="External"/><Relationship Id="rId25" Type="http://schemas.openxmlformats.org/officeDocument/2006/relationships/hyperlink" Target="https://www.sec.gov/Archives/edgar/data/1070423/000110465920072270/tm2022235d1_ex4-1.htm" TargetMode="External"/><Relationship Id="rId26" Type="http://schemas.openxmlformats.org/officeDocument/2006/relationships/hyperlink" Target="https://www.sec.gov/Archives/edgar/data/1070423/000110465924075672/tm2418387d1_ex4-1.htm" TargetMode="External"/><Relationship Id="rId27" Type="http://schemas.openxmlformats.org/officeDocument/2006/relationships/hyperlink" Target="https://www.sec.gov/Archives/edgar/data/1581990/000110465913078057/a13-22338_2ex4d1.htm" TargetMode="External"/><Relationship Id="rId28" Type="http://schemas.openxmlformats.org/officeDocument/2006/relationships/hyperlink" Target="https://www.sec.gov/Archives/edgar/data/1581990/000158199024000008/pagp202310-kexhibit414.htm"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28707</Words>
  <Characters>156231</Characters>
  <CharactersWithSpaces>182957</CharactersWithSpaces>
  <Paragraphs>4140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