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rFonts w:ascii="Times New Roman;sans-serif" w:hAnsi="Times New Roman;sans-serif"/>
          <w:b/>
          <w:color w:val="000000"/>
          <w:sz w:val="10"/>
        </w:rPr>
      </w:pPr>
      <w:r>
        <w:rPr>
          <w:rFonts w:ascii="Times New Roman;sans-serif" w:hAnsi="Times New Roman;sans-serif"/>
          <w:b/>
          <w:color w:val="000000"/>
          <w:sz w:val="10"/>
        </w:rPr>
        <w:t>________________________________________________________________________________________________________________________________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2023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1-36132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PLAINS GP HOLDINGS, L.P.</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90-1005472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333 Clay Street, Suite 1600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Houston, Texas 77002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(713) 646-4100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6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Shares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PAGP</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pPr>
      <w:r>
        <w:rPr>
          <w:color w:val="000000"/>
        </w:rPr>
        <w:t> </w:t>
      </w: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left"/>
        <w:rPr/>
      </w:pPr>
      <w:r>
        <w:rPr>
          <w:color w:val="000000"/>
        </w:rPr>
        <w:t> </w:t>
      </w: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July 31, 2023, there were 195,961,642 Class A Shares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59"/>
        <w:gridCol w:w="3063"/>
        <w:gridCol w:w="3071"/>
        <w:gridCol w:w="149"/>
        <w:gridCol w:w="149"/>
        <w:gridCol w:w="214"/>
      </w:tblGrid>
      <w:tr>
        <w:trPr/>
        <w:tc>
          <w:tcPr>
            <w:tcW w:w="3559"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0">
              <w:r>
                <w:rPr>
                  <w:rStyle w:val="InternetLink"/>
                  <w:rFonts w:ascii="Times New Roman;sans-serif" w:hAnsi="Times New Roman;sans-serif"/>
                  <w:b/>
                  <w:color w:val="0000FF"/>
                  <w:sz w:val="20"/>
                  <w:u w:val="single"/>
                </w:rPr>
                <w:t>PART I. FINANCIAL INFORMATION</w:t>
              </w:r>
            </w:hyperlink>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e23a965c44a22b0562866c5a10bf5_13">
              <w:r>
                <w:rPr>
                  <w:rStyle w:val="InternetLink"/>
                  <w:rFonts w:ascii="Times New Roman;sans-serif" w:hAnsi="Times New Roman;sans-serif"/>
                  <w:b w:val="false"/>
                  <w:color w:val="0000FF"/>
                  <w:sz w:val="20"/>
                  <w:u w:val="single"/>
                </w:rPr>
                <w:t>Item 1. UNAUDITED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e23a965c44a22b0562866c5a10bf5_16">
              <w:r>
                <w:rPr>
                  <w:rStyle w:val="InternetLink"/>
                  <w:rFonts w:ascii="Times New Roman;sans-serif" w:hAnsi="Times New Roman;sans-serif"/>
                  <w:b w:val="false"/>
                  <w:color w:val="000080"/>
                  <w:sz w:val="20"/>
                  <w:u w:val="single"/>
                </w:rPr>
                <w:t xml:space="preserve">Condensed Consolidated Balance Sheets: As of </w:t>
              </w:r>
            </w:hyperlink>
            <w:hyperlink w:anchor="i830e23a965c44a22b0562866c5a10bf5_16">
              <w:r>
                <w:rPr>
                  <w:rStyle w:val="InternetLink"/>
                  <w:rFonts w:ascii="Times New Roman;sans-serif" w:hAnsi="Times New Roman;sans-serif"/>
                  <w:b w:val="false"/>
                  <w:color w:val="000080"/>
                  <w:sz w:val="20"/>
                  <w:u w:val="single"/>
                </w:rPr>
                <w:t>June 30</w:t>
              </w:r>
            </w:hyperlink>
            <w:hyperlink w:anchor="i830e23a965c44a22b0562866c5a10bf5_16">
              <w:r>
                <w:rPr>
                  <w:rStyle w:val="InternetLink"/>
                  <w:rFonts w:ascii="Times New Roman;sans-serif" w:hAnsi="Times New Roman;sans-serif"/>
                  <w:b w:val="false"/>
                  <w:color w:val="000080"/>
                  <w:sz w:val="20"/>
                  <w:u w:val="single"/>
                </w:rPr>
                <w:t>, 2023 and December 31,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6">
              <w:r>
                <w:rPr>
                  <w:rStyle w:val="InternetLink"/>
                  <w:rFonts w:ascii="Times New Roman;sans-serif" w:hAnsi="Times New Roman;sans-serif"/>
                  <w:b w:val="false"/>
                  <w:color w:val="0000FF"/>
                  <w:sz w:val="20"/>
                  <w:u w:val="single"/>
                </w:rPr>
                <w:t>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9">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830e23a965c44a22b0562866c5a10bf5_19">
              <w:r>
                <w:rPr>
                  <w:rStyle w:val="InternetLink"/>
                  <w:rFonts w:ascii="Times New Roman;sans-serif" w:hAnsi="Times New Roman;sans-serif"/>
                  <w:b w:val="false"/>
                  <w:color w:val="000080"/>
                  <w:sz w:val="20"/>
                  <w:u w:val="single"/>
                </w:rPr>
                <w:t xml:space="preserve">and six </w:t>
              </w:r>
            </w:hyperlink>
            <w:hyperlink w:anchor="i830e23a965c44a22b0562866c5a10bf5_19">
              <w:r>
                <w:rPr>
                  <w:rStyle w:val="InternetLink"/>
                  <w:rFonts w:ascii="Times New Roman;sans-serif" w:hAnsi="Times New Roman;sans-serif"/>
                  <w:b w:val="false"/>
                  <w:color w:val="000080"/>
                  <w:sz w:val="20"/>
                  <w:u w:val="single"/>
                </w:rPr>
                <w:t xml:space="preserve">months ended </w:t>
              </w:r>
            </w:hyperlink>
            <w:hyperlink w:anchor="i830e23a965c44a22b0562866c5a10bf5_19">
              <w:r>
                <w:rPr>
                  <w:rStyle w:val="InternetLink"/>
                  <w:rFonts w:ascii="Times New Roman;sans-serif" w:hAnsi="Times New Roman;sans-serif"/>
                  <w:b w:val="false"/>
                  <w:color w:val="000080"/>
                  <w:sz w:val="20"/>
                  <w:u w:val="single"/>
                </w:rPr>
                <w:t>June 30</w:t>
              </w:r>
            </w:hyperlink>
            <w:hyperlink w:anchor="i830e23a965c44a22b0562866c5a10bf5_19">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9">
              <w:r>
                <w:rPr>
                  <w:rStyle w:val="InternetLink"/>
                  <w:rFonts w:ascii="Times New Roman;sans-serif" w:hAnsi="Times New Roman;sans-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22">
              <w:r>
                <w:rPr>
                  <w:rStyle w:val="InternetLink"/>
                  <w:rFonts w:ascii="Times New Roman;sans-serif" w:hAnsi="Times New Roman;sans-serif"/>
                  <w:b w:val="false"/>
                  <w:color w:val="000080"/>
                  <w:sz w:val="20"/>
                  <w:u w:val="single"/>
                </w:rPr>
                <w:t>Condensed Consolidated Statements of Comprehensive Income/(Loss): For the three</w:t>
              </w:r>
            </w:hyperlink>
            <w:hyperlink w:anchor="i830e23a965c44a22b0562866c5a10bf5_22">
              <w:r>
                <w:rPr>
                  <w:rStyle w:val="InternetLink"/>
                  <w:rFonts w:ascii="Times New Roman;sans-serif" w:hAnsi="Times New Roman;sans-serif"/>
                  <w:b w:val="false"/>
                  <w:color w:val="000080"/>
                  <w:sz w:val="20"/>
                  <w:u w:val="single"/>
                </w:rPr>
                <w:t xml:space="preserve"> and six</w:t>
              </w:r>
            </w:hyperlink>
            <w:hyperlink w:anchor="i830e23a965c44a22b0562866c5a10bf5_22">
              <w:r>
                <w:rPr>
                  <w:rStyle w:val="InternetLink"/>
                  <w:rFonts w:ascii="Times New Roman;sans-serif" w:hAnsi="Times New Roman;sans-serif"/>
                  <w:b w:val="false"/>
                  <w:color w:val="000080"/>
                  <w:sz w:val="20"/>
                  <w:u w:val="single"/>
                </w:rPr>
                <w:t xml:space="preserve"> months ended </w:t>
              </w:r>
            </w:hyperlink>
            <w:hyperlink w:anchor="i830e23a965c44a22b0562866c5a10bf5_22">
              <w:r>
                <w:rPr>
                  <w:rStyle w:val="InternetLink"/>
                  <w:rFonts w:ascii="Times New Roman;sans-serif" w:hAnsi="Times New Roman;sans-serif"/>
                  <w:b w:val="false"/>
                  <w:color w:val="000080"/>
                  <w:sz w:val="20"/>
                  <w:u w:val="single"/>
                </w:rPr>
                <w:t>June 30</w:t>
              </w:r>
            </w:hyperlink>
            <w:hyperlink w:anchor="i830e23a965c44a22b0562866c5a10bf5_22">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22">
              <w:r>
                <w:rPr>
                  <w:rStyle w:val="InternetLink"/>
                  <w:rFonts w:ascii="Times New Roman;sans-serif" w:hAnsi="Times New Roman;sans-serif"/>
                  <w:b w:val="false"/>
                  <w:color w:val="0000FF"/>
                  <w:sz w:val="20"/>
                  <w:u w:val="single"/>
                </w:rPr>
                <w:t>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25">
              <w:r>
                <w:rPr>
                  <w:rStyle w:val="InternetLink"/>
                  <w:rFonts w:ascii="Times New Roman;sans-serif" w:hAnsi="Times New Roman;sans-serif"/>
                  <w:b w:val="false"/>
                  <w:color w:val="000080"/>
                  <w:sz w:val="20"/>
                  <w:u w:val="single"/>
                </w:rPr>
                <w:t xml:space="preserve">Condensed Consolidated Statements of Changes in Accumulated Other Comprehensive Income/(Loss): For the three </w:t>
              </w:r>
            </w:hyperlink>
            <w:hyperlink w:anchor="i830e23a965c44a22b0562866c5a10bf5_25">
              <w:r>
                <w:rPr>
                  <w:rStyle w:val="InternetLink"/>
                  <w:rFonts w:ascii="Times New Roman;sans-serif" w:hAnsi="Times New Roman;sans-serif"/>
                  <w:b w:val="false"/>
                  <w:color w:val="000080"/>
                  <w:sz w:val="20"/>
                  <w:u w:val="single"/>
                </w:rPr>
                <w:t xml:space="preserve">and six </w:t>
              </w:r>
            </w:hyperlink>
            <w:hyperlink w:anchor="i830e23a965c44a22b0562866c5a10bf5_25">
              <w:r>
                <w:rPr>
                  <w:rStyle w:val="InternetLink"/>
                  <w:rFonts w:ascii="Times New Roman;sans-serif" w:hAnsi="Times New Roman;sans-serif"/>
                  <w:b w:val="false"/>
                  <w:color w:val="000080"/>
                  <w:sz w:val="20"/>
                  <w:u w:val="single"/>
                </w:rPr>
                <w:t xml:space="preserve">months ended </w:t>
              </w:r>
            </w:hyperlink>
            <w:hyperlink w:anchor="i830e23a965c44a22b0562866c5a10bf5_25">
              <w:r>
                <w:rPr>
                  <w:rStyle w:val="InternetLink"/>
                  <w:rFonts w:ascii="Times New Roman;sans-serif" w:hAnsi="Times New Roman;sans-serif"/>
                  <w:b w:val="false"/>
                  <w:color w:val="000080"/>
                  <w:sz w:val="20"/>
                  <w:u w:val="single"/>
                </w:rPr>
                <w:t>June 30</w:t>
              </w:r>
            </w:hyperlink>
            <w:hyperlink w:anchor="i830e23a965c44a22b0562866c5a10bf5_25">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25">
              <w:r>
                <w:rPr>
                  <w:rStyle w:val="InternetLink"/>
                  <w:rFonts w:ascii="Times New Roman;sans-serif" w:hAnsi="Times New Roman;sans-serif"/>
                  <w:b w:val="false"/>
                  <w:color w:val="0000FF"/>
                  <w:sz w:val="20"/>
                  <w:u w:val="single"/>
                </w:rPr>
                <w:t>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e23a965c44a22b0562866c5a10bf5_28">
              <w:r>
                <w:rPr>
                  <w:rStyle w:val="InternetLink"/>
                  <w:rFonts w:ascii="Times New Roman;sans-serif" w:hAnsi="Times New Roman;sans-serif"/>
                  <w:b w:val="false"/>
                  <w:color w:val="000080"/>
                  <w:sz w:val="20"/>
                  <w:u w:val="single"/>
                </w:rPr>
                <w:t xml:space="preserve">Condensed Consolidated Statements of Cash Flows: For the </w:t>
              </w:r>
            </w:hyperlink>
            <w:hyperlink w:anchor="i830e23a965c44a22b0562866c5a10bf5_28">
              <w:r>
                <w:rPr>
                  <w:rStyle w:val="InternetLink"/>
                  <w:rFonts w:ascii="Times New Roman;sans-serif" w:hAnsi="Times New Roman;sans-serif"/>
                  <w:b w:val="false"/>
                  <w:color w:val="000080"/>
                  <w:sz w:val="20"/>
                  <w:u w:val="single"/>
                </w:rPr>
                <w:t>six</w:t>
              </w:r>
            </w:hyperlink>
            <w:hyperlink w:anchor="i830e23a965c44a22b0562866c5a10bf5_28">
              <w:r>
                <w:rPr>
                  <w:rStyle w:val="InternetLink"/>
                  <w:rFonts w:ascii="Times New Roman;sans-serif" w:hAnsi="Times New Roman;sans-serif"/>
                  <w:b w:val="false"/>
                  <w:color w:val="000080"/>
                  <w:sz w:val="20"/>
                  <w:u w:val="single"/>
                </w:rPr>
                <w:t xml:space="preserve"> months ended </w:t>
              </w:r>
            </w:hyperlink>
            <w:hyperlink w:anchor="i830e23a965c44a22b0562866c5a10bf5_28">
              <w:r>
                <w:rPr>
                  <w:rStyle w:val="InternetLink"/>
                  <w:rFonts w:ascii="Times New Roman;sans-serif" w:hAnsi="Times New Roman;sans-serif"/>
                  <w:b w:val="false"/>
                  <w:color w:val="000080"/>
                  <w:sz w:val="20"/>
                  <w:u w:val="single"/>
                </w:rPr>
                <w:t>June 30</w:t>
              </w:r>
            </w:hyperlink>
            <w:hyperlink w:anchor="i830e23a965c44a22b0562866c5a10bf5_28">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28">
              <w:r>
                <w:rPr>
                  <w:rStyle w:val="InternetLink"/>
                  <w:rFonts w:ascii="Times New Roman;sans-serif" w:hAnsi="Times New Roman;sans-serif"/>
                  <w:b w:val="false"/>
                  <w:color w:val="0000FF"/>
                  <w:sz w:val="20"/>
                  <w:u w:val="single"/>
                </w:rPr>
                <w:t>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31">
              <w:r>
                <w:rPr>
                  <w:rStyle w:val="InternetLink"/>
                  <w:rFonts w:ascii="Times New Roman;sans-serif" w:hAnsi="Times New Roman;sans-serif"/>
                  <w:b w:val="false"/>
                  <w:color w:val="000080"/>
                  <w:sz w:val="20"/>
                  <w:u w:val="single"/>
                </w:rPr>
                <w:t xml:space="preserve">Condensed Consolidated Statements of Changes in Partners’ Capital: For the three </w:t>
              </w:r>
            </w:hyperlink>
            <w:hyperlink w:anchor="i830e23a965c44a22b0562866c5a10bf5_31">
              <w:r>
                <w:rPr>
                  <w:rStyle w:val="InternetLink"/>
                  <w:rFonts w:ascii="Times New Roman;sans-serif" w:hAnsi="Times New Roman;sans-serif"/>
                  <w:b w:val="false"/>
                  <w:color w:val="000080"/>
                  <w:sz w:val="20"/>
                  <w:u w:val="single"/>
                </w:rPr>
                <w:t xml:space="preserve">and six </w:t>
              </w:r>
            </w:hyperlink>
            <w:hyperlink w:anchor="i830e23a965c44a22b0562866c5a10bf5_31">
              <w:r>
                <w:rPr>
                  <w:rStyle w:val="InternetLink"/>
                  <w:rFonts w:ascii="Times New Roman;sans-serif" w:hAnsi="Times New Roman;sans-serif"/>
                  <w:b w:val="false"/>
                  <w:color w:val="000080"/>
                  <w:sz w:val="20"/>
                  <w:u w:val="single"/>
                </w:rPr>
                <w:t xml:space="preserve">months ended </w:t>
              </w:r>
            </w:hyperlink>
            <w:hyperlink w:anchor="i830e23a965c44a22b0562866c5a10bf5_31">
              <w:r>
                <w:rPr>
                  <w:rStyle w:val="InternetLink"/>
                  <w:rFonts w:ascii="Times New Roman;sans-serif" w:hAnsi="Times New Roman;sans-serif"/>
                  <w:b w:val="false"/>
                  <w:color w:val="000080"/>
                  <w:sz w:val="20"/>
                  <w:u w:val="single"/>
                </w:rPr>
                <w:t>June 30</w:t>
              </w:r>
            </w:hyperlink>
            <w:hyperlink w:anchor="i830e23a965c44a22b0562866c5a10bf5_31">
              <w:r>
                <w:rPr>
                  <w:rStyle w:val="InternetLink"/>
                  <w:rFonts w:ascii="Times New Roman;sans-serif" w:hAnsi="Times New Roman;sans-serif"/>
                  <w:b w:val="false"/>
                  <w:color w:val="000080"/>
                  <w:sz w:val="20"/>
                  <w:u w:val="single"/>
                </w:rPr>
                <w:t>, 2023 and 2022</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31">
              <w:r>
                <w:rPr>
                  <w:rStyle w:val="InternetLink"/>
                  <w:rFonts w:ascii="Times New Roman;sans-serif" w:hAnsi="Times New Roman;sans-serif"/>
                  <w:b w:val="false"/>
                  <w:color w:val="0000FF"/>
                  <w:sz w:val="20"/>
                  <w:u w:val="single"/>
                </w:rPr>
                <w:t>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34">
              <w:r>
                <w:rPr>
                  <w:rStyle w:val="InternetLink"/>
                  <w:rFonts w:ascii="Times New Roman;sans-serif" w:hAnsi="Times New Roman;sans-serif"/>
                  <w:b w:val="false"/>
                  <w:color w:val="0000FF"/>
                  <w:sz w:val="20"/>
                  <w:u w:val="single"/>
                </w:rPr>
                <w:t>Notes to the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37">
              <w:r>
                <w:rPr>
                  <w:rStyle w:val="InternetLink"/>
                  <w:rFonts w:ascii="Times New Roman;sans-serif" w:hAnsi="Times New Roman;sans-serif"/>
                  <w:b w:val="false"/>
                  <w:color w:val="0000FF"/>
                  <w:sz w:val="20"/>
                  <w:u w:val="single"/>
                </w:rPr>
                <w:t>1. Organization and Basis of Consolidation and Presentation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37">
              <w:r>
                <w:rPr>
                  <w:rStyle w:val="InternetLink"/>
                  <w:rFonts w:ascii="Times New Roman;sans-serif" w:hAnsi="Times New Roman;sans-serif"/>
                  <w:b w:val="false"/>
                  <w:color w:val="0000FF"/>
                  <w:sz w:val="20"/>
                  <w:u w:val="single"/>
                </w:rPr>
                <w:t>8</w:t>
              </w:r>
            </w:hyperlink>
          </w:p>
        </w:tc>
      </w:tr>
      <w:tr>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0e23a965c44a22b0562866c5a10bf5_43">
              <w:r>
                <w:rPr>
                  <w:rStyle w:val="InternetLink"/>
                  <w:rFonts w:ascii="Times New Roman;sans-serif" w:hAnsi="Times New Roman;sans-serif"/>
                  <w:b w:val="false"/>
                  <w:color w:val="0000FF"/>
                  <w:sz w:val="20"/>
                  <w:u w:val="single"/>
                </w:rPr>
                <w:t>2. Revenues and Accounts Receivable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43">
              <w:r>
                <w:rPr>
                  <w:rStyle w:val="InternetLink"/>
                  <w:rFonts w:ascii="Times New Roman;sans-serif" w:hAnsi="Times New Roman;sans-serif"/>
                  <w:b w:val="false"/>
                  <w:color w:val="0000FF"/>
                  <w:sz w:val="20"/>
                  <w:u w:val="single"/>
                </w:rPr>
                <w:t>11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49">
              <w:r>
                <w:rPr>
                  <w:rStyle w:val="InternetLink"/>
                  <w:rFonts w:ascii="Times New Roman;sans-serif" w:hAnsi="Times New Roman;sans-serif"/>
                  <w:b w:val="false"/>
                  <w:color w:val="0000FF"/>
                  <w:sz w:val="20"/>
                  <w:u w:val="single"/>
                </w:rPr>
                <w:t>3. Net Income Per Class A Share</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49">
              <w:r>
                <w:rPr>
                  <w:rStyle w:val="InternetLink"/>
                  <w:rFonts w:ascii="Times New Roman;sans-serif" w:hAnsi="Times New Roman;sans-serif"/>
                  <w:b w:val="false"/>
                  <w:color w:val="0000FF"/>
                  <w:sz w:val="20"/>
                  <w:u w:val="single"/>
                </w:rPr>
                <w:t>14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52">
              <w:r>
                <w:rPr>
                  <w:rStyle w:val="InternetLink"/>
                  <w:rFonts w:ascii="Times New Roman;sans-serif" w:hAnsi="Times New Roman;sans-serif"/>
                  <w:b w:val="false"/>
                  <w:color w:val="0000FF"/>
                  <w:sz w:val="20"/>
                  <w:u w:val="single"/>
                </w:rPr>
                <w:t>4. Inventory, Linefill and Long-term Inventory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52">
              <w:r>
                <w:rPr>
                  <w:rStyle w:val="InternetLink"/>
                  <w:rFonts w:ascii="Times New Roman;sans-serif" w:hAnsi="Times New Roman;sans-serif"/>
                  <w:b w:val="false"/>
                  <w:color w:val="0000FF"/>
                  <w:sz w:val="20"/>
                  <w:u w:val="single"/>
                </w:rPr>
                <w:t>15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55">
              <w:r>
                <w:rPr>
                  <w:rStyle w:val="InternetLink"/>
                  <w:rFonts w:ascii="Times New Roman;sans-serif" w:hAnsi="Times New Roman;sans-serif"/>
                  <w:b w:val="false"/>
                  <w:color w:val="0000FF"/>
                  <w:sz w:val="20"/>
                  <w:u w:val="single"/>
                </w:rPr>
                <w:t>5. Debt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55">
              <w:r>
                <w:rPr>
                  <w:rStyle w:val="InternetLink"/>
                  <w:rFonts w:ascii="Times New Roman;sans-serif" w:hAnsi="Times New Roman;sans-serif"/>
                  <w:b w:val="false"/>
                  <w:color w:val="0000FF"/>
                  <w:sz w:val="20"/>
                  <w:u w:val="single"/>
                </w:rPr>
                <w:t>16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58">
              <w:r>
                <w:rPr>
                  <w:rStyle w:val="InternetLink"/>
                  <w:rFonts w:ascii="Times New Roman;sans-serif" w:hAnsi="Times New Roman;sans-serif"/>
                  <w:b w:val="false"/>
                  <w:color w:val="0000FF"/>
                  <w:sz w:val="20"/>
                  <w:u w:val="single"/>
                </w:rPr>
                <w:t>6. Partners’ Capital and Distributions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58">
              <w:r>
                <w:rPr>
                  <w:rStyle w:val="InternetLink"/>
                  <w:rFonts w:ascii="Times New Roman;sans-serif" w:hAnsi="Times New Roman;sans-serif"/>
                  <w:b w:val="false"/>
                  <w:color w:val="0000FF"/>
                  <w:sz w:val="20"/>
                  <w:u w:val="single"/>
                </w:rPr>
                <w:t>17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61">
              <w:r>
                <w:rPr>
                  <w:rStyle w:val="InternetLink"/>
                  <w:rFonts w:ascii="Times New Roman;sans-serif" w:hAnsi="Times New Roman;sans-serif"/>
                  <w:b w:val="false"/>
                  <w:color w:val="0000FF"/>
                  <w:sz w:val="20"/>
                  <w:u w:val="single"/>
                </w:rPr>
                <w:t>7. Derivatives and Risk Management Activities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61">
              <w:r>
                <w:rPr>
                  <w:rStyle w:val="InternetLink"/>
                  <w:rFonts w:ascii="Times New Roman;sans-serif" w:hAnsi="Times New Roman;sans-serif"/>
                  <w:b w:val="false"/>
                  <w:color w:val="0000FF"/>
                  <w:sz w:val="20"/>
                  <w:u w:val="single"/>
                </w:rPr>
                <w:t>20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64">
              <w:r>
                <w:rPr>
                  <w:rStyle w:val="InternetLink"/>
                  <w:rFonts w:ascii="Times New Roman;sans-serif" w:hAnsi="Times New Roman;sans-serif"/>
                  <w:b w:val="false"/>
                  <w:color w:val="0000FF"/>
                  <w:sz w:val="20"/>
                  <w:u w:val="single"/>
                </w:rPr>
                <w:t>8. Related Party Transactions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64">
              <w:r>
                <w:rPr>
                  <w:rStyle w:val="InternetLink"/>
                  <w:rFonts w:ascii="Times New Roman;sans-serif" w:hAnsi="Times New Roman;sans-serif"/>
                  <w:b w:val="false"/>
                  <w:color w:val="0000FF"/>
                  <w:sz w:val="20"/>
                  <w:u w:val="single"/>
                </w:rPr>
                <w:t>24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67">
              <w:r>
                <w:rPr>
                  <w:rStyle w:val="InternetLink"/>
                  <w:rFonts w:ascii="Times New Roman;sans-serif" w:hAnsi="Times New Roman;sans-serif"/>
                  <w:b w:val="false"/>
                  <w:color w:val="0000FF"/>
                  <w:sz w:val="20"/>
                  <w:u w:val="single"/>
                </w:rPr>
                <w:t>9. Commitments and Contingencies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67">
              <w:r>
                <w:rPr>
                  <w:rStyle w:val="InternetLink"/>
                  <w:rFonts w:ascii="Times New Roman;sans-serif" w:hAnsi="Times New Roman;sans-serif"/>
                  <w:b w:val="false"/>
                  <w:color w:val="0000FF"/>
                  <w:sz w:val="20"/>
                  <w:u w:val="single"/>
                </w:rPr>
                <w:t>25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70">
              <w:r>
                <w:rPr>
                  <w:rStyle w:val="InternetLink"/>
                  <w:rFonts w:ascii="Times New Roman;sans-serif" w:hAnsi="Times New Roman;sans-serif"/>
                  <w:b w:val="false"/>
                  <w:color w:val="0000FF"/>
                  <w:sz w:val="20"/>
                  <w:u w:val="single"/>
                </w:rPr>
                <w:t>10. Segment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70">
              <w:r>
                <w:rPr>
                  <w:rStyle w:val="InternetLink"/>
                  <w:rFonts w:ascii="Times New Roman;sans-serif" w:hAnsi="Times New Roman;sans-serif"/>
                  <w:b w:val="false"/>
                  <w:color w:val="0000FF"/>
                  <w:sz w:val="20"/>
                  <w:u w:val="single"/>
                </w:rPr>
                <w:t>30</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73">
              <w:r>
                <w:rPr>
                  <w:rStyle w:val="InternetLink"/>
                  <w:rFonts w:ascii="Times New Roman;sans-serif" w:hAnsi="Times New Roman;sans-serif"/>
                  <w:b w:val="false"/>
                  <w:color w:val="000080"/>
                  <w:sz w:val="20"/>
                  <w:u w:val="single"/>
                </w:rPr>
                <w:t xml:space="preserve">11. </w:t>
              </w:r>
            </w:hyperlink>
            <w:hyperlink w:anchor="i830e23a965c44a22b0562866c5a10bf5_73">
              <w:r>
                <w:rPr>
                  <w:rStyle w:val="InternetLink"/>
                  <w:rFonts w:ascii="Times New Roman;sans-serif" w:hAnsi="Times New Roman;sans-serif"/>
                  <w:b w:val="false"/>
                  <w:color w:val="000080"/>
                  <w:sz w:val="20"/>
                  <w:u w:val="single"/>
                </w:rPr>
                <w:t xml:space="preserve">Acquisitions and </w:t>
              </w:r>
            </w:hyperlink>
            <w:hyperlink w:anchor="i830e23a965c44a22b0562866c5a10bf5_73">
              <w:r>
                <w:rPr>
                  <w:rStyle w:val="InternetLink"/>
                  <w:rFonts w:ascii="Times New Roman;sans-serif" w:hAnsi="Times New Roman;sans-serif"/>
                  <w:b w:val="false"/>
                  <w:color w:val="000080"/>
                  <w:sz w:val="20"/>
                  <w:u w:val="single"/>
                </w:rPr>
                <w:t>Divestitures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73">
              <w:r>
                <w:rPr>
                  <w:rStyle w:val="InternetLink"/>
                  <w:rFonts w:ascii="Times New Roman;sans-serif" w:hAnsi="Times New Roman;sans-serif"/>
                  <w:b w:val="false"/>
                  <w:color w:val="0000FF"/>
                  <w:sz w:val="20"/>
                  <w:u w:val="single"/>
                </w:rPr>
                <w:t>33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830e23a965c44a22b0562866c5a10bf5_79">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79">
              <w:r>
                <w:rPr>
                  <w:rStyle w:val="InternetLink"/>
                  <w:rFonts w:ascii="Times New Roman;sans-serif" w:hAnsi="Times New Roman;sans-serif"/>
                  <w:b w:val="false"/>
                  <w:color w:val="0000FF"/>
                  <w:sz w:val="20"/>
                  <w:u w:val="single"/>
                </w:rPr>
                <w:t>34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12">
              <w:r>
                <w:rPr>
                  <w:rStyle w:val="InternetLink"/>
                  <w:rFonts w:ascii="Times New Roman;sans-serif" w:hAnsi="Times New Roman;sans-serif"/>
                  <w:b w:val="false"/>
                  <w:color w:val="0000FF"/>
                  <w:sz w:val="20"/>
                  <w:u w:val="single"/>
                </w:rPr>
                <w:t>Item 3. QUANTITATIVE AND QUALITATIVE DISCLOSURES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12">
              <w:r>
                <w:rPr>
                  <w:rStyle w:val="InternetLink"/>
                  <w:rFonts w:ascii="Times New Roman;sans-serif" w:hAnsi="Times New Roman;sans-serif"/>
                  <w:b w:val="false"/>
                  <w:color w:val="0000FF"/>
                  <w:sz w:val="20"/>
                  <w:u w:val="single"/>
                </w:rPr>
                <w:t>51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15">
              <w:r>
                <w:rPr>
                  <w:rStyle w:val="InternetLink"/>
                  <w:rFonts w:ascii="Times New Roman;sans-serif" w:hAnsi="Times New Roman;sans-serif"/>
                  <w:b w:val="false"/>
                  <w:color w:val="0000FF"/>
                  <w:sz w:val="20"/>
                  <w:u w:val="singl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15">
              <w:r>
                <w:rPr>
                  <w:rStyle w:val="InternetLink"/>
                  <w:rFonts w:ascii="Times New Roman;sans-serif" w:hAnsi="Times New Roman;sans-serif"/>
                  <w:b w:val="false"/>
                  <w:color w:val="0000FF"/>
                  <w:sz w:val="20"/>
                  <w:u w:val="single"/>
                </w:rPr>
                <w:t>53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18">
              <w:r>
                <w:rPr>
                  <w:rStyle w:val="InternetLink"/>
                  <w:rFonts w:ascii="Times New Roman;sans-serif" w:hAnsi="Times New Roman;sans-serif"/>
                  <w:b/>
                  <w:color w:val="0000FF"/>
                  <w:sz w:val="20"/>
                  <w:u w:val="single"/>
                </w:rPr>
                <w:t>PART II.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21">
              <w:r>
                <w:rPr>
                  <w:rStyle w:val="InternetLink"/>
                  <w:rFonts w:ascii="Times New Roman;sans-serif" w:hAnsi="Times New Roman;sans-serif"/>
                  <w:b w:val="false"/>
                  <w:color w:val="0000FF"/>
                  <w:sz w:val="20"/>
                  <w:u w:val="singl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21">
              <w:r>
                <w:rPr>
                  <w:rStyle w:val="InternetLink"/>
                  <w:rFonts w:ascii="Times New Roman;sans-serif" w:hAnsi="Times New Roman;sans-serif"/>
                  <w:b w:val="false"/>
                  <w:color w:val="0000FF"/>
                  <w:sz w:val="20"/>
                  <w:u w:val="single"/>
                </w:rPr>
                <w:t>53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24">
              <w:r>
                <w:rPr>
                  <w:rStyle w:val="InternetLink"/>
                  <w:rFonts w:ascii="Times New Roman;sans-serif" w:hAnsi="Times New Roman;sans-serif"/>
                  <w:b w:val="false"/>
                  <w:color w:val="0000FF"/>
                  <w:sz w:val="20"/>
                  <w:u w:val="single"/>
                </w:rPr>
                <w:t>Item 1A. RISK FACTORS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24">
              <w:r>
                <w:rPr>
                  <w:rStyle w:val="InternetLink"/>
                  <w:rFonts w:ascii="Times New Roman;sans-serif" w:hAnsi="Times New Roman;sans-serif"/>
                  <w:b w:val="false"/>
                  <w:color w:val="0000FF"/>
                  <w:sz w:val="20"/>
                  <w:u w:val="single"/>
                </w:rPr>
                <w:t>53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27">
              <w:r>
                <w:rPr>
                  <w:rStyle w:val="InternetLink"/>
                  <w:rFonts w:ascii="Times New Roman;sans-serif" w:hAnsi="Times New Roman;sans-serif"/>
                  <w:b w:val="false"/>
                  <w:color w:val="0000FF"/>
                  <w:sz w:val="20"/>
                  <w:u w:val="single"/>
                </w:rPr>
                <w:t>Item 2. 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27">
              <w:r>
                <w:rPr>
                  <w:rStyle w:val="InternetLink"/>
                  <w:rFonts w:ascii="Times New Roman;sans-serif" w:hAnsi="Times New Roman;sans-serif"/>
                  <w:b w:val="false"/>
                  <w:color w:val="0000FF"/>
                  <w:sz w:val="20"/>
                  <w:u w:val="single"/>
                </w:rPr>
                <w:t>54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30">
              <w:r>
                <w:rPr>
                  <w:rStyle w:val="InternetLink"/>
                  <w:rFonts w:ascii="Times New Roman;sans-serif" w:hAnsi="Times New Roman;sans-serif"/>
                  <w:b w:val="false"/>
                  <w:color w:val="0000FF"/>
                  <w:sz w:val="20"/>
                  <w:u w:val="single"/>
                </w:rPr>
                <w:t>Item 3. DEFAULTS UPON SENIOR SECURITIES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30">
              <w:r>
                <w:rPr>
                  <w:rStyle w:val="InternetLink"/>
                  <w:rFonts w:ascii="Times New Roman;sans-serif" w:hAnsi="Times New Roman;sans-serif"/>
                  <w:b w:val="false"/>
                  <w:color w:val="0000FF"/>
                  <w:sz w:val="20"/>
                  <w:u w:val="single"/>
                </w:rPr>
                <w:t>54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33">
              <w:r>
                <w:rPr>
                  <w:rStyle w:val="InternetLink"/>
                  <w:rFonts w:ascii="Times New Roman;sans-serif" w:hAnsi="Times New Roman;sans-serif"/>
                  <w:b w:val="false"/>
                  <w:color w:val="0000FF"/>
                  <w:sz w:val="20"/>
                  <w:u w:val="singl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33">
              <w:r>
                <w:rPr>
                  <w:rStyle w:val="InternetLink"/>
                  <w:rFonts w:ascii="Times New Roman;sans-serif" w:hAnsi="Times New Roman;sans-serif"/>
                  <w:b w:val="false"/>
                  <w:color w:val="0000FF"/>
                  <w:sz w:val="20"/>
                  <w:u w:val="single"/>
                </w:rPr>
                <w:t>54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36">
              <w:r>
                <w:rPr>
                  <w:rStyle w:val="InternetLink"/>
                  <w:rFonts w:ascii="Times New Roman;sans-serif" w:hAnsi="Times New Roman;sans-serif"/>
                  <w:b w:val="false"/>
                  <w:color w:val="0000FF"/>
                  <w:sz w:val="20"/>
                  <w:u w:val="singl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36">
              <w:r>
                <w:rPr>
                  <w:rStyle w:val="InternetLink"/>
                  <w:rFonts w:ascii="Times New Roman;sans-serif" w:hAnsi="Times New Roman;sans-serif"/>
                  <w:b w:val="false"/>
                  <w:color w:val="0000FF"/>
                  <w:sz w:val="20"/>
                  <w:u w:val="single"/>
                </w:rPr>
                <w:t>54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39">
              <w:r>
                <w:rPr>
                  <w:rStyle w:val="InternetLink"/>
                  <w:rFonts w:ascii="Times New Roman;sans-serif" w:hAnsi="Times New Roman;sans-serif"/>
                  <w:b w:val="false"/>
                  <w:color w:val="0000FF"/>
                  <w:sz w:val="20"/>
                  <w:u w:val="single"/>
                </w:rPr>
                <w:t>Item 6.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39">
              <w:r>
                <w:rPr>
                  <w:rStyle w:val="InternetLink"/>
                  <w:rFonts w:ascii="Times New Roman;sans-serif" w:hAnsi="Times New Roman;sans-serif"/>
                  <w:b w:val="false"/>
                  <w:color w:val="0000FF"/>
                  <w:sz w:val="20"/>
                  <w:u w:val="single"/>
                </w:rPr>
                <w:t>55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30e23a965c44a22b0562866c5a10bf5_145">
              <w:r>
                <w:rPr>
                  <w:rStyle w:val="InternetLink"/>
                  <w:rFonts w:ascii="Times New Roman;sans-serif" w:hAnsi="Times New Roman;sans-serif"/>
                  <w:b w:val="false"/>
                  <w:color w:val="0000FF"/>
                  <w:sz w:val="20"/>
                  <w:u w:val="single"/>
                </w:rPr>
                <w:t>SIGNATURES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30e23a965c44a22b0562866c5a10bf5_145">
              <w:r>
                <w:rPr>
                  <w:rStyle w:val="InternetLink"/>
                  <w:rFonts w:ascii="Times New Roman;sans-serif" w:hAnsi="Times New Roman;sans-serif"/>
                  <w:b w:val="false"/>
                  <w:color w:val="0000FF"/>
                  <w:sz w:val="20"/>
                  <w:u w:val="single"/>
                </w:rPr>
                <w:t>58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ans-serif" w:hAnsi="Times New Roman;sans-serif"/>
          <w:b/>
          <w:color w:val="000000"/>
          <w:sz w:val="20"/>
        </w:rPr>
        <w:t>Item 1.</w:t>
      </w:r>
      <w:r>
        <w:rPr>
          <w:color w:val="000000"/>
        </w:rPr>
        <w:t>    </w:t>
      </w:r>
      <w:r>
        <w:rPr>
          <w:rFonts w:ascii="Times New Roman;sans-serif" w:hAnsi="Times New Roman;sans-serif"/>
          <w:b/>
          <w:color w:val="000000"/>
          <w:sz w:val="20"/>
        </w:rPr>
        <w:t>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(in millions, except share data)</w:t>
      </w:r>
    </w:p>
    <w:tbl>
      <w:tblPr>
        <w:tblW w:w="9572" w:type="dxa"/>
        <w:jc w:val="center"/>
        <w:tblInd w:w="0" w:type="dxa"/>
        <w:tblLayout w:type="fixed"/>
        <w:tblCellMar>
          <w:top w:w="28" w:type="dxa"/>
          <w:left w:w="28" w:type="dxa"/>
          <w:bottom w:w="28" w:type="dxa"/>
          <w:right w:w="28" w:type="dxa"/>
        </w:tblCellMar>
      </w:tblPr>
      <w:tblGrid>
        <w:gridCol w:w="2553"/>
        <w:gridCol w:w="2240"/>
        <w:gridCol w:w="2272"/>
        <w:gridCol w:w="211"/>
        <w:gridCol w:w="721"/>
        <w:gridCol w:w="109"/>
        <w:gridCol w:w="109"/>
        <w:gridCol w:w="109"/>
        <w:gridCol w:w="109"/>
        <w:gridCol w:w="221"/>
        <w:gridCol w:w="757"/>
        <w:gridCol w:w="161"/>
      </w:tblGrid>
      <w:tr>
        <w:trPr/>
        <w:tc>
          <w:tcPr>
            <w:tcW w:w="2553"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receivable and other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5,358 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(4,802)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15,253 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OTHER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Deferred tax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1,309 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Linefill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right-of-use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29,207 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LIABILITIES AND PARTNERS’ CAPITAL</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5,893 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LONG-TERM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Senior notes,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debt,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 and deferred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long-term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8,676 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COMMITMENTS AND CONTINGENCIES (NOTE 9)</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9"/>
              </w:rPr>
            </w:pPr>
            <w:r>
              <w:rPr>
                <w:rFonts w:ascii="Times New Roman;sans-serif" w:hAnsi="Times New Roman;sans-serif"/>
                <w:b/>
                <w:color w:val="000000"/>
                <w:sz w:val="19"/>
              </w:rPr>
              <w:t>PARTNERS’ CAPITAL</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Class A shareholders (195,961,642 and 194,407,642 shares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13,114 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partners’ capital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14,638 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29,207 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1950"/>
        <w:gridCol w:w="1527"/>
        <w:gridCol w:w="153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95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of $3, $1, $5, and $2,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PAGP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Class A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left"/>
        <w:rPr>
          <w:color w:val="000000"/>
        </w:rPr>
      </w:pPr>
      <w:r>
        <w:rPr>
          <w:color w:val="000000"/>
        </w:rPr>
        <w:t> </w:t>
      </w:r>
    </w:p>
    <w:tbl>
      <w:tblPr>
        <w:tblW w:w="9404" w:type="dxa"/>
        <w:jc w:val="left"/>
        <w:tblInd w:w="0" w:type="dxa"/>
        <w:tblLayout w:type="fixed"/>
        <w:tblCellMar>
          <w:top w:w="28" w:type="dxa"/>
          <w:left w:w="28" w:type="dxa"/>
          <w:bottom w:w="28" w:type="dxa"/>
          <w:right w:w="28" w:type="dxa"/>
        </w:tblCellMar>
      </w:tblPr>
      <w:tblGrid>
        <w:gridCol w:w="1894"/>
        <w:gridCol w:w="1662"/>
        <w:gridCol w:w="1678"/>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PAGP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7384"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406"/>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309"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331"/>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ind w:left="0" w:right="0" w:firstLine="720"/>
        <w:jc w:val="center"/>
        <w:rPr/>
      </w:pPr>
      <w:r>
        <w:rPr/>
      </w:r>
    </w:p>
    <w:tbl>
      <w:tblPr>
        <w:tblW w:w="8090" w:type="dxa"/>
        <w:jc w:val="center"/>
        <w:tblInd w:w="0" w:type="dxa"/>
        <w:tblLayout w:type="fixed"/>
        <w:tblCellMar>
          <w:top w:w="28" w:type="dxa"/>
          <w:left w:w="28" w:type="dxa"/>
          <w:bottom w:w="28" w:type="dxa"/>
          <w:right w:w="28" w:type="dxa"/>
        </w:tblCellMar>
      </w:tblPr>
      <w:tblGrid>
        <w:gridCol w:w="2218"/>
        <w:gridCol w:w="1949"/>
        <w:gridCol w:w="1953"/>
        <w:gridCol w:w="215"/>
        <w:gridCol w:w="475"/>
        <w:gridCol w:w="109"/>
        <w:gridCol w:w="109"/>
        <w:gridCol w:w="109"/>
        <w:gridCol w:w="109"/>
        <w:gridCol w:w="215"/>
        <w:gridCol w:w="475"/>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net income to net cash provided by operating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asset sales and asset impairments, net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on sales of linefill</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foreign currency revaluation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of terminated interest rate hedging instruments (Note 7)</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Preferred Distribution Rate Reset Option (Note 7)</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on earnings from unconsolidated entities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 net of acquisitions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entities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equipment and 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purchases of linefill</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sales of linefill</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borrowings under PAA commercial paper program (Note 5)</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PAA senior notes (Note 5)</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 by a subsidiary</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Class A shareholders (Note 6)</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to noncontrolling interests (Note 6)</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translation adjustment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increase/(decrease) in cash and cash equivalents and restricted cash</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beginning of period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restricted cash, end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net of amounts capitalized</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net of amounts refunded</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6925" w:type="dxa"/>
        <w:jc w:val="center"/>
        <w:tblInd w:w="0" w:type="dxa"/>
        <w:tblLayout w:type="fixed"/>
        <w:tblCellMar>
          <w:top w:w="28" w:type="dxa"/>
          <w:left w:w="28" w:type="dxa"/>
          <w:bottom w:w="28" w:type="dxa"/>
          <w:right w:w="28" w:type="dxa"/>
        </w:tblCellMar>
      </w:tblPr>
      <w:tblGrid>
        <w:gridCol w:w="939"/>
        <w:gridCol w:w="825"/>
        <w:gridCol w:w="830"/>
        <w:gridCol w:w="236"/>
        <w:gridCol w:w="691"/>
        <w:gridCol w:w="124"/>
        <w:gridCol w:w="109"/>
        <w:gridCol w:w="109"/>
        <w:gridCol w:w="109"/>
        <w:gridCol w:w="243"/>
        <w:gridCol w:w="831"/>
        <w:gridCol w:w="127"/>
        <w:gridCol w:w="109"/>
        <w:gridCol w:w="109"/>
        <w:gridCol w:w="109"/>
        <w:gridCol w:w="277"/>
        <w:gridCol w:w="946"/>
        <w:gridCol w:w="202"/>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Partners’ Capital</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14,638 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Partners’ Capital</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14,764 </w:t>
            </w:r>
          </w:p>
        </w:tc>
        <w:tc>
          <w:tcPr>
            <w:tcW w:w="20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758" w:type="dxa"/>
        <w:jc w:val="center"/>
        <w:tblInd w:w="0" w:type="dxa"/>
        <w:tblLayout w:type="fixed"/>
        <w:tblCellMar>
          <w:top w:w="28" w:type="dxa"/>
          <w:left w:w="28" w:type="dxa"/>
          <w:bottom w:w="28" w:type="dxa"/>
          <w:right w:w="28" w:type="dxa"/>
        </w:tblCellMar>
      </w:tblPr>
      <w:tblGrid>
        <w:gridCol w:w="1357"/>
        <w:gridCol w:w="1192"/>
        <w:gridCol w:w="1200"/>
        <w:gridCol w:w="367"/>
        <w:gridCol w:w="1075"/>
        <w:gridCol w:w="193"/>
        <w:gridCol w:w="109"/>
        <w:gridCol w:w="109"/>
        <w:gridCol w:w="109"/>
        <w:gridCol w:w="376"/>
        <w:gridCol w:w="1288"/>
        <w:gridCol w:w="196"/>
        <w:gridCol w:w="109"/>
        <w:gridCol w:w="109"/>
        <w:gridCol w:w="109"/>
        <w:gridCol w:w="361"/>
        <w:gridCol w:w="1236"/>
        <w:gridCol w:w="263"/>
      </w:tblGrid>
      <w:tr>
        <w:trPr/>
        <w:tc>
          <w:tcPr>
            <w:tcW w:w="13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Partners’ Capital</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14,177 </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4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 by a subsidiary</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Partners’ Capital</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14,201 </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4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9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units by a subsidiary</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2022</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14,059 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color w:val="000000"/>
        </w:rPr>
      </w:pPr>
      <w:r>
        <w:rPr>
          <w:color w:val="000000"/>
        </w:rPr>
        <w:t> </w:t>
      </w: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1—Organization and 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GP Holdings, L.P. (“PAGP”) is a Delaware limited partnership formed in 2013 that has elected to be taxed as a corporation for United States federal income tax purposes. PAGP does not directly own any operating assets; as of June 30, 2023, its principal source of cash flow is derived from an indirect investment in Plains All American Pipeline, L.P. (“PAA”), a publicly 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owned an approximate 81% limited partner interest in Plains AAP L.P. (“AAP”) through our ownership of approximately 196.0 million Class A units of AAP (“AAP Units”). We also own a 100% managing member interest in Plains All American GP LLC (“GP LLC”), a Delaware limited liability company that holds the non-economic general partner interest in AAP. AAP is a Delaware limited partnership that, as of June 30, 2023, directly owned a limited partner interest in PAA through its ownership of approximately 240.8 million PAA common units (approximately 31% of PAA’s total outstanding common units and Series A preferred units combined). AAP is the sole member of PAA GP LLC (“PAA GP”), a Delaware limited liability company that directly holds the non-economic general partner interest in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natural gas liquids (“NGL”) producing basins (including the Permian Basin) and transportation corridors and at major market hubs in the United States and Canada. PAA’s assets and the services it provides are primarily focused on and conducted through two operating segments: Crude Oil and NGL. See Note 10 for further discussion of our operating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to the “Plains Entities” include us, our general partner, GP LLC, AAP, PAA GP and PAA and its subsidiaries.</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defined terms are used in this Form 10-Q and shall have the meanings indicated below:</w:t>
      </w:r>
    </w:p>
    <w:p>
      <w:pPr>
        <w:pStyle w:val="TextBody"/>
        <w:bidi w:val="0"/>
        <w:spacing w:before="0" w:after="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thermal unit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Swaps and Derivatives Association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plan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barrels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Mercantile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Texas Intermediate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interim financial statements and related notes thereto should be read in conjunction with our 2022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2022 was derived from audited financial statements, but does not include all disclosures required by GAAP. The results of operations for the three and six months ended June 30, 2023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determined that our subsidiaries, PAA and AAP, are VIEs and should be consolidated by PAGP because:</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AAP is the primary beneficiary of PAA because it has the power to direct the activities that most significantly impact PAA’s performance and the right to receive benefits, and obligation to absorb losses, that could be significant to PAA.</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PAGP is the primary beneficiary of AAP because it has the power to direct the activities that most significantly impact AAP’s performance and the right to receive benefits, and obligation to absorb losses, that could be significant to AAP.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exception of a deferred tax asset of $1.263 billion and $1.309 billion as of June 30, 2023 and December 31, 2022,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six months ended June 30, 2023 or the year ended December 31, 2022. See Note 17 to our Consolidated Financial Statements included in Part IV of our 2022 Annual Report on Form 10-K for information regarding the Omnibus Agreement entered into by the Plains Entities on November 15, 2016.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Subsequent Events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events have been evaluated through the financial statements issuance date and have been included in the following footnotes where applicable.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discussed in our 2022 Annual Report on Form 10-K, there have been no new accounting pronouncements that have become effective or have been issued during the six months ended June 30, 2023 that are of significance or potential significance to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revenues by segment and type of activity. See Note 3 to our Consolidated Financial Statements included in Part IV of our 2022 Annual Report on Form 10-K for additional information regarding our types of revenues and policies for revenue recognition.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Revenues from Contracts with Customers. </w:t>
      </w:r>
      <w:r>
        <w:rPr>
          <w:rFonts w:ascii="Times New Roman;sans-serif" w:hAnsi="Times New Roman;sans-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831"/>
        <w:gridCol w:w="1588"/>
        <w:gridCol w:w="15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254" w:type="dxa"/>
        <w:jc w:val="left"/>
        <w:tblInd w:w="0" w:type="dxa"/>
        <w:tblLayout w:type="fixed"/>
        <w:tblCellMar>
          <w:top w:w="28" w:type="dxa"/>
          <w:left w:w="28" w:type="dxa"/>
          <w:bottom w:w="28" w:type="dxa"/>
          <w:right w:w="28" w:type="dxa"/>
        </w:tblCellMar>
      </w:tblPr>
      <w:tblGrid>
        <w:gridCol w:w="1785"/>
        <w:gridCol w:w="1572"/>
        <w:gridCol w:w="157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NGL segment revenues from contracts with customers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NGL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Reconciliation to Total Revenues of Reportable Segments. </w:t>
      </w:r>
      <w:r>
        <w:rPr>
          <w:rFonts w:ascii="Times New Roman;sans-serif" w:hAnsi="Times New Roman;sans-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pStyle w:val="TextBody"/>
        <w:bidi w:val="0"/>
        <w:spacing w:before="0" w:after="0"/>
        <w:ind w:left="0" w:right="0" w:firstLine="720"/>
        <w:jc w:val="left"/>
        <w:rPr/>
      </w:pPr>
      <w:r>
        <w:rPr/>
      </w:r>
    </w:p>
    <w:tbl>
      <w:tblPr>
        <w:tblW w:w="7268" w:type="dxa"/>
        <w:jc w:val="center"/>
        <w:tblInd w:w="0" w:type="dxa"/>
        <w:tblLayout w:type="fixed"/>
        <w:tblCellMar>
          <w:top w:w="28" w:type="dxa"/>
          <w:left w:w="28" w:type="dxa"/>
          <w:bottom w:w="28" w:type="dxa"/>
          <w:right w:w="28" w:type="dxa"/>
        </w:tblCellMar>
      </w:tblPr>
      <w:tblGrid>
        <w:gridCol w:w="1220"/>
        <w:gridCol w:w="1072"/>
        <w:gridCol w:w="1082"/>
        <w:gridCol w:w="109"/>
        <w:gridCol w:w="109"/>
        <w:gridCol w:w="109"/>
        <w:gridCol w:w="211"/>
        <w:gridCol w:w="721"/>
        <w:gridCol w:w="109"/>
        <w:gridCol w:w="109"/>
        <w:gridCol w:w="109"/>
        <w:gridCol w:w="109"/>
        <w:gridCol w:w="211"/>
        <w:gridCol w:w="466"/>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tbl>
      <w:tblPr>
        <w:tblW w:w="7418" w:type="dxa"/>
        <w:jc w:val="center"/>
        <w:tblInd w:w="0" w:type="dxa"/>
        <w:tblLayout w:type="fixed"/>
        <w:tblCellMar>
          <w:top w:w="28" w:type="dxa"/>
          <w:left w:w="28" w:type="dxa"/>
          <w:bottom w:w="28" w:type="dxa"/>
          <w:right w:w="28" w:type="dxa"/>
        </w:tblCellMar>
      </w:tblPr>
      <w:tblGrid>
        <w:gridCol w:w="1220"/>
        <w:gridCol w:w="1072"/>
        <w:gridCol w:w="1082"/>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in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items in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Minimum Volume Commitments. </w:t>
      </w:r>
      <w:r>
        <w:rPr>
          <w:rFonts w:ascii="Times New Roman;sans-serif" w:hAnsi="Times New Roman;sans-serif"/>
          <w:b w:val="false"/>
          <w:color w:val="000000"/>
          <w:sz w:val="20"/>
        </w:rPr>
        <w:t>We have certain agreements that require counterparties to transport or throughput a minimum volume over an 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ind w:left="0" w:right="0" w:firstLine="720"/>
        <w:jc w:val="left"/>
        <w:rPr/>
      </w:pPr>
      <w:r>
        <w:rPr/>
      </w:r>
    </w:p>
    <w:tbl>
      <w:tblPr>
        <w:tblW w:w="7429"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23"/>
        <w:gridCol w:w="382"/>
        <w:gridCol w:w="115"/>
        <w:gridCol w:w="109"/>
        <w:gridCol w:w="109"/>
        <w:gridCol w:w="109"/>
        <w:gridCol w:w="289"/>
        <w:gridCol w:w="639"/>
        <w:gridCol w:w="212"/>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Unbilled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were related to deficiencies for which the counterparties had not met their contractual minimum commitments and are not reflected in our Condensed Consolidated Financial Statements as we had not yet billed or collected such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586" w:type="dxa"/>
        <w:jc w:val="center"/>
        <w:tblInd w:w="0" w:type="dxa"/>
        <w:tblLayout w:type="fixed"/>
        <w:tblCellMar>
          <w:top w:w="28" w:type="dxa"/>
          <w:left w:w="28" w:type="dxa"/>
          <w:bottom w:w="28" w:type="dxa"/>
          <w:right w:w="28" w:type="dxa"/>
        </w:tblCellMar>
      </w:tblPr>
      <w:tblGrid>
        <w:gridCol w:w="977"/>
        <w:gridCol w:w="859"/>
        <w:gridCol w:w="864"/>
        <w:gridCol w:w="109"/>
        <w:gridCol w:w="109"/>
        <w:gridCol w:w="109"/>
        <w:gridCol w:w="395"/>
        <w:gridCol w:w="875"/>
        <w:gridCol w:w="289"/>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Remaining Performance Obligations</w:t>
      </w:r>
      <w:r>
        <w:rPr>
          <w:rFonts w:ascii="Times New Roman;sans-serif" w:hAnsi="Times New Roman;sans-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2023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29"/>
        <w:gridCol w:w="962"/>
        <w:gridCol w:w="965"/>
        <w:gridCol w:w="289"/>
        <w:gridCol w:w="642"/>
        <w:gridCol w:w="15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54"/>
        <w:gridCol w:w="744"/>
        <w:gridCol w:w="190"/>
      </w:tblGrid>
      <w:tr>
        <w:trPr/>
        <w:tc>
          <w:tcPr>
            <w:tcW w:w="12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 and Thereafter</w:t>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Pipeline revenues supported by minimum volume commitments and capacity agreements </w:t>
            </w:r>
            <w:r>
              <w:rPr>
                <w:rFonts w:ascii="Times New Roman;sans-serif" w:hAnsi="Times New Roman;sans-serif"/>
                <w:b w:val="false"/>
                <w:color w:val="000000"/>
                <w:sz w:val="13"/>
              </w:rPr>
              <w:t>(1)</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 agreement revenues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Calculated as volumes committed under contracts multiplied by the current applicable tariff rate. </w:t>
      </w:r>
    </w:p>
    <w:p>
      <w:pPr>
        <w:pStyle w:val="TextBody"/>
        <w:bidi w:val="0"/>
        <w:spacing w:before="60" w:after="283"/>
        <w:ind w:left="0" w:right="0" w:hanging="36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Short-term contracts and those with variable consideration, due to the election of practical expedients;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Trade Accounts Receivable and Other Receivables, Net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June 30, 2023 and December 31, 2022,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reconciliation of trade accounts receivable from revenues from contracts with customers to total Trade accounts receivable and other receivables, net as presented on our Condensed Consolidated Balance Sheets (in millions): </w:t>
      </w:r>
    </w:p>
    <w:p>
      <w:pPr>
        <w:pStyle w:val="TextBody"/>
        <w:bidi w:val="0"/>
        <w:spacing w:before="0" w:after="0"/>
        <w:ind w:left="0" w:right="0" w:firstLine="720"/>
        <w:jc w:val="left"/>
        <w:rPr/>
      </w:pPr>
      <w:r>
        <w:rPr/>
      </w:r>
    </w:p>
    <w:tbl>
      <w:tblPr>
        <w:tblW w:w="8882" w:type="dxa"/>
        <w:jc w:val="center"/>
        <w:tblInd w:w="0" w:type="dxa"/>
        <w:tblLayout w:type="fixed"/>
        <w:tblCellMar>
          <w:top w:w="28" w:type="dxa"/>
          <w:left w:w="28" w:type="dxa"/>
          <w:bottom w:w="28" w:type="dxa"/>
          <w:right w:w="28" w:type="dxa"/>
        </w:tblCellMar>
      </w:tblPr>
      <w:tblGrid>
        <w:gridCol w:w="2348"/>
        <w:gridCol w:w="2057"/>
        <w:gridCol w:w="2074"/>
        <w:gridCol w:w="211"/>
        <w:gridCol w:w="616"/>
        <w:gridCol w:w="109"/>
        <w:gridCol w:w="109"/>
        <w:gridCol w:w="109"/>
        <w:gridCol w:w="109"/>
        <w:gridCol w:w="245"/>
        <w:gridCol w:w="716"/>
        <w:gridCol w:w="179"/>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trade accounts receivables and other receivables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3—Net Income Per Class A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Class A share is determined by dividing net income attributable to PAGP by the weighted average number of Class A shares outstanding during the period. Our Class B and Class C shares do not share in the earnings of the Partnership; accordingly, basic and diluted net income per Class B and Class C share has not been presented.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Class A share is determined by dividing net income attributable to PAGP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2022 Annual Report on Form 10-K for information regarding exchanges of AAP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2022 Annual Report on Form 10-K for information regarding PAGP LTIP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 weighted-average basis, for each of the three and six months ended June 30, 2023, the possible exchange of 46 million AAP units would not have had a dilutive effect on basic net income per Class A share. On a weighted-average basis, for each of the three and six months ended June 30, 2022, the possible exchange of 47 million AAP units, would not have had a dilutive effect on basic net income per Class A share. For each of the three and six months ended June 30, 2023 and 2022, our PAGP LTIP awards were dilutive; however, this did not change the presentation of diluted weighted average Class A shares outstanding or diluted net income per Class A share.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Class A share (in millions, except per share data):</w:t>
      </w:r>
    </w:p>
    <w:p>
      <w:pPr>
        <w:pStyle w:val="TextBody"/>
        <w:bidi w:val="0"/>
        <w:spacing w:before="0" w:after="0"/>
        <w:ind w:left="0" w:right="0" w:firstLine="720"/>
        <w:jc w:val="left"/>
        <w:rPr/>
      </w:pPr>
      <w:r>
        <w:rPr/>
      </w:r>
    </w:p>
    <w:tbl>
      <w:tblPr>
        <w:tblW w:w="9584" w:type="dxa"/>
        <w:jc w:val="center"/>
        <w:tblInd w:w="0" w:type="dxa"/>
        <w:tblLayout w:type="fixed"/>
        <w:tblCellMar>
          <w:top w:w="28" w:type="dxa"/>
          <w:left w:w="28" w:type="dxa"/>
          <w:bottom w:w="28" w:type="dxa"/>
          <w:right w:w="28" w:type="dxa"/>
        </w:tblCellMar>
      </w:tblPr>
      <w:tblGrid>
        <w:gridCol w:w="1896"/>
        <w:gridCol w:w="1665"/>
        <w:gridCol w:w="167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189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Income per Class A Share</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Class A shares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4—Inventory, Linefill and Long-term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linefill and long-term inventory consisted of the following (barrels in thousands and carrying value in millions):</w:t>
      </w:r>
    </w:p>
    <w:p>
      <w:pPr>
        <w:pStyle w:val="TextBody"/>
        <w:bidi w:val="0"/>
        <w:spacing w:before="0" w:after="0"/>
        <w:ind w:left="0" w:right="0" w:firstLine="720"/>
        <w:jc w:val="left"/>
        <w:rPr/>
      </w:pPr>
      <w:r>
        <w:rPr/>
      </w:r>
    </w:p>
    <w:tbl>
      <w:tblPr>
        <w:tblW w:w="10807" w:type="dxa"/>
        <w:jc w:val="center"/>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Inventory</w:t>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829"/>
        <w:gridCol w:w="2490"/>
        <w:gridCol w:w="2492"/>
        <w:gridCol w:w="211"/>
        <w:gridCol w:w="616"/>
        <w:gridCol w:w="109"/>
        <w:gridCol w:w="109"/>
        <w:gridCol w:w="109"/>
        <w:gridCol w:w="109"/>
        <w:gridCol w:w="242"/>
        <w:gridCol w:w="709"/>
        <w:gridCol w:w="180"/>
      </w:tblGrid>
      <w:tr>
        <w:trPr/>
        <w:tc>
          <w:tcPr>
            <w:tcW w:w="2829"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senior notes: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2.85% senior notes due January 2023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3.85% senior notes due October 2023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PAA senior notes, net of unamortized discounts and debt issuance costs of $44 and $46,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Times New Roman;sans-serif" w:hAnsi="Times New Roman;sans-serif"/>
                <w:b w:val="false"/>
                <w:color w:val="000000"/>
                <w:sz w:val="20"/>
              </w:rPr>
              <w:t xml:space="preserve">Total debt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These senior notes were redeemed on January 31, 2023.</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PAA’s fixed-rate senior notes had a face value of approximately $8.0 billion and $8.4 billion as of June 30, 2023 and December 31, 2022, respectively. We estimated the aggregate fair value of these notes as of June 30, 2023 and December 31, 2022 to be approximately $7.3 billion and $7.6 billion, respectively. PAA’s fixed-rate senior notes are traded among institutions, and these trades are routinely published by a reporting service. Our determination of fair value is based on reported trading activity near the end of the reporting period. The fair value estimate for PAA’s senior notes is based upon observable market data and is classified in Level 2 of the fair value hierarchy.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Borrowings and Repayments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 under the PAA credit facilities and commercial paper program for the six months ended June 30, 2023 and 2022 were approximately $1.5 billion and $16.4 billion, respectively. Total repayments under the PAA credit facilities and commercial paper program were approximately $1.5 billion and $16.3 billion for the six months ended June 30, 2023 and 2022,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PAA redeemed its 2.85%, $400 million senior notes due January 2023.</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June 30, 2023 and December 31, 2022, we had outstanding letters of credit of $127 million and $102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6—Partners’ Capital and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Shares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activity for our Class A shares, Class B shares and Class C shares:</w:t>
      </w:r>
    </w:p>
    <w:p>
      <w:pPr>
        <w:pStyle w:val="TextBody"/>
        <w:bidi w:val="0"/>
        <w:spacing w:before="0" w:after="0"/>
        <w:ind w:left="0" w:right="0" w:firstLine="720"/>
        <w:jc w:val="left"/>
        <w:rPr/>
      </w:pPr>
      <w:r>
        <w:rPr/>
      </w:r>
    </w:p>
    <w:tbl>
      <w:tblPr>
        <w:tblW w:w="9092" w:type="dxa"/>
        <w:jc w:val="center"/>
        <w:tblInd w:w="0" w:type="dxa"/>
        <w:tblLayout w:type="fixed"/>
        <w:tblCellMar>
          <w:top w:w="28" w:type="dxa"/>
          <w:left w:w="28" w:type="dxa"/>
          <w:bottom w:w="28" w:type="dxa"/>
          <w:right w:w="28" w:type="dxa"/>
        </w:tblCellMar>
      </w:tblPr>
      <w:tblGrid>
        <w:gridCol w:w="1342"/>
        <w:gridCol w:w="1178"/>
        <w:gridCol w:w="1184"/>
        <w:gridCol w:w="593"/>
        <w:gridCol w:w="593"/>
        <w:gridCol w:w="391"/>
        <w:gridCol w:w="109"/>
        <w:gridCol w:w="109"/>
        <w:gridCol w:w="109"/>
        <w:gridCol w:w="540"/>
        <w:gridCol w:w="541"/>
        <w:gridCol w:w="386"/>
        <w:gridCol w:w="109"/>
        <w:gridCol w:w="109"/>
        <w:gridCol w:w="109"/>
        <w:gridCol w:w="593"/>
        <w:gridCol w:w="593"/>
        <w:gridCol w:w="50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C Shares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194,407,642 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46,205,947 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528,442,538 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Conversion of AAP Management Units</w:t>
            </w:r>
            <w:r>
              <w:rPr>
                <w:color w:val="000000"/>
              </w:rPr>
              <w:t xml:space="preserve"> </w:t>
            </w:r>
            <w:r>
              <w:rPr>
                <w:rFonts w:ascii="Times New Roman;sans-serif" w:hAnsi="Times New Roman;sans-serif"/>
                <w:b w:val="false"/>
                <w:color w:val="000000"/>
                <w:sz w:val="13"/>
              </w:rPr>
              <w:t>(1) (2)</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388,839 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Redemption Right exercises </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(181,916)</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181,916 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35,508 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194,407,642 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46,412,870 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528,659,962 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Exchange Right exercises </w:t>
            </w:r>
            <w:r>
              <w:rPr>
                <w:rFonts w:ascii="Times New Roman;sans-serif" w:hAnsi="Times New Roman;sans-serif"/>
                <w:b w:val="false"/>
                <w:color w:val="000000"/>
                <w:sz w:val="13"/>
              </w:rPr>
              <w:t>(1)</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1,554,000 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(1,554,000)</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Redemption Right exercises </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(60,354)</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60,354 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195,961,642 </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44,798,516 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528,720,316 </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45"/>
        <w:gridCol w:w="1531"/>
        <w:gridCol w:w="1539"/>
        <w:gridCol w:w="593"/>
        <w:gridCol w:w="593"/>
        <w:gridCol w:w="391"/>
        <w:gridCol w:w="109"/>
        <w:gridCol w:w="109"/>
        <w:gridCol w:w="109"/>
        <w:gridCol w:w="540"/>
        <w:gridCol w:w="541"/>
        <w:gridCol w:w="386"/>
        <w:gridCol w:w="109"/>
        <w:gridCol w:w="109"/>
        <w:gridCol w:w="109"/>
        <w:gridCol w:w="593"/>
        <w:gridCol w:w="593"/>
        <w:gridCol w:w="506"/>
      </w:tblGrid>
      <w:tr>
        <w:trPr/>
        <w:tc>
          <w:tcPr>
            <w:tcW w:w="174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C Shares</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194,192,777 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46,645,514 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534,596,831 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Conversion of AAP Management Units </w:t>
            </w:r>
            <w:r>
              <w:rPr>
                <w:rFonts w:ascii="Times New Roman;sans-serif" w:hAnsi="Times New Roman;sans-serif"/>
                <w:b w:val="false"/>
                <w:color w:val="000000"/>
                <w:sz w:val="13"/>
              </w:rPr>
              <w:t>(1)</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205,024 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Exchange Right exercises </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Redemption Right exercises </w:t>
            </w:r>
            <w:r>
              <w:rPr>
                <w:rFonts w:ascii="Times New Roman;sans-serif" w:hAnsi="Times New Roman;sans-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11,957 </w:t>
            </w:r>
          </w:p>
        </w:tc>
        <w:tc>
          <w:tcPr>
            <w:tcW w:w="50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by a subsidiary under the Common Equity Repurchase Program</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(2,375,299)</w:t>
            </w:r>
          </w:p>
        </w:tc>
        <w:tc>
          <w:tcPr>
            <w:tcW w:w="50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51,937 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194,228,477 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46,802,881 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532,285,426 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ans-serif" w:hAnsi="Times New Roman;sans-serif"/>
                <w:b w:val="false"/>
                <w:color w:val="000000"/>
                <w:sz w:val="20"/>
              </w:rPr>
              <w:t xml:space="preserve">Conversion of AAP Management Units </w:t>
            </w:r>
            <w:r>
              <w:rPr>
                <w:rFonts w:ascii="Times New Roman;sans-serif" w:hAnsi="Times New Roman;sans-serif"/>
                <w:b w:val="false"/>
                <w:color w:val="000000"/>
                <w:sz w:val="13"/>
              </w:rPr>
              <w:t>(1)</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53,023 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cancellation of common units by a subsidiary under the Common Equity Repurchase Program</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(4,876,062)</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147,830 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2022</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194,228,477 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46,855,904 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527,557,194 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12 to our Consolidated Financial Statements included in Part IV of our 2022 Annual Report on Form 10-K for information regarding conversions of AAP Management Units, Exchange Rights and Redemption Rights.</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Following this conversion, no AAP Management Units remain outstanding.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to our Class A shareholders paid during or pertaining to the first six months of 2023 (in millions, except per share data):</w:t>
      </w:r>
    </w:p>
    <w:p>
      <w:pPr>
        <w:pStyle w:val="TextBody"/>
        <w:bidi w:val="0"/>
        <w:spacing w:before="0" w:after="0"/>
        <w:ind w:left="0" w:right="0" w:firstLine="720"/>
        <w:jc w:val="left"/>
        <w:rPr/>
      </w:pPr>
      <w:r>
        <w:rPr/>
      </w:r>
    </w:p>
    <w:tbl>
      <w:tblPr>
        <w:tblW w:w="5726" w:type="dxa"/>
        <w:jc w:val="left"/>
        <w:tblInd w:w="0" w:type="dxa"/>
        <w:tblLayout w:type="fixed"/>
        <w:tblCellMar>
          <w:top w:w="28" w:type="dxa"/>
          <w:left w:w="28" w:type="dxa"/>
          <w:bottom w:w="28" w:type="dxa"/>
          <w:right w:w="28" w:type="dxa"/>
        </w:tblCellMar>
      </w:tblPr>
      <w:tblGrid>
        <w:gridCol w:w="750"/>
        <w:gridCol w:w="659"/>
        <w:gridCol w:w="661"/>
        <w:gridCol w:w="109"/>
        <w:gridCol w:w="109"/>
        <w:gridCol w:w="109"/>
        <w:gridCol w:w="506"/>
        <w:gridCol w:w="867"/>
        <w:gridCol w:w="263"/>
        <w:gridCol w:w="109"/>
        <w:gridCol w:w="109"/>
        <w:gridCol w:w="109"/>
        <w:gridCol w:w="265"/>
        <w:gridCol w:w="906"/>
        <w:gridCol w:w="195"/>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to</w:t>
              <w:br/>
              <w:t>Class A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 per</w:t>
              <w:br/>
              <w:t>Class A Share</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August 14,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shareholders of record at the close of business on July 31, 2023 for the period from April 1, 2023 through June 30,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Noncontrolling Interests in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Plains Oryx Permian Basin LLC (the “Permian JV”), (iv) a 30% interest in Cactus II Pipeline LLC (“Cactus II”) and (v) a 33% interest in Red River Pipeline Company LLC (“Red River”).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Subsidiary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Series A Preferred Unit Distributions</w:t>
      </w:r>
      <w:r>
        <w:rPr>
          <w:rFonts w:ascii="Times New Roman;sans-serif" w:hAnsi="Times New Roman;sans-serif"/>
          <w:b w:val="false"/>
          <w:color w:val="000000"/>
          <w:sz w:val="20"/>
        </w:rPr>
        <w:t>. After the fifth anniversary of the January 28, 2016 issuance date of PAA’s Series A preferred units, the holders of PAA’s Series A preferred units, acting by majority vote, had the option to make a one-time election to reset the Series A preferred unit distribution rate to equal the then applicable rate of ten-year U.S. Treasury Securities plus 5.85% (the “Preferred Distribution Rate Reset Option”). In January 2023, the Series A preferred unitholders elected the Preferred Distribution Rate Reset Option which resulted in an increase in the quarterly distribution rate to approximately $0.615 per unit. This new distribution rate was effective on January 31, 2023. The quarterly distribution paid in May 2023 reflected a pro-rated amount of approximately $0.585 per unit. The following table details distributions to PAA’s Series A preferred unitholders paid during or pertaining to the first six months of 2023 (in millions, except per unit data):</w:t>
      </w:r>
    </w:p>
    <w:p>
      <w:pPr>
        <w:pStyle w:val="TextBody"/>
        <w:bidi w:val="0"/>
        <w:spacing w:before="0" w:after="0"/>
        <w:ind w:left="0" w:right="0" w:firstLine="720"/>
        <w:jc w:val="left"/>
        <w:rPr/>
      </w:pPr>
      <w:r>
        <w:rPr/>
      </w:r>
    </w:p>
    <w:tbl>
      <w:tblPr>
        <w:tblW w:w="6107"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27"/>
        <w:gridCol w:w="731"/>
        <w:gridCol w:w="222"/>
        <w:gridCol w:w="111"/>
        <w:gridCol w:w="111"/>
        <w:gridCol w:w="111"/>
        <w:gridCol w:w="111"/>
        <w:gridCol w:w="111"/>
        <w:gridCol w:w="111"/>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August 14,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shd w:fill="FFFFFF" w:val="clear"/>
        </w:rPr>
        <w:t>Payable to unitholders of record at the close of business on July 31, 2023 for the period from April 1, 2023 through June 30, 2023. At June 30, 2023, such amount was accrued as distributions payable in “Other current liabilities” on our Condensed Consolidated Balance Sheet.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w:t>
      </w:r>
      <w:r>
        <w:rPr>
          <w:color w:val="000000"/>
        </w:rPr>
        <w:t xml:space="preserve"> </w:t>
      </w:r>
      <w:r>
        <w:rPr>
          <w:rFonts w:ascii="Times New Roman;sans-serif" w:hAnsi="Times New Roman;sans-serif"/>
          <w:b w:val="false"/>
          <w:i/>
          <w:color w:val="000000"/>
          <w:sz w:val="20"/>
        </w:rPr>
        <w:t>Series B Preferred Unit Distributions</w:t>
      </w:r>
      <w:r>
        <w:rPr>
          <w:rFonts w:ascii="Times New Roman;sans-serif" w:hAnsi="Times New Roman;sans-serif"/>
          <w:b w:val="false"/>
          <w:color w:val="000000"/>
          <w:sz w:val="20"/>
        </w:rPr>
        <w:t>. Distributions on PAA’s Series B preferred units accumulate and are payable quarterly in arrears on the 15th day of February, May, August and November. The following table details distributions paid or to be paid to PAA’s Series B preferred unitholders (in millions, except per unit data):</w:t>
      </w:r>
    </w:p>
    <w:p>
      <w:pPr>
        <w:pStyle w:val="TextBody"/>
        <w:bidi w:val="0"/>
        <w:spacing w:before="0" w:after="0"/>
        <w:ind w:left="0" w:right="0" w:firstLine="720"/>
        <w:jc w:val="left"/>
        <w:rPr/>
      </w:pPr>
      <w:r>
        <w:rPr/>
      </w:r>
    </w:p>
    <w:tbl>
      <w:tblPr>
        <w:tblW w:w="6146"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41"/>
        <w:gridCol w:w="755"/>
        <w:gridCol w:w="229"/>
        <w:gridCol w:w="110"/>
        <w:gridCol w:w="110"/>
        <w:gridCol w:w="110"/>
        <w:gridCol w:w="110"/>
        <w:gridCol w:w="110"/>
        <w:gridCol w:w="110"/>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Cash Distribution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August 15,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Payable to unitholders of record at the close of business on August 1, 2023 for the period from May 15, 2023 through August 14, 2023. At </w:t>
      </w:r>
      <w:r>
        <w:rPr>
          <w:rFonts w:ascii="Times New Roman;sans-serif" w:hAnsi="Times New Roman;sans-serif"/>
          <w:b w:val="false"/>
          <w:color w:val="000000"/>
          <w:sz w:val="20"/>
          <w:shd w:fill="FFFFFF" w:val="clear"/>
        </w:rPr>
        <w:t>June 30, 2023</w:t>
      </w:r>
      <w:r>
        <w:rPr>
          <w:rFonts w:ascii="Times New Roman;sans-serif" w:hAnsi="Times New Roman;sans-serif"/>
          <w:b w:val="false"/>
          <w:color w:val="000000"/>
          <w:sz w:val="20"/>
        </w:rPr>
        <w:t>, approximately $10 million of accrued distributions payable to PAA’s Series B preferred unitholders was included in “Other current liabilities” on our Condensed Consolidated Balance Sheet.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Common Unit Distributions.</w:t>
      </w:r>
      <w:r>
        <w:rPr>
          <w:color w:val="000000"/>
        </w:rPr>
        <w:t xml:space="preserve"> </w:t>
      </w:r>
      <w:r>
        <w:rPr>
          <w:rFonts w:ascii="Times New Roman;sans-serif" w:hAnsi="Times New Roman;sans-serif"/>
          <w:b w:val="false"/>
          <w:color w:val="000000"/>
          <w:sz w:val="20"/>
        </w:rPr>
        <w:t>The following table details distributions to PAA’s common unitholders paid during or pertaining to the first six months of 2023 (in millions, except per unit data):</w:t>
      </w:r>
    </w:p>
    <w:p>
      <w:pPr>
        <w:pStyle w:val="TextBody"/>
        <w:bidi w:val="0"/>
        <w:spacing w:before="0" w:after="0"/>
        <w:ind w:left="0" w:right="0" w:firstLine="720"/>
        <w:jc w:val="left"/>
        <w:rPr/>
      </w:pPr>
      <w:r>
        <w:rPr/>
      </w:r>
    </w:p>
    <w:tbl>
      <w:tblPr>
        <w:tblW w:w="9761"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211"/>
        <w:gridCol w:w="466"/>
        <w:gridCol w:w="109"/>
        <w:gridCol w:w="109"/>
        <w:gridCol w:w="109"/>
        <w:gridCol w:w="109"/>
        <w:gridCol w:w="211"/>
        <w:gridCol w:w="361"/>
        <w:gridCol w:w="109"/>
        <w:gridCol w:w="109"/>
        <w:gridCol w:w="109"/>
        <w:gridCol w:w="109"/>
        <w:gridCol w:w="487"/>
        <w:gridCol w:w="1075"/>
        <w:gridCol w:w="253"/>
        <w:gridCol w:w="109"/>
        <w:gridCol w:w="109"/>
        <w:gridCol w:w="109"/>
        <w:gridCol w:w="109"/>
        <w:gridCol w:w="109"/>
        <w:gridCol w:w="109"/>
        <w:gridCol w:w="539"/>
        <w:gridCol w:w="1842"/>
        <w:gridCol w:w="393"/>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 per Common Unit</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August 14,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0.2675 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July 31, 2023 for the period from April 1, 2023 through June 30,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AAP Distributions.</w:t>
      </w:r>
      <w:r>
        <w:rPr>
          <w:color w:val="000000"/>
        </w:rPr>
        <w:t xml:space="preserve"> </w:t>
      </w:r>
      <w:r>
        <w:rPr>
          <w:rFonts w:ascii="Times New Roman;sans-serif" w:hAnsi="Times New Roman;sans-serif"/>
          <w:b w:val="false"/>
          <w:color w:val="000000"/>
          <w:sz w:val="20"/>
        </w:rPr>
        <w:t>The following table details the distributions to AAP’s partners paid during or pertaining to the first six months of 2023 from distributions received from PAA (in millions):</w:t>
      </w:r>
    </w:p>
    <w:p>
      <w:pPr>
        <w:pStyle w:val="TextBody"/>
        <w:bidi w:val="0"/>
        <w:spacing w:before="0" w:after="0"/>
        <w:ind w:left="0" w:right="0" w:firstLine="720"/>
        <w:jc w:val="left"/>
        <w:rPr/>
      </w:pPr>
      <w:r>
        <w:rPr/>
      </w:r>
    </w:p>
    <w:tbl>
      <w:tblPr>
        <w:tblW w:w="7452"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576"/>
        <w:gridCol w:w="985"/>
        <w:gridCol w:w="299"/>
        <w:gridCol w:w="109"/>
        <w:gridCol w:w="109"/>
        <w:gridCol w:w="109"/>
        <w:gridCol w:w="211"/>
        <w:gridCol w:w="361"/>
        <w:gridCol w:w="109"/>
        <w:gridCol w:w="109"/>
        <w:gridCol w:w="109"/>
        <w:gridCol w:w="109"/>
        <w:gridCol w:w="539"/>
        <w:gridCol w:w="924"/>
        <w:gridCol w:w="397"/>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Distributions to AAP</w:t>
            </w:r>
            <w:r>
              <w:rPr>
                <w:color w:val="000000"/>
              </w:rPr>
              <w:t>’</w:t>
            </w:r>
            <w:r>
              <w:rPr>
                <w:rFonts w:ascii="Times New Roman;sans-serif" w:hAnsi="Times New Roman;sans-serif"/>
                <w:b/>
                <w:color w:val="000000"/>
                <w:sz w:val="16"/>
              </w:rPr>
              <w:t>s Partners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Distribution</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August 14,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July 31, 2023 for the period from April 1, 2023 through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Consolidated Joint Venture Distributions. </w:t>
      </w:r>
      <w:r>
        <w:rPr>
          <w:rFonts w:ascii="Times New Roman;sans-serif" w:hAnsi="Times New Roman;sans-serif"/>
          <w:b w:val="false"/>
          <w:color w:val="000000"/>
          <w:sz w:val="20"/>
        </w:rPr>
        <w:t>The following table details distributions paid to noncontrolling interests in consolidated joint ventures during the periods presented (in millions):</w:t>
      </w:r>
    </w:p>
    <w:p>
      <w:pPr>
        <w:pStyle w:val="TextBody"/>
        <w:bidi w:val="0"/>
        <w:spacing w:before="0" w:after="0"/>
        <w:jc w:val="left"/>
        <w:rPr/>
      </w:pPr>
      <w:r>
        <w:rPr/>
      </w:r>
    </w:p>
    <w:tbl>
      <w:tblPr>
        <w:tblW w:w="5228" w:type="dxa"/>
        <w:jc w:val="left"/>
        <w:tblInd w:w="0" w:type="dxa"/>
        <w:tblLayout w:type="fixed"/>
        <w:tblCellMar>
          <w:top w:w="28" w:type="dxa"/>
          <w:left w:w="28" w:type="dxa"/>
          <w:bottom w:w="28" w:type="dxa"/>
          <w:right w:w="28" w:type="dxa"/>
        </w:tblCellMar>
      </w:tblPr>
      <w:tblGrid>
        <w:gridCol w:w="381"/>
        <w:gridCol w:w="333"/>
        <w:gridCol w:w="336"/>
        <w:gridCol w:w="211"/>
        <w:gridCol w:w="361"/>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54"/>
      </w:tblGrid>
      <w:tr>
        <w:trPr/>
        <w:tc>
          <w:tcPr>
            <w:tcW w:w="3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JV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Cactus II </w:t>
            </w:r>
            <w:r>
              <w:rPr>
                <w:rFonts w:ascii="Times New Roman;sans-serif" w:hAnsi="Times New Roman;sans-serif"/>
                <w:b w:val="false"/>
                <w:color w:val="000000"/>
                <w:sz w:val="13"/>
              </w:rPr>
              <w:t>(1)</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 November 2022, we acquired an additional interest in Cactus II which, combined with changes in the governance of this entity, resulted in our obtaining control of the entity. Subsequent to this transaction, we reflect Cactus II as a consolidated subsidiary. See Note 7 to our Consolidated Financial Statements included in Part IV of our 2022 Annual Report on Form 10-K for additional information on the Cactus II transaction.</w:t>
      </w:r>
    </w:p>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7—Derivatives and Risk Management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Commodity Price Risk Hedging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operations, we purchase and sell commodities. We use derivatives to manage the associated risks and to optimize profits. As of June 30, 2023, net derivative positions related to these activities included: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net long position of 5.0 million barrels associated with our crude oil purchases, which was unwound ratably during July 2023 to match monthly average pricing.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time spread position of 6.1 million barrels, which hedges a portion of our anticipated crude oil lease gathering purchases through October 2024.</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crude oil basis spread position of 1.9 million barrels at multiple locations through November 2024. These derivatives allow us to lock in grade and location basis differentials.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position of 10.5 million barrels through June 2024 related to anticipated net sales of crude oil and NGL inventory.</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June 30, 2023:</w:t>
      </w:r>
    </w:p>
    <w:p>
      <w:pPr>
        <w:pStyle w:val="TextBody"/>
        <w:bidi w:val="0"/>
        <w:spacing w:before="0" w:after="0"/>
        <w:ind w:left="0" w:right="0" w:firstLine="720"/>
        <w:jc w:val="left"/>
        <w:rPr/>
      </w:pPr>
      <w:r>
        <w:rPr/>
      </w:r>
    </w:p>
    <w:tbl>
      <w:tblPr>
        <w:tblW w:w="5931" w:type="dxa"/>
        <w:jc w:val="center"/>
        <w:tblInd w:w="0" w:type="dxa"/>
        <w:tblLayout w:type="fixed"/>
        <w:tblCellMar>
          <w:top w:w="28" w:type="dxa"/>
          <w:left w:w="28" w:type="dxa"/>
          <w:bottom w:w="28" w:type="dxa"/>
          <w:right w:w="28" w:type="dxa"/>
        </w:tblCellMar>
      </w:tblPr>
      <w:tblGrid>
        <w:gridCol w:w="913"/>
        <w:gridCol w:w="800"/>
        <w:gridCol w:w="806"/>
        <w:gridCol w:w="109"/>
        <w:gridCol w:w="109"/>
        <w:gridCol w:w="109"/>
        <w:gridCol w:w="444"/>
        <w:gridCol w:w="444"/>
        <w:gridCol w:w="446"/>
        <w:gridCol w:w="109"/>
        <w:gridCol w:w="109"/>
        <w:gridCol w:w="109"/>
        <w:gridCol w:w="416"/>
        <w:gridCol w:w="416"/>
        <w:gridCol w:w="592"/>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Tenor</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38.9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(0.9) MMbls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gas requirements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2024</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Power supply requirements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 TWh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Positions to hedge a portion of our power supply and fuel gas requirements at our Canadian natural gas processing and fractionation plants.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ind w:left="0" w:right="0" w:firstLine="720"/>
        <w:jc w:val="left"/>
        <w:rPr/>
      </w:pPr>
      <w:r>
        <w:rPr/>
      </w:r>
    </w:p>
    <w:tbl>
      <w:tblPr>
        <w:tblW w:w="8609" w:type="dxa"/>
        <w:jc w:val="center"/>
        <w:tblInd w:w="0" w:type="dxa"/>
        <w:tblLayout w:type="fixed"/>
        <w:tblCellMar>
          <w:top w:w="28" w:type="dxa"/>
          <w:left w:w="28" w:type="dxa"/>
          <w:bottom w:w="28" w:type="dxa"/>
          <w:right w:w="28" w:type="dxa"/>
        </w:tblCellMar>
      </w:tblPr>
      <w:tblGrid>
        <w:gridCol w:w="1616"/>
        <w:gridCol w:w="1423"/>
        <w:gridCol w:w="1430"/>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541"/>
        <w:gridCol w:w="154"/>
      </w:tblGrid>
      <w:tr>
        <w:trPr/>
        <w:tc>
          <w:tcPr>
            <w:tcW w:w="161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gain/ (loss) from commodity derivative activity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tbl>
      <w:tblPr>
        <w:tblW w:w="4547" w:type="dxa"/>
        <w:jc w:val="center"/>
        <w:tblInd w:w="0" w:type="dxa"/>
        <w:tblLayout w:type="fixed"/>
        <w:tblCellMar>
          <w:top w:w="28" w:type="dxa"/>
          <w:left w:w="28" w:type="dxa"/>
          <w:bottom w:w="28" w:type="dxa"/>
          <w:right w:w="28" w:type="dxa"/>
        </w:tblCellMar>
      </w:tblPr>
      <w:tblGrid>
        <w:gridCol w:w="804"/>
        <w:gridCol w:w="706"/>
        <w:gridCol w:w="710"/>
        <w:gridCol w:w="211"/>
        <w:gridCol w:w="541"/>
        <w:gridCol w:w="109"/>
        <w:gridCol w:w="109"/>
        <w:gridCol w:w="109"/>
        <w:gridCol w:w="109"/>
        <w:gridCol w:w="265"/>
        <w:gridCol w:w="681"/>
        <w:gridCol w:w="193"/>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Variation margin returned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broker payable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pStyle w:val="TextBody"/>
        <w:bidi w:val="0"/>
        <w:spacing w:before="0" w:after="0"/>
        <w:ind w:left="0" w:right="0" w:firstLine="720"/>
        <w:jc w:val="left"/>
        <w:rPr/>
      </w:pPr>
      <w:r>
        <w:rPr/>
      </w:r>
    </w:p>
    <w:tbl>
      <w:tblPr>
        <w:tblW w:w="10507"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466"/>
        <w:gridCol w:w="109"/>
        <w:gridCol w:w="109"/>
        <w:gridCol w:w="109"/>
        <w:gridCol w:w="109"/>
        <w:gridCol w:w="245"/>
        <w:gridCol w:w="438"/>
        <w:gridCol w:w="128"/>
        <w:gridCol w:w="109"/>
        <w:gridCol w:w="109"/>
        <w:gridCol w:w="109"/>
        <w:gridCol w:w="211"/>
        <w:gridCol w:w="521"/>
        <w:gridCol w:w="109"/>
        <w:gridCol w:w="109"/>
        <w:gridCol w:w="109"/>
        <w:gridCol w:w="109"/>
        <w:gridCol w:w="251"/>
        <w:gridCol w:w="429"/>
        <w:gridCol w:w="131"/>
        <w:gridCol w:w="109"/>
        <w:gridCol w:w="109"/>
        <w:gridCol w:w="109"/>
        <w:gridCol w:w="109"/>
        <w:gridCol w:w="109"/>
        <w:gridCol w:w="109"/>
        <w:gridCol w:w="211"/>
        <w:gridCol w:w="466"/>
        <w:gridCol w:w="109"/>
        <w:gridCol w:w="109"/>
        <w:gridCol w:w="109"/>
        <w:gridCol w:w="109"/>
        <w:gridCol w:w="245"/>
        <w:gridCol w:w="438"/>
        <w:gridCol w:w="128"/>
        <w:gridCol w:w="109"/>
        <w:gridCol w:w="109"/>
        <w:gridCol w:w="109"/>
        <w:gridCol w:w="211"/>
        <w:gridCol w:w="521"/>
        <w:gridCol w:w="109"/>
        <w:gridCol w:w="109"/>
        <w:gridCol w:w="109"/>
        <w:gridCol w:w="109"/>
        <w:gridCol w:w="248"/>
        <w:gridCol w:w="425"/>
        <w:gridCol w:w="183"/>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 Hedging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terms of our outstanding interest rate derivatives as of June 30, 2023 (notional amounts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764"/>
        <w:gridCol w:w="672"/>
        <w:gridCol w:w="673"/>
        <w:gridCol w:w="109"/>
        <w:gridCol w:w="109"/>
        <w:gridCol w:w="109"/>
        <w:gridCol w:w="629"/>
        <w:gridCol w:w="629"/>
        <w:gridCol w:w="631"/>
        <w:gridCol w:w="109"/>
        <w:gridCol w:w="109"/>
        <w:gridCol w:w="109"/>
        <w:gridCol w:w="211"/>
        <w:gridCol w:w="466"/>
        <w:gridCol w:w="109"/>
        <w:gridCol w:w="109"/>
        <w:gridCol w:w="109"/>
        <w:gridCol w:w="109"/>
        <w:gridCol w:w="465"/>
        <w:gridCol w:w="465"/>
        <w:gridCol w:w="466"/>
        <w:gridCol w:w="109"/>
        <w:gridCol w:w="109"/>
        <w:gridCol w:w="109"/>
        <w:gridCol w:w="255"/>
        <w:gridCol w:w="256"/>
        <w:gridCol w:w="617"/>
        <w:gridCol w:w="109"/>
        <w:gridCol w:w="109"/>
        <w:gridCol w:w="109"/>
        <w:gridCol w:w="367"/>
        <w:gridCol w:w="367"/>
        <w:gridCol w:w="528"/>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Hedged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and Types of</w:t>
              <w:br/>
              <w:t>Derivatives Employed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w:t>
              <w:b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Rate</w:t>
              <w:br/>
              <w:t>Locked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Accounting</w:t>
              <w:br/>
              <w:t>Treatment</w:t>
            </w:r>
          </w:p>
        </w:tc>
      </w:tr>
      <w:tr>
        <w:trPr/>
        <w:tc>
          <w:tcPr>
            <w:tcW w:w="2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6/14/2024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we terminated $200 million of notional interest hedging instruments previously expected to terminate in June 2023 for proceeds of $80 million, of which $73 million was recorded in AOCI. As of June 30, 2023, there was a net loss of $100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June 30, 2023; thus, actual amounts to be reclassified will differ and could vary materially as a result of changes in market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unrealized gain/(loss) recognized in AOCI for derivatives (in millions):</w:t>
      </w:r>
    </w:p>
    <w:p>
      <w:pPr>
        <w:pStyle w:val="TextBody"/>
        <w:bidi w:val="0"/>
        <w:spacing w:before="0" w:after="0"/>
        <w:ind w:left="0" w:right="0" w:firstLine="720"/>
        <w:jc w:val="left"/>
        <w:rPr/>
      </w:pPr>
      <w:r>
        <w:rPr/>
      </w:r>
    </w:p>
    <w:tbl>
      <w:tblPr>
        <w:tblW w:w="5912" w:type="dxa"/>
        <w:jc w:val="center"/>
        <w:tblInd w:w="0" w:type="dxa"/>
        <w:tblLayout w:type="fixed"/>
        <w:tblCellMar>
          <w:top w:w="28" w:type="dxa"/>
          <w:left w:w="28" w:type="dxa"/>
          <w:bottom w:w="28" w:type="dxa"/>
          <w:right w:w="28" w:type="dxa"/>
        </w:tblCellMar>
      </w:tblPr>
      <w:tblGrid>
        <w:gridCol w:w="853"/>
        <w:gridCol w:w="749"/>
        <w:gridCol w:w="753"/>
        <w:gridCol w:w="213"/>
        <w:gridCol w:w="259"/>
        <w:gridCol w:w="110"/>
        <w:gridCol w:w="110"/>
        <w:gridCol w:w="110"/>
        <w:gridCol w:w="110"/>
        <w:gridCol w:w="213"/>
        <w:gridCol w:w="366"/>
        <w:gridCol w:w="110"/>
        <w:gridCol w:w="109"/>
        <w:gridCol w:w="109"/>
        <w:gridCol w:w="109"/>
        <w:gridCol w:w="211"/>
        <w:gridCol w:w="256"/>
        <w:gridCol w:w="109"/>
        <w:gridCol w:w="109"/>
        <w:gridCol w:w="109"/>
        <w:gridCol w:w="109"/>
        <w:gridCol w:w="211"/>
        <w:gridCol w:w="36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net</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net fair value of our interest rate hedges, which were included in “Other current assets” and “Other long-term liabilities and deferred credits” on our Condensed Consolidated Balance Sheet, totaled $47 million and $5 million, respectively. At December 31, 2022, the net fair value of these hedges totaled $75 million and $45 million, which were included in “Other current assets” and “Other long-term assets, net,”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Preferred Distribution Rate Reset Option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the PAA partnership agreement, and recorded at fair value on our Condensed Consolidated Balance Sheet. The fair value of the Preferred Distribution Rate Reset Option, which was included in “Other long-term liabilities and deferred credits” on our Condensed Consolidated Balance Sheet, totaled $189 million at December 31, 2022. The Preferred Distribution Rate Reset Option was settled when we received notice that the Series A preferred unitholders elected the Preferred Distribution Rate Reset Option. The fair value of the Preferred Distribution Rate Reset Option on the settlement date was $131 million. The Preferred Distribution Rate Reset Option embedded derivative was not designated in a hedging relationship for accounting purposes and corresponding changes in fair value were recognized in “Other income/(expense), net” in our Condensed Consolidated Statements of Operations. For the three months ended June 30, 2022, we recognized a loss of $103 million. For the six months ended June 30, 2023 and 2022, we recognized a gain of $58 million and a net loss of $147 million, respectively. See Note 6 for additional information regarding the Preferred Distribution Rate Reset Option.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Derivative Financial Assets and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ind w:left="0" w:right="0" w:firstLine="720"/>
        <w:jc w:val="left"/>
        <w:rPr/>
      </w:pPr>
      <w:r>
        <w:rPr/>
      </w:r>
    </w:p>
    <w:tbl>
      <w:tblPr>
        <w:tblW w:w="11487" w:type="dxa"/>
        <w:jc w:val="center"/>
        <w:tblInd w:w="0" w:type="dxa"/>
        <w:tblLayout w:type="fixed"/>
        <w:tblCellMar>
          <w:top w:w="28" w:type="dxa"/>
          <w:left w:w="28" w:type="dxa"/>
          <w:bottom w:w="28" w:type="dxa"/>
          <w:right w:w="28" w:type="dxa"/>
        </w:tblCellMar>
      </w:tblPr>
      <w:tblGrid>
        <w:gridCol w:w="930"/>
        <w:gridCol w:w="817"/>
        <w:gridCol w:w="819"/>
        <w:gridCol w:w="109"/>
        <w:gridCol w:w="109"/>
        <w:gridCol w:w="109"/>
        <w:gridCol w:w="231"/>
        <w:gridCol w:w="280"/>
        <w:gridCol w:w="120"/>
        <w:gridCol w:w="109"/>
        <w:gridCol w:w="109"/>
        <w:gridCol w:w="109"/>
        <w:gridCol w:w="211"/>
        <w:gridCol w:w="466"/>
        <w:gridCol w:w="109"/>
        <w:gridCol w:w="109"/>
        <w:gridCol w:w="109"/>
        <w:gridCol w:w="109"/>
        <w:gridCol w:w="211"/>
        <w:gridCol w:w="406"/>
        <w:gridCol w:w="109"/>
        <w:gridCol w:w="109"/>
        <w:gridCol w:w="109"/>
        <w:gridCol w:w="109"/>
        <w:gridCol w:w="211"/>
        <w:gridCol w:w="466"/>
        <w:gridCol w:w="109"/>
        <w:gridCol w:w="109"/>
        <w:gridCol w:w="109"/>
        <w:gridCol w:w="109"/>
        <w:gridCol w:w="109"/>
        <w:gridCol w:w="109"/>
        <w:gridCol w:w="109"/>
        <w:gridCol w:w="211"/>
        <w:gridCol w:w="311"/>
        <w:gridCol w:w="109"/>
        <w:gridCol w:w="109"/>
        <w:gridCol w:w="109"/>
        <w:gridCol w:w="109"/>
        <w:gridCol w:w="211"/>
        <w:gridCol w:w="466"/>
        <w:gridCol w:w="109"/>
        <w:gridCol w:w="109"/>
        <w:gridCol w:w="109"/>
        <w:gridCol w:w="109"/>
        <w:gridCol w:w="211"/>
        <w:gridCol w:w="481"/>
        <w:gridCol w:w="109"/>
        <w:gridCol w:w="109"/>
        <w:gridCol w:w="109"/>
        <w:gridCol w:w="109"/>
        <w:gridCol w:w="211"/>
        <w:gridCol w:w="466"/>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2022</w:t>
            </w:r>
          </w:p>
        </w:tc>
      </w:tr>
      <w:tr>
        <w:trPr/>
        <w:tc>
          <w:tcPr>
            <w:tcW w:w="25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Recurring Fair Value Measures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Distribution Rate Reset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Derivative assets and liabilities are presented above on a net basis but do not include related cash margin deposits.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of the fair value hierarchy includes the Preferred Distribution Rate Reset Option contained in PAA’s partnership agreement which was classified as an embedded derivative. As discussed above, the Preferred Distribution Rate Reset Option was settled on January 31, 2023. The fair value of the Preferred Distribution Rate Reset Option was based on a Monte Carlo valuation model that estimated the fair value of the Series A preferred units with and without the Preferred Distribution Rate Reset Option. This model relied on assumptions for forecasts for the ten-year U.S. Treasury rate, PAA’s common unit price, and default probabilities which impacted timing estimates as to when the option would be exercised.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Rollforward of Level 3 Net Asset/(Liability)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changes in fair value of the beginning and ending balances for our derivatives classified as Level 3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176"/>
        <w:gridCol w:w="1881"/>
        <w:gridCol w:w="1892"/>
        <w:gridCol w:w="211"/>
        <w:gridCol w:w="406"/>
        <w:gridCol w:w="109"/>
        <w:gridCol w:w="109"/>
        <w:gridCol w:w="109"/>
        <w:gridCol w:w="109"/>
        <w:gridCol w:w="211"/>
        <w:gridCol w:w="514"/>
        <w:gridCol w:w="109"/>
        <w:gridCol w:w="109"/>
        <w:gridCol w:w="109"/>
        <w:gridCol w:w="109"/>
        <w:gridCol w:w="211"/>
        <w:gridCol w:w="514"/>
        <w:gridCol w:w="109"/>
        <w:gridCol w:w="109"/>
        <w:gridCol w:w="109"/>
        <w:gridCol w:w="109"/>
        <w:gridCol w:w="211"/>
        <w:gridCol w:w="514"/>
        <w:gridCol w:w="156"/>
      </w:tblGrid>
      <w:tr>
        <w:trPr/>
        <w:tc>
          <w:tcPr>
            <w:tcW w:w="21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gains/(losses) for the period included in earnings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gains/(losses) included in earnings relating to Level 3 derivatives still held at the end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17 to our Consolidated Financial Statements included in Part IV of our 2022 Annual Report on Form 10-K for a complete discussion of related parties, including the determination of our related parties and nature of involvement with such related parties.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and 2022, we recognized sales and transportation revenues, purchased petroleum products and utilized transportation and storage services from related parties. These transactions were conducted at posted tariff rates or prices that we believe approximate market.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to our Condensed Consolidated Statements of Operations from these transactions is included below (in millions): </w:t>
      </w:r>
    </w:p>
    <w:tbl>
      <w:tblPr>
        <w:tblW w:w="7979" w:type="dxa"/>
        <w:jc w:val="center"/>
        <w:tblInd w:w="0" w:type="dxa"/>
        <w:tblLayout w:type="fixed"/>
        <w:tblCellMar>
          <w:top w:w="28" w:type="dxa"/>
          <w:left w:w="28" w:type="dxa"/>
          <w:bottom w:w="28" w:type="dxa"/>
          <w:right w:w="28" w:type="dxa"/>
        </w:tblCellMar>
      </w:tblPr>
      <w:tblGrid>
        <w:gridCol w:w="1419"/>
        <w:gridCol w:w="1243"/>
        <w:gridCol w:w="1252"/>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receivable and payable amounts with these related parties as reflected on our Condensed Consolidated Balance Sheets were as follows (in millions):</w:t>
      </w:r>
    </w:p>
    <w:p>
      <w:pPr>
        <w:pStyle w:val="TextBody"/>
        <w:bidi w:val="0"/>
        <w:spacing w:before="0" w:after="0"/>
        <w:ind w:left="0" w:right="0" w:firstLine="720"/>
        <w:jc w:val="left"/>
        <w:rPr/>
      </w:pPr>
      <w:r>
        <w:rPr/>
      </w:r>
    </w:p>
    <w:tbl>
      <w:tblPr>
        <w:tblW w:w="8352" w:type="dxa"/>
        <w:jc w:val="center"/>
        <w:tblInd w:w="0" w:type="dxa"/>
        <w:tblLayout w:type="fixed"/>
        <w:tblCellMar>
          <w:top w:w="28" w:type="dxa"/>
          <w:left w:w="28" w:type="dxa"/>
          <w:bottom w:w="28" w:type="dxa"/>
          <w:right w:w="28" w:type="dxa"/>
        </w:tblCellMar>
      </w:tblPr>
      <w:tblGrid>
        <w:gridCol w:w="2230"/>
        <w:gridCol w:w="1962"/>
        <w:gridCol w:w="1973"/>
        <w:gridCol w:w="223"/>
        <w:gridCol w:w="382"/>
        <w:gridCol w:w="115"/>
        <w:gridCol w:w="109"/>
        <w:gridCol w:w="109"/>
        <w:gridCol w:w="109"/>
        <w:gridCol w:w="331"/>
        <w:gridCol w:w="567"/>
        <w:gridCol w:w="242"/>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receivable and other receivables, net from related parties </w:t>
            </w:r>
            <w:r>
              <w:rPr>
                <w:rFonts w:ascii="Times New Roman;sans-serif" w:hAnsi="Times New Roman;sans-serif"/>
                <w:b w:val="false"/>
                <w:color w:val="000000"/>
                <w:sz w:val="13"/>
              </w:rPr>
              <w:t>(1)</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payable to related parties </w:t>
            </w:r>
            <w:r>
              <w:rPr>
                <w:rFonts w:ascii="Times New Roman;sans-serif" w:hAnsi="Times New Roman;sans-serif"/>
                <w:b w:val="false"/>
                <w:color w:val="000000"/>
                <w:sz w:val="13"/>
              </w:rPr>
              <w:t>(1) (2)</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amounts related to transportation and storage services, amounts owed to us or advanced to us related to investment capital projects of equity method investees where we serve as construction manager and amounts related to crude oil purchases and sales.</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Loss Contingencies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Legal Proceedings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Environmental — 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both June 30, 2023 and December 31, 2022, our estimated undiscounted reserve for environmental liabilities (excluding liabilities related to the Line 901 incident, as discussed further below) totaled $55 million, of which $10 million was classified as short-term and $45 million was classified as long-term for each period. Such short-term liabilities are reflected in “Other current liabilities” and long-term liabilities are reflected in “Other long-term liabilities and deferred credits” on our Condensed Consolidated Balance Sheets. At both June 30, 2023 and December 31, 2022, we had recorded receivables (excluding receivables related to the Line 901 incident) totaling $4 million for amounts probable of recovery under insurance and from third parties under indemnification agreements, $1 million of which for each period is reflected in “Other long-term assets, net” and the remainder is reflected in “Trade accounts receivable and other receivables, net” on our Condensed Consolidated Balance Sheets.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Specific Legal, Environmental or Regulatory Matters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w:t>
      </w:r>
      <w:r>
        <w:rPr>
          <w:rFonts w:ascii="Times New Roman;sans-serif" w:hAnsi="Times New Roman;sans-serif"/>
          <w:b w:val="false"/>
          <w:color w:val="000000"/>
          <w:sz w:val="20"/>
        </w:rPr>
        <w:t>. In May 2015, we experienced a crude oil release from our Las Flores to Gaviota Pipeline (Line 901) 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have appealed the Court’s rulings.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filed in the United States District Court for the Central District of California that was remanded to the California Superior Court in Santa Barbara County for lost revenue or profit asserted by a former oil producer that declared bankruptcy and shut in its offshore production platform following the Line 901 incident; (ii) a lawsuit filed by the California State Land Commission in California Superior Court in Santa Barbara County, seeking lost royalties following the shut-down of Line 901, as well as costs related to the decommissioning of such platform, and (iii) lawsuits filed in California Superior Court in Santa Barbara County, by various companies and individuals who provided labor, goods, or services associated with oil production activities they claim were disrupted following the Line 901 incident. We are vigorously defending these remaining lawsuits and believe we have strong defenses.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 Nine class action lawsuits were filed against us; however, after various claims were either dismissed or consolidated, two proceedings remained pending in the United States District Court for the Central District of California.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first proceeding, the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joined this proceeding as a co-defendant with respect to its interest in such acquired pipelines.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proceeding,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June 30, 2023. Insurers responsible for $185 million of the remaining $225 million of coverage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responded to our reimbursement demand. We have initiated arbitration proceedings against the insurers responsible for $175 million of coverage and intend to vigorously pursue recovery from our insurers of all amounts for which we have claimed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including the Class Action Settlement and the Derivative Settlement, we have made adjustments to our total estimated Line 901 costs and the portion of such costs that we believe are probable of recovery from insurance carriers, net of deductibles. Effective as of June 30, 2023, we estimate that the aggregate total costs we have incurred or will incur with respect to the Line 901 incident will be approximately $740 million, which includes actual and projected emergency response and clean-up costs, natural resource damage assessments, fines and penalties payable pursuant to the Consent Decree, certain third party claims settlements (including the Class Action Settlement and the Derivative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we recognized costs, net of amounts probable of recovery from insurance carriers, of $85 million. We did not recognize any such costs during the six months ended June 30, 2023. As of June 30, 2023, we had a remaining undiscounted gross liability of approximately $98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June 30, 2023, our incurred costs for the Line 901 incident have exceeded our insurance coverage limit of $500 million related to our 2015 insurance program applicable to the Line 901 incident by $240 million. Through June 30, 2023,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June 30, 2023, we have recognized a long-term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recognized such amount as a long-term asset in “Other assets” on our Condensed Consolidated Balance Sheet. 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Other Litigation Matters. </w:t>
      </w:r>
      <w:r>
        <w:rPr>
          <w:rFonts w:ascii="Times New Roman;sans-serif" w:hAnsi="Times New Roman;sans-serif"/>
          <w:b w:val="false"/>
          <w:color w:val="000000"/>
          <w:sz w:val="20"/>
        </w:rPr>
        <w:t>On July 19, 2022 Hartree Natural Gas Storage, LLC (“Hartree”) filed a lawsuit under seal in the Superior Court for the State of Delaware asserting claims against PAA Natural Gas Storage, L.P. and PAA arising out of a Membership Interest Purchase Agreement relating to the 2021 sale of the Pine Prairie Energy Center natural gas storage facility to Hartree. We believe the claims are without merit and that the outcome of the lawsuit will not have a material adverse effect on our financial condition, results of operations or cash flows. We intend to vigorously defend against the claims asserted in this lawsuit.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Insurance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associated with operating pipelines, terminals and other facilities and equipment, including the potential loss of significant revenues and 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two operating segments, which are also our reportable segments: Crude Oil and NGL. See Note 20 to our Consolidated Financial Statements included in Part IV of our 2022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(“Adjusted EBITDA attributable to noncontrolling interests”).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data for each segment (in millions):</w:t>
      </w:r>
    </w:p>
    <w:p>
      <w:pPr>
        <w:pStyle w:val="TextBody"/>
        <w:bidi w:val="0"/>
        <w:spacing w:before="0" w:after="0"/>
        <w:ind w:left="0" w:right="0" w:firstLine="720"/>
        <w:jc w:val="left"/>
        <w:rPr/>
      </w:pPr>
      <w:r>
        <w:rPr/>
      </w:r>
    </w:p>
    <w:tbl>
      <w:tblPr>
        <w:tblW w:w="9384" w:type="dxa"/>
        <w:jc w:val="center"/>
        <w:tblInd w:w="0" w:type="dxa"/>
        <w:tblLayout w:type="fixed"/>
        <w:tblCellMar>
          <w:top w:w="28" w:type="dxa"/>
          <w:left w:w="28" w:type="dxa"/>
          <w:bottom w:w="28" w:type="dxa"/>
          <w:right w:w="28" w:type="dxa"/>
        </w:tblCellMar>
      </w:tblPr>
      <w:tblGrid>
        <w:gridCol w:w="1293"/>
        <w:gridCol w:w="1136"/>
        <w:gridCol w:w="1141"/>
        <w:gridCol w:w="211"/>
        <w:gridCol w:w="721"/>
        <w:gridCol w:w="109"/>
        <w:gridCol w:w="109"/>
        <w:gridCol w:w="109"/>
        <w:gridCol w:w="109"/>
        <w:gridCol w:w="211"/>
        <w:gridCol w:w="616"/>
        <w:gridCol w:w="109"/>
        <w:gridCol w:w="109"/>
        <w:gridCol w:w="109"/>
        <w:gridCol w:w="109"/>
        <w:gridCol w:w="465"/>
        <w:gridCol w:w="1063"/>
        <w:gridCol w:w="242"/>
        <w:gridCol w:w="109"/>
        <w:gridCol w:w="109"/>
        <w:gridCol w:w="109"/>
        <w:gridCol w:w="211"/>
        <w:gridCol w:w="721"/>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 Revenues</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attributable to PAGP (in millions):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165"/>
        <w:gridCol w:w="1801"/>
        <w:gridCol w:w="1767"/>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6"/>
      </w:tblGrid>
      <w:tr>
        <w:trPr/>
        <w:tc>
          <w:tcPr>
            <w:tcW w:w="216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7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Deficiencies under minimum volume commitments, net </w:t>
            </w:r>
            <w:r>
              <w:rPr>
                <w:rFonts w:ascii="Times New Roman;sans-serif" w:hAnsi="Times New Roman;sans-serif"/>
                <w:b w:val="false"/>
                <w:color w:val="000000"/>
                <w:sz w:val="13"/>
              </w:rPr>
              <w:t>(5)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Line 901 incident </w:t>
            </w:r>
            <w:r>
              <w:rPr>
                <w:rFonts w:ascii="Times New Roman;sans-serif" w:hAnsi="Times New Roman;sans-serif"/>
                <w:b w:val="false"/>
                <w:color w:val="000000"/>
                <w:sz w:val="13"/>
              </w:rPr>
              <w:t>(8)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attributable to noncontrolling interests in consolidated joint ventures </w:t>
            </w:r>
            <w:r>
              <w:rPr>
                <w:rFonts w:ascii="Times New Roman;sans-serif" w:hAnsi="Times New Roman;sans-serif"/>
                <w:b w:val="false"/>
                <w:color w:val="000000"/>
                <w:sz w:val="13"/>
              </w:rPr>
              <w:t>(9)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Unallocated general and administrative expenses </w:t>
            </w:r>
            <w:r>
              <w:rPr>
                <w:rFonts w:ascii="Times New Roman;sans-serif" w:hAnsi="Times New Roman;sans-serif"/>
                <w:b w:val="false"/>
                <w:color w:val="000000"/>
                <w:sz w:val="13"/>
              </w:rPr>
              <w:t>(10)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adjustments utilized by our CODM in the evaluation of segment results.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our proportionate share of the depreciation and amortization expense (including write-downs related to cancelled projects and impairments) of unconsolidated entities.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GP HOLDINGS, L.P. AND SUBSIDIARIES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Our total equity-indexed compensation expense includes expense associated with awards that will be settled in PAA common units and awards that will be settled in cash. The awards that will be settled in PAA common units are included in PAA’s diluted net income per unit calculation when the applicable performance criteria have been met. We exclude compensation expense associated with these awards in determining Segment Adjusted EBITDA as the dilutive impact of the outstanding awards is included in PAA’s diluted net income per unit calculation, as applicable. The portion of compensation expense associated with awards that will settle in cash is not excluded in determining Segment Adjusted EBITDA. See Note 18 to our Consolidated Financial Statements included in Part IV of our 2022 Annual Report on Form 10-K for a discussion regarding our equity-indexed compensation plans.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Includes costs recognized during the period related to the Line 901 incident that occurred in May 2015, net of amounts we believe are probable of recovery from insurance. See Note 9 for additional information regarding the Line 901 incident.</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(10)</w:t>
      </w:r>
      <w:r>
        <w:rPr>
          <w:rFonts w:ascii="Times New Roman;sans-serif" w:hAnsi="Times New Roman;sans-serif"/>
          <w:b w:val="false"/>
          <w:color w:val="000000"/>
          <w:sz w:val="20"/>
        </w:rPr>
        <w:t>Represents general and administrative expenses incremental to those of PAA, which are not allocated to our reporting segments in determining Segment Adjusted EBITDA.</w:t>
      </w:r>
    </w:p>
    <w:p>
      <w:pPr>
        <w:pStyle w:val="TextBody"/>
        <w:bidi w:val="0"/>
        <w:spacing w:before="12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Acquisitions and Divestitures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OMOG Acquisition. </w:t>
      </w:r>
      <w:r>
        <w:rPr>
          <w:rFonts w:ascii="Times New Roman;sans-serif" w:hAnsi="Times New Roman;sans-serif"/>
          <w:b w:val="false"/>
          <w:color w:val="000000"/>
          <w:sz w:val="20"/>
        </w:rPr>
        <w:t>On July 28, 2023, we acquired the remaining 43% interest in OMOG JV LLC (“OMOG”) for approximately $225 million ($145 million net to our 65% interest in the Permian JV). As a result of this transaction, we now own 100% of OMOG and its subsidiaries and such entities will be reflected as consolidated subsidiaries in our consolidated financial statements. Prior to this transaction, our 57% interest in OMOG was accounted for as an equity method investment.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Keyera Fort Saskatchewan Divestiture.</w:t>
      </w:r>
      <w:r>
        <w:rPr>
          <w:color w:val="000000"/>
        </w:rPr>
        <w:t xml:space="preserve"> </w:t>
      </w:r>
      <w:r>
        <w:rPr>
          <w:rFonts w:ascii="Times New Roman;sans-serif" w:hAnsi="Times New Roman;sans-serif"/>
          <w:b w:val="false"/>
          <w:color w:val="000000"/>
          <w:sz w:val="20"/>
        </w:rPr>
        <w:t>In February 2023, we sold our 21% non-operated/undivided joint interest in the Keyera Fort Saskatchewan facility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which is reflected in “Other current assets” on our Condensed Consolidated Balance Sheet. Upon the sale of this facility, we recognized a gain of approximately $140 million which is included in “(Gains)/losses on asset sales and asset impairments, net” on our Condensed Consolidated Statement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2022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includes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Results of Operations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Liquidity and Capital Resources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Recent Accounting Pronouncements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Forward-Looking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Delaware limited partnership that has elected to be taxed as a corporation for United States federal income tax purposes. As of June 30, 2023, our sole cash-generating assets consisted of an approximate 81% limited partner interest in AAP. We also own a 100% managing member interest in GP LLC, which holds the non-economic general partner interest in AAP. As of June 30, 2023, AAP directly owned a limited partner interest in PAA through its ownership of approximately 240.8 million PAA common units (approximately 31% of PAA’s total outstanding common units and Series A preferred units combined). AAP is the sole member of PAA GP, which holds the non-economic general partner interest in PAA.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midstream service providers in North America, PAA owns an extensive network of pipeline transportation, terminalling, storage and gathering assets in key crude oil and NGL producing basins and transportation corridors and at major market hubs in the United States and Canada. PAA’s assets and the services it provides are primarily focused on crude oil and NGL.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Overview of Operating Results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 xml:space="preserve">During the first six months of 2023, we recognized net income of $776 million compared to $448 million during the first six months of 2022. </w:t>
      </w:r>
      <w:r>
        <w:rPr>
          <w:rFonts w:ascii="Times New Roman;sans-serif" w:hAnsi="Times New Roman;sans-serif"/>
          <w:b w:val="false"/>
          <w:color w:val="000000"/>
          <w:sz w:val="20"/>
        </w:rPr>
        <w:t>The increase in operating results for the first six months of 2023 over the comparable 2022 period was driven primarily by more favorable results in our Crude Oil segment resulting from higher volumes on our pipelines and market-based opportunities. In addition, the 2022 comparative period was impacted by an increase in the accrual for estimated costs associated with the Line 901 incident.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net income for the first six months of 2023 compared to the first six months of 2022 includes more favorable impacts from gains on asset sales and the mark-to-market adjustment of the Preferred Distribution Rate Reset Option, partially offset by less favorable impacts of long-term inventory costing adjustments.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the “Results of Operations” section below for further discussion.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overview of our consolidated financial results calculated in accordance with GAAP (in millions, except per share data): </w:t>
      </w:r>
    </w:p>
    <w:p>
      <w:pPr>
        <w:pStyle w:val="TextBody"/>
        <w:bidi w:val="0"/>
        <w:spacing w:before="0" w:after="0"/>
        <w:ind w:left="0" w:right="0" w:firstLine="720"/>
        <w:jc w:val="left"/>
        <w:rPr/>
      </w:pPr>
      <w:r>
        <w:rPr/>
      </w:r>
    </w:p>
    <w:tbl>
      <w:tblPr>
        <w:tblW w:w="11597" w:type="dxa"/>
        <w:jc w:val="center"/>
        <w:tblInd w:w="0" w:type="dxa"/>
        <w:tblLayout w:type="fixed"/>
        <w:tblCellMar>
          <w:top w:w="28" w:type="dxa"/>
          <w:left w:w="28" w:type="dxa"/>
          <w:bottom w:w="28" w:type="dxa"/>
          <w:right w:w="28" w:type="dxa"/>
        </w:tblCellMar>
      </w:tblPr>
      <w:tblGrid>
        <w:gridCol w:w="844"/>
        <w:gridCol w:w="268"/>
        <w:gridCol w:w="26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40"/>
        <w:gridCol w:w="241"/>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33"/>
        <w:gridCol w:w="233"/>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PAGP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Class A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Class A shares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Revenues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our consolidated revenues and purchases and related costs are primarily associated with our merchant activities and generally explained in large part by changes in commodity prices. Our crude oil and NGL merchant activities are not directly affected by the absolute level of prices because the commodities that we buy and sell are generally indexed to the same pricing indices. Product sales revenues and purchases and related costs will fluctuate with market prices; however, the absolute margins related to those sales and purchases will not necessarily have a corresponding increase or decrease. Additionally, product sales revenues include the impact of gains and losses related to derivative instruments used to manage our exposure to commodity price risk associated with such sales and purchases.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sales and purchases are indexed to WTI. The following table presents the range of NYMEX WTI benchmark prices of crude oil (in dollars per barrel):</w:t>
      </w:r>
    </w:p>
    <w:p>
      <w:pPr>
        <w:pStyle w:val="TextBody"/>
        <w:bidi w:val="0"/>
        <w:spacing w:before="0" w:after="0"/>
        <w:jc w:val="left"/>
        <w:rPr/>
      </w:pPr>
      <w:r>
        <w:rPr/>
      </w:r>
    </w:p>
    <w:tbl>
      <w:tblPr>
        <w:tblW w:w="5966" w:type="dxa"/>
        <w:jc w:val="center"/>
        <w:tblInd w:w="0" w:type="dxa"/>
        <w:tblLayout w:type="fixed"/>
        <w:tblCellMar>
          <w:top w:w="28" w:type="dxa"/>
          <w:left w:w="28" w:type="dxa"/>
          <w:bottom w:w="28" w:type="dxa"/>
          <w:right w:w="28" w:type="dxa"/>
        </w:tblCellMar>
      </w:tblPr>
      <w:tblGrid>
        <w:gridCol w:w="1092"/>
        <w:gridCol w:w="959"/>
        <w:gridCol w:w="963"/>
        <w:gridCol w:w="211"/>
        <w:gridCol w:w="361"/>
        <w:gridCol w:w="109"/>
        <w:gridCol w:w="109"/>
        <w:gridCol w:w="109"/>
        <w:gridCol w:w="109"/>
        <w:gridCol w:w="211"/>
        <w:gridCol w:w="466"/>
        <w:gridCol w:w="109"/>
        <w:gridCol w:w="109"/>
        <w:gridCol w:w="109"/>
        <w:gridCol w:w="109"/>
        <w:gridCol w:w="211"/>
        <w:gridCol w:w="46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NYMEX WTI</w:t>
              <w:br/>
              <w:t>Crude Oil Price</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 and purchases decreased for the three and six months ended June 30, 2023 compared to the same periods in 2022 primarily due to lower commodity prices in the 2023 periods. The decrease for the six-month period was partially offset by higher volumes in the 2023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 increased for the three and six months ended June 30, 2023 compared to the same periods in 2022 primarily due to higher volumes and tariff escalations in the 2023 periods, as well as the impact of the consolidation of Cactus II resulting from our acquisition of an additional interest in November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our net revenues (revenues less purchases and related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discussion of field operating costs in the “—Analysis of Operating Segments” section below.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increase in general and administrative expenses for the three and six months ended June 30, 2023 compared to the same periods in 2022 was primarily due to (i) higher information systems costs due to ongoing systems integration work and (ii) higher employee-related costs, including an increase in equity-indexed compensation expense on equity-classified awards (which is excluded in the calculation of Adjusted EBITDA and Segment Adjusted EBITDA), partially offset by (iii) lower transition </w:t>
      </w:r>
      <w:r>
        <w:rPr>
          <w:rFonts w:ascii="Times New Roman;sans-serif" w:hAnsi="Times New Roman;sans-serif"/>
          <w:b w:val="false"/>
          <w:color w:val="000000"/>
          <w:sz w:val="20"/>
          <w:shd w:fill="FFFFFF" w:val="clear"/>
        </w:rPr>
        <w:t>costs associated with the formation of the Permian JV and (iv) the impact of exchange rate fluctuations.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Gains/(Losses) on Asset Sales and Asset Impairments,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gains on asset sales and asset impairments for the six months ended June 30, 2023 was primarily comprised of a gain of approximately $140 million related to the sale of our Keyera Fort Saskatchewan facility in the first quarter of 2023. See Note 11 to our Condensed Consolidated Financial Statements for additional discussion of this transaction.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2022, we recognized a gain of $40 million related to the sale of land and buildings in California.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depreciation and amortization expense for the three and six months ended June 30, 2023 compared to the same periods in 2022 was largely driven by our acquisition of an additional interest in Cactus II, for which our ownership interest is now consolidated. See Note 7 to our Consolidated Financial Statements included in Part IV of our 2022 Annual Report on Form 10-K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Interest 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interest expense for the three and six months ended June 30, 2023 compared to the three and six months ended June 30, 2022 was primarily due to a lower weighted average debt balance during the 2023 periods largely driven by the repayment of $750 million of PAA senior notes in March 2022 and $400 million of PAA senior notes in January 2023.</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Other Income/(Expense),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Other income/(expense), net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093"/>
        <w:gridCol w:w="1834"/>
        <w:gridCol w:w="1844"/>
        <w:gridCol w:w="109"/>
        <w:gridCol w:w="109"/>
        <w:gridCol w:w="109"/>
        <w:gridCol w:w="211"/>
        <w:gridCol w:w="406"/>
        <w:gridCol w:w="109"/>
        <w:gridCol w:w="109"/>
        <w:gridCol w:w="109"/>
        <w:gridCol w:w="109"/>
        <w:gridCol w:w="211"/>
        <w:gridCol w:w="516"/>
        <w:gridCol w:w="109"/>
        <w:gridCol w:w="109"/>
        <w:gridCol w:w="109"/>
        <w:gridCol w:w="109"/>
        <w:gridCol w:w="211"/>
        <w:gridCol w:w="361"/>
        <w:gridCol w:w="109"/>
        <w:gridCol w:w="109"/>
        <w:gridCol w:w="109"/>
        <w:gridCol w:w="109"/>
        <w:gridCol w:w="211"/>
        <w:gridCol w:w="516"/>
        <w:gridCol w:w="156"/>
      </w:tblGrid>
      <w:tr>
        <w:trPr/>
        <w:tc>
          <w:tcPr>
            <w:tcW w:w="2093"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7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Gain/(loss) on mark-to-market adjustment of Preferred Distribution Rate Reset Option embedded derivative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gain/(loss) on foreign currency revaluation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See Note 7 to our Condensed Consolidated Financial Statements for additional information.</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activity during the periods presented was primarily related to the impact from the change in the USD to CAD exchange rate on the portion of our intercompany net investment that is not long-term in nature.</w:t>
      </w:r>
    </w:p>
    <w:p>
      <w:pPr>
        <w:pStyle w:val="TextBody"/>
        <w:bidi w:val="0"/>
        <w:spacing w:before="0" w:after="0"/>
        <w:ind w:left="0" w:right="0" w:hanging="360"/>
        <w:jc w:val="left"/>
        <w:rPr/>
      </w:pPr>
      <w:r>
        <w:rPr/>
      </w:r>
    </w:p>
    <w:p>
      <w:pPr>
        <w:pStyle w:val="TextBody"/>
        <w:bidi w:val="0"/>
        <w:spacing w:lineRule="auto" w:line="288" w:before="60" w:after="283"/>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Income Tax (Expense)/Benefit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unfavorable income tax variance for the six months ended June 30, 2023 compared to the same period in 2022 was primarily due to the impact of higher earnings, including increased activity within our Canadian operations and the tax impact of the Keyera Fort Saskatchewan divestiture in the first quarter of 2023.</w:t>
      </w:r>
    </w:p>
    <w:p>
      <w:pPr>
        <w:pStyle w:val="TextBody"/>
        <w:bidi w:val="0"/>
        <w:spacing w:before="0" w:after="0"/>
        <w:ind w:left="0" w:right="0" w:firstLine="720"/>
        <w:jc w:val="left"/>
        <w:rPr/>
      </w:pPr>
      <w:r>
        <w:rPr/>
      </w:r>
    </w:p>
    <w:p>
      <w:pPr>
        <w:pStyle w:val="TextBody"/>
        <w:bidi w:val="0"/>
        <w:spacing w:lineRule="auto" w:line="288" w:before="60" w:after="283"/>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 which excludes the portion of Adjusted EBITDA attributable to noncontrolling interests in consolidated joint venture entities.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and gains on and impairments of investments in unconsolidated entities, adjusted for certain selected items impacting comparability.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Condensed Consolidated Financial Statements and accompanying notes.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reconciliation of the non-GAAP financial performance measures Adjusted EBITDA and Adjusted EBITDA attributable to PAA to Net Income (in millions):</w:t>
      </w:r>
    </w:p>
    <w:p>
      <w:pPr>
        <w:pStyle w:val="TextBody"/>
        <w:bidi w:val="0"/>
        <w:spacing w:before="0" w:after="0"/>
        <w:ind w:left="0" w:right="0" w:firstLine="720"/>
        <w:jc w:val="left"/>
        <w:rPr/>
      </w:pPr>
      <w:r>
        <w:rPr/>
      </w:r>
    </w:p>
    <w:tbl>
      <w:tblPr>
        <w:tblW w:w="10799" w:type="dxa"/>
        <w:jc w:val="center"/>
        <w:tblInd w:w="0" w:type="dxa"/>
        <w:tblLayout w:type="fixed"/>
        <w:tblCellMar>
          <w:top w:w="28" w:type="dxa"/>
          <w:left w:w="28" w:type="dxa"/>
          <w:bottom w:w="28" w:type="dxa"/>
          <w:right w:w="28" w:type="dxa"/>
        </w:tblCellMar>
      </w:tblPr>
      <w:tblGrid>
        <w:gridCol w:w="936"/>
        <w:gridCol w:w="229"/>
        <w:gridCol w:w="231"/>
        <w:gridCol w:w="109"/>
        <w:gridCol w:w="109"/>
        <w:gridCol w:w="109"/>
        <w:gridCol w:w="211"/>
        <w:gridCol w:w="466"/>
        <w:gridCol w:w="109"/>
        <w:gridCol w:w="109"/>
        <w:gridCol w:w="109"/>
        <w:gridCol w:w="109"/>
        <w:gridCol w:w="211"/>
        <w:gridCol w:w="466"/>
        <w:gridCol w:w="109"/>
        <w:gridCol w:w="109"/>
        <w:gridCol w:w="109"/>
        <w:gridCol w:w="109"/>
        <w:gridCol w:w="211"/>
        <w:gridCol w:w="376"/>
        <w:gridCol w:w="109"/>
        <w:gridCol w:w="109"/>
        <w:gridCol w:w="109"/>
        <w:gridCol w:w="109"/>
        <w:gridCol w:w="231"/>
        <w:gridCol w:w="235"/>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39"/>
        <w:gridCol w:w="242"/>
        <w:gridCol w:w="316"/>
      </w:tblGrid>
      <w:tr>
        <w:trPr/>
        <w:tc>
          <w:tcPr>
            <w:tcW w:w="9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and asset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Unallocated general and administrative expenses</w:t>
            </w:r>
            <w:r>
              <w:rPr>
                <w:color w:val="000000"/>
              </w:rPr>
              <w:t xml:space="preserve">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Selected 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Derivative activities and inventory valuation adjustments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Line 901 incident</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Segment Adjusted EBITDA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Mark-to-market adjustment of Preferred Distribution Rate Reset Option embedded derivative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Adjusted EBITDA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attributable to noncontrolling interests in consolidated joint ventures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PAA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Represents general and administrative expenses incremental to those of PAA, which are not allocated to our reporting segments in determining Segment Adjusted EBITDA and are excluded in the non-GAAP financial performance measures utilized by management.</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For a more detailed discussion of these selected items impacting comparability, see the footnotes to the Segment Adjusted EBITDA Reconciliation table in Note 10 to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The Preferred Distribution Rate Reset Option of PAA’s Series A preferred units was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Other income/(expense), net on our Condensed Consolidated Statements of Operations, adjusted for selected items impacting comparability (“Adjusted other income/(expense), net”) is included in Adjusted EBITDA and excluded from Segment Adjusted EBITDA.</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Analysis of Operating Segments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PAGP. See Note 20 to our Consolidated Financial Statements included in Part IV of our 2022 Annual Report on Form 10-K for our definition of maintenance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serve third parties and are also supported by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subject to our risk management policies and may include the use of derivative instruments to manage exposure to commodity prices and, at times, to provide upside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primarily impacted by (i) increases or decreases in our lease gathering crude oil purchases volumes and (ii) volatility in commodity prices, as well as grade and regional price differentials and time spreads. The segment results also include the direct fixed and variable field costs of operating the crude oil assets, as well as an allocation of indirect operating costs.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set forth our operating results from our Crude Oil segment: </w:t>
      </w:r>
    </w:p>
    <w:p>
      <w:pPr>
        <w:pStyle w:val="TextBody"/>
        <w:bidi w:val="0"/>
        <w:spacing w:before="0" w:after="0"/>
        <w:ind w:left="0" w:right="0" w:firstLine="720"/>
        <w:jc w:val="left"/>
        <w:rPr/>
      </w:pPr>
      <w:r>
        <w:rPr/>
      </w:r>
    </w:p>
    <w:tbl>
      <w:tblPr>
        <w:tblW w:w="11954" w:type="dxa"/>
        <w:jc w:val="center"/>
        <w:tblInd w:w="0" w:type="dxa"/>
        <w:tblLayout w:type="fixed"/>
        <w:tblCellMar>
          <w:top w:w="28" w:type="dxa"/>
          <w:left w:w="28" w:type="dxa"/>
          <w:bottom w:w="28" w:type="dxa"/>
          <w:right w:w="28" w:type="dxa"/>
        </w:tblCellMar>
      </w:tblPr>
      <w:tblGrid>
        <w:gridCol w:w="571"/>
        <w:gridCol w:w="502"/>
        <w:gridCol w:w="503"/>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188"/>
        <w:gridCol w:w="188"/>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218"/>
        <w:gridCol w:w="188"/>
        <w:gridCol w:w="316"/>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Line 901 incident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interests in consolidated 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81"/>
        <w:gridCol w:w="289"/>
        <w:gridCol w:w="292"/>
        <w:gridCol w:w="109"/>
        <w:gridCol w:w="109"/>
        <w:gridCol w:w="109"/>
        <w:gridCol w:w="308"/>
        <w:gridCol w:w="308"/>
        <w:gridCol w:w="114"/>
        <w:gridCol w:w="113"/>
        <w:gridCol w:w="113"/>
        <w:gridCol w:w="113"/>
        <w:gridCol w:w="308"/>
        <w:gridCol w:w="308"/>
        <w:gridCol w:w="114"/>
        <w:gridCol w:w="109"/>
        <w:gridCol w:w="109"/>
        <w:gridCol w:w="109"/>
        <w:gridCol w:w="240"/>
        <w:gridCol w:w="240"/>
        <w:gridCol w:w="241"/>
        <w:gridCol w:w="109"/>
        <w:gridCol w:w="109"/>
        <w:gridCol w:w="109"/>
        <w:gridCol w:w="202"/>
        <w:gridCol w:w="204"/>
        <w:gridCol w:w="271"/>
        <w:gridCol w:w="109"/>
        <w:gridCol w:w="109"/>
        <w:gridCol w:w="109"/>
        <w:gridCol w:w="109"/>
        <w:gridCol w:w="109"/>
        <w:gridCol w:w="109"/>
        <w:gridCol w:w="308"/>
        <w:gridCol w:w="308"/>
        <w:gridCol w:w="154"/>
        <w:gridCol w:w="111"/>
        <w:gridCol w:w="111"/>
        <w:gridCol w:w="111"/>
        <w:gridCol w:w="308"/>
        <w:gridCol w:w="308"/>
        <w:gridCol w:w="154"/>
        <w:gridCol w:w="109"/>
        <w:gridCol w:w="109"/>
        <w:gridCol w:w="109"/>
        <w:gridCol w:w="308"/>
        <w:gridCol w:w="308"/>
        <w:gridCol w:w="241"/>
        <w:gridCol w:w="109"/>
        <w:gridCol w:w="109"/>
        <w:gridCol w:w="109"/>
        <w:gridCol w:w="202"/>
        <w:gridCol w:w="204"/>
        <w:gridCol w:w="321"/>
      </w:tblGrid>
      <w:tr>
        <w:trPr/>
        <w:tc>
          <w:tcPr>
            <w:tcW w:w="6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Crude oil pipeline tariff (by region)</w:t>
            </w:r>
            <w:r>
              <w:rPr>
                <w:color w:val="000000"/>
              </w:rPr>
              <w:t xml:space="preser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Basin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crude oil pipeline tariff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crude oil storage capacity </w:t>
            </w:r>
            <w:r>
              <w:rPr>
                <w:rFonts w:ascii="Times New Roman;sans-serif" w:hAnsi="Times New Roman;sans-serif"/>
                <w:b w:val="false"/>
                <w:color w:val="000000"/>
                <w:sz w:val="13"/>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Crude oil lease gathering purchases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periods represent total volumes for the number of days we actually owned the assets divided by the number of days in the period.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volumes (attributable to our interest) from assets owned by unconsolidated entities.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Average monthly capacity in millions of barrels calculated as total volumes for the period divided by the number of months in the period.</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Crude Oil Segment Adjusted EBITDA increased for the three and six months ended June 30, 2023 compared to the same periods in 2022 primarily due to higher volumes on our pipeline systems, particularly on our Permian Basin and Capline assets, tariff escalations and favorable Canadian market-based opportunities. These items were partially offset by the impact of increased operating expenses, minimum volume commitment deficiency payments received in the first half of 2022 and lower commodity prices.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more detailed discussion of the significant factors impacting Segment Adjusted EBITDA for the three and six months ended June 30, 2023 compared to the same periods in 2022.</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Pipeline Revenue. </w:t>
      </w:r>
      <w:r>
        <w:rPr>
          <w:rFonts w:ascii="Times New Roman;sans-serif" w:hAnsi="Times New Roman;sans-serif"/>
          <w:b w:val="false"/>
          <w:color w:val="000000"/>
          <w:sz w:val="20"/>
        </w:rPr>
        <w:t>Our Permian Basin pipelines were favorably impacted by higher gathering volumes, which were underpinned by increased production and new well connections, the acquisition of an additional interest in Cactus II in November of 2022 and tariff escalations. Increased volumes on the Capline system also contributed to increased earnings in the 2023 periods. These benefits were partially offset by the impact of minimum volume commitment deficiency payments received in the first half of 2022, as well as lower commodity prices in the 2023 periods impacting pipeline loss allowance revenues.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Permian Basin gathering and intra-basin pipelines are owned by the Permian JV, a consolidated entity in which we own a 65% interest, and our Permian Basin long-haul pipelines include Cactus II, in which we own a 70% interest. We deduct the portion of the financial results attributable to noncontrolling interests in the Permian JV and Cactus II in determining Segment Adjusted EBITDA.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Market Opportunities. </w:t>
      </w:r>
      <w:r>
        <w:rPr>
          <w:rFonts w:ascii="Times New Roman;sans-serif" w:hAnsi="Times New Roman;sans-serif"/>
          <w:b w:val="false"/>
          <w:color w:val="000000"/>
          <w:sz w:val="20"/>
        </w:rPr>
        <w:t>Our results for the three and six months ended June 30, 2023 include the impact of favorable Canadian crude oil market-based opportunities. This was partially offset by the favorable impact to the 2022 periods of the sale of excess linefill in a higher crude oil price environment.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 xml:space="preserve">Field operating costs were lower for the six months ended June 30, 2023 compared to the same period in 2022 due to the recognition of additional estimated costs associated with the Line 901 incident in the first quarter of 2022 (which impact field operating costs but are excluded from Segment Adjusted EBITDA and thus are reflected as an “Adjustment” in the table above). For the three and six months ended June 30, 2023 compared to the same periods in 2022, we had higher expenses associated with (i) utilities costs due to a combination of higher volumes and prices and an increase in the amount of drag reducing agents used, (ii) incremental consolidated operating costs in connection with our acquisition of an additional interest in Cactus II, (iii) employee-related costs primarily resulting from higher average headcount and salaries, (iv) chemical treatment costs and (v) unrealized mark-to-market losses on power hedges for the six-month period (which impact our field operating costs but are excluded from Segment Adjusted EBITDA and thus are reflected as an “Adjustment” in the table above).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Maintenance Capital</w:t>
      </w:r>
      <w:r>
        <w:rPr>
          <w:rFonts w:ascii="Times New Roman;sans-serif" w:hAnsi="Times New Roman;sans-serif"/>
          <w:b w:val="false"/>
          <w:color w:val="000000"/>
          <w:sz w:val="20"/>
        </w:rPr>
        <w:t>. The increase in maintenance capital spending for the three and six months ended June 30, 2023 compared to the same periods in 2022 was primarily due to timing of routine integrity and tank maintenance.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extracting NGL mix from the gas stream processed at our Empress straddle plant facility as well as acquiring NGL mix, which is then transported, stored and fractionated into finished products and sold to customers. Our management of our commodity exposure is subject to our risk management policies and may include the use of derivative instruments to mitigate the risk of such exposure and, at times, to provide upside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segment results are impacted by (i) increases or decreases in our NGL sales volumes, (ii) volatility in commodity prices, the differential between the price of natural gas and the extracted NGL (“frac spread”), as well as location differentials and time spreads, and (iii) the volume of natural gas transported on third-party assets through our Empress straddle plant.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NGL segment:</w:t>
      </w:r>
    </w:p>
    <w:p>
      <w:pPr>
        <w:pStyle w:val="TextBody"/>
        <w:bidi w:val="0"/>
        <w:spacing w:before="0" w:after="0"/>
        <w:ind w:left="0" w:right="0" w:firstLine="720"/>
        <w:jc w:val="left"/>
        <w:rPr/>
      </w:pPr>
      <w:r>
        <w:rPr/>
      </w:r>
    </w:p>
    <w:tbl>
      <w:tblPr>
        <w:tblW w:w="10964" w:type="dxa"/>
        <w:jc w:val="center"/>
        <w:tblInd w:w="0" w:type="dxa"/>
        <w:tblLayout w:type="fixed"/>
        <w:tblCellMar>
          <w:top w:w="28" w:type="dxa"/>
          <w:left w:w="28" w:type="dxa"/>
          <w:bottom w:w="28" w:type="dxa"/>
          <w:right w:w="28" w:type="dxa"/>
        </w:tblCellMar>
      </w:tblPr>
      <w:tblGrid>
        <w:gridCol w:w="571"/>
        <w:gridCol w:w="502"/>
        <w:gridCol w:w="503"/>
        <w:gridCol w:w="109"/>
        <w:gridCol w:w="109"/>
        <w:gridCol w:w="109"/>
        <w:gridCol w:w="211"/>
        <w:gridCol w:w="466"/>
        <w:gridCol w:w="109"/>
        <w:gridCol w:w="109"/>
        <w:gridCol w:w="109"/>
        <w:gridCol w:w="109"/>
        <w:gridCol w:w="211"/>
        <w:gridCol w:w="466"/>
        <w:gridCol w:w="109"/>
        <w:gridCol w:w="109"/>
        <w:gridCol w:w="109"/>
        <w:gridCol w:w="109"/>
        <w:gridCol w:w="211"/>
        <w:gridCol w:w="481"/>
        <w:gridCol w:w="109"/>
        <w:gridCol w:w="109"/>
        <w:gridCol w:w="109"/>
        <w:gridCol w:w="109"/>
        <w:gridCol w:w="218"/>
        <w:gridCol w:w="188"/>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81"/>
        <w:gridCol w:w="109"/>
        <w:gridCol w:w="109"/>
        <w:gridCol w:w="109"/>
        <w:gridCol w:w="109"/>
        <w:gridCol w:w="218"/>
        <w:gridCol w:w="188"/>
        <w:gridCol w:w="316"/>
      </w:tblGrid>
      <w:tr>
        <w:trPr/>
        <w:tc>
          <w:tcPr>
            <w:tcW w:w="57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w:t>
            </w:r>
            <w:r>
              <w:rPr>
                <w:color w:val="000000"/>
              </w:rPr>
              <w: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Segment general and administrative expenses</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80"/>
        <w:gridCol w:w="522"/>
        <w:gridCol w:w="524"/>
        <w:gridCol w:w="109"/>
        <w:gridCol w:w="109"/>
        <w:gridCol w:w="109"/>
        <w:gridCol w:w="232"/>
        <w:gridCol w:w="234"/>
        <w:gridCol w:w="139"/>
        <w:gridCol w:w="138"/>
        <w:gridCol w:w="138"/>
        <w:gridCol w:w="138"/>
        <w:gridCol w:w="233"/>
        <w:gridCol w:w="233"/>
        <w:gridCol w:w="139"/>
        <w:gridCol w:w="109"/>
        <w:gridCol w:w="109"/>
        <w:gridCol w:w="109"/>
        <w:gridCol w:w="240"/>
        <w:gridCol w:w="240"/>
        <w:gridCol w:w="241"/>
        <w:gridCol w:w="109"/>
        <w:gridCol w:w="109"/>
        <w:gridCol w:w="109"/>
        <w:gridCol w:w="200"/>
        <w:gridCol w:w="200"/>
        <w:gridCol w:w="271"/>
        <w:gridCol w:w="109"/>
        <w:gridCol w:w="109"/>
        <w:gridCol w:w="109"/>
        <w:gridCol w:w="109"/>
        <w:gridCol w:w="109"/>
        <w:gridCol w:w="109"/>
        <w:gridCol w:w="233"/>
        <w:gridCol w:w="233"/>
        <w:gridCol w:w="154"/>
        <w:gridCol w:w="129"/>
        <w:gridCol w:w="129"/>
        <w:gridCol w:w="129"/>
        <w:gridCol w:w="233"/>
        <w:gridCol w:w="233"/>
        <w:gridCol w:w="154"/>
        <w:gridCol w:w="109"/>
        <w:gridCol w:w="109"/>
        <w:gridCol w:w="109"/>
        <w:gridCol w:w="240"/>
        <w:gridCol w:w="240"/>
        <w:gridCol w:w="241"/>
        <w:gridCol w:w="109"/>
        <w:gridCol w:w="109"/>
        <w:gridCol w:w="109"/>
        <w:gridCol w:w="200"/>
        <w:gridCol w:w="200"/>
        <w:gridCol w:w="326"/>
      </w:tblGrid>
      <w:tr>
        <w:trPr/>
        <w:tc>
          <w:tcPr>
            <w:tcW w:w="78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Average Volumes </w:t>
            </w:r>
          </w:p>
          <w:p>
            <w:pPr>
              <w:pStyle w:val="TableContents"/>
              <w:bidi w:val="0"/>
              <w:spacing w:lineRule="auto" w:line="240" w:before="0" w:after="0"/>
              <w:jc w:val="left"/>
              <w:rPr/>
            </w:pPr>
            <w:r>
              <w:rPr>
                <w:rFonts w:ascii="Times New Roman;sans-serif" w:hAnsi="Times New Roman;sans-serif"/>
                <w:b/>
                <w:color w:val="000000"/>
                <w:sz w:val="16"/>
              </w:rPr>
              <w:t>(in thousands of barrels per day</w:t>
            </w:r>
            <w:r>
              <w:rPr>
                <w:rFonts w:ascii="Times New Roman;sans-serif" w:hAnsi="Times New Roman;sans-serif"/>
                <w:b/>
                <w:color w:val="000000"/>
                <w:sz w:val="20"/>
              </w:rPr>
              <w:t xml:space="preserve">) </w:t>
            </w:r>
            <w:r>
              <w:rPr>
                <w:rFonts w:ascii="Times New Roman;sans-serif" w:hAnsi="Times New Roman;sans-serif"/>
                <w:b/>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fractionation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tariff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Propane and butane sales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are calculated as total volumes (attributable to our interest for assets owned through undivided joint interests) for the period divided by the number of days in the period. </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During the fourth quarter of 2022, we modified our sales volumes reported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decreased for the three months ended June 30, 2023 compared to the same period in 2022 primarily due to lower propane sales volumes, impacted by turnarounds and deferring sales due to market structure, and the absence of weather events that benefited the 2022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unfavorable impacts were partially offset for the six months ended June 30, 2023 compared to the same period in 2022 by the favorable impact during the first quarter of 2023 of higher butane sales volumes combined with favorable NGL basis differentials.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variances in the components of Segment Adjusted EBITDA are discussed in more detail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Net Revenues.</w:t>
      </w:r>
      <w:r>
        <w:rPr>
          <w:color w:val="000000"/>
        </w:rPr>
        <w:t xml:space="preserve"> </w:t>
      </w:r>
      <w:r>
        <w:rPr>
          <w:rFonts w:ascii="Times New Roman;sans-serif" w:hAnsi="Times New Roman;sans-serif"/>
          <w:b w:val="false"/>
          <w:color w:val="000000"/>
          <w:sz w:val="20"/>
        </w:rPr>
        <w:t>Net revenues include the impact of derivative activities and long-term inventory costing adjustments, which are excluded from Segment Adjusted EBITDA and thus are reflected as an “Adjustment” in the table above. Excluding such impacts, net revenues decreased for the three months ended June 30, 2023 compared to the same period in 2022 primarily due to (i) lower propane sales volumes impacted by turnarounds at our facilities and by third-party asset turnarounds and outages, (ii) the impact of deferring sales for the 2023 period to winter months due to market structure, (iii) the absence of weather events that benefited the 2022 period, (iv) higher gains at certain of our NGL facilities in 2022 and (v) the sale of our ownership interest in the Keyera Fort Saskatchewan facility in the first quarter of 2023, partially offset by (vi) higher processing revenues at our Empress straddle plants resulting from a commercial agreement executed in conjunction with the increase in our Empress ownership in the fourth quarter of 2022.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unfavorable impacts were partially offset for the six months ended June 30, 2023 compared to the same period in 2022 by the favorable impact during the first quarter of 2023 of higher butane sales volumes resulting from higher production and increased third-party demand, combined with favorable NGL basis differentials.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The increase in field operating costs for the six months ended June 30, 2023 compared to the same periods in 2022 was primarily due to increased utilities-related costs largely as a result of higher prices, as well as our increased ownership in the Empress straddle plants effective in the fourth quarter of 2022. The increase in utilities-related costs was partially offset by the benefit to net revenues of operating cost recoveries realized through commercial agreements, as well as the impact of exchange rate fluctuations.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Maintenance Capital</w:t>
      </w:r>
      <w:r>
        <w:rPr>
          <w:rFonts w:ascii="Times New Roman;sans-serif" w:hAnsi="Times New Roman;sans-serif"/>
          <w:b w:val="false"/>
          <w:color w:val="000000"/>
          <w:sz w:val="20"/>
        </w:rPr>
        <w:t>. The increase in maintenance capital spending for the three and six months ended June 30, 2023 compared to the same periods in 2022 was primarily due to timing of routine integrity maintenance and periodic scheduled outages.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long-term debt, through a variety of sources, which may include any or a combination of the sources listed above.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approximately $3.5 billion of liquidity available to meet our ongoing operating, investing and financing needs, subject to continued covenant compliance, as noted below (in millions):</w:t>
      </w:r>
    </w:p>
    <w:p>
      <w:pPr>
        <w:pStyle w:val="TextBody"/>
        <w:bidi w:val="0"/>
        <w:spacing w:before="0" w:after="0"/>
        <w:ind w:left="0" w:right="0" w:firstLine="720"/>
        <w:jc w:val="left"/>
        <w:rPr/>
      </w:pPr>
      <w:r>
        <w:rPr/>
      </w:r>
    </w:p>
    <w:tbl>
      <w:tblPr>
        <w:tblW w:w="7003" w:type="dxa"/>
        <w:jc w:val="center"/>
        <w:tblInd w:w="0" w:type="dxa"/>
        <w:tblLayout w:type="fixed"/>
        <w:tblCellMar>
          <w:top w:w="28" w:type="dxa"/>
          <w:left w:w="28" w:type="dxa"/>
          <w:bottom w:w="28" w:type="dxa"/>
          <w:right w:w="28" w:type="dxa"/>
        </w:tblCellMar>
      </w:tblPr>
      <w:tblGrid>
        <w:gridCol w:w="2111"/>
        <w:gridCol w:w="1859"/>
        <w:gridCol w:w="1864"/>
        <w:gridCol w:w="251"/>
        <w:gridCol w:w="735"/>
        <w:gridCol w:w="183"/>
      </w:tblGrid>
      <w:tr>
        <w:trPr/>
        <w:tc>
          <w:tcPr>
            <w:tcW w:w="211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June 30, 2023</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PAA senior unsecured revolving credit facility </w:t>
            </w:r>
            <w:r>
              <w:rPr>
                <w:rFonts w:ascii="Times New Roman;sans-serif" w:hAnsi="Times New Roman;sans-serif"/>
                <w:b w:val="false"/>
                <w:color w:val="000000"/>
                <w:sz w:val="13"/>
              </w:rPr>
              <w:t>(1) (2)</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PAA senior secured hedged inventory facility </w:t>
            </w:r>
            <w:r>
              <w:rPr>
                <w:rFonts w:ascii="Times New Roman;sans-serif" w:hAnsi="Times New Roman;sans-serif"/>
                <w:b w:val="false"/>
                <w:color w:val="000000"/>
                <w:sz w:val="13"/>
              </w:rPr>
              <w:t>(1) (2)</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PAA commercial paper program</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and cash equivalents</w:t>
            </w:r>
            <w:r>
              <w:rPr>
                <w:color w:val="000000"/>
              </w:rPr>
              <w:t xml:space="preserve"> </w:t>
            </w:r>
            <w:r>
              <w:rPr>
                <w:rFonts w:ascii="Times New Roman;sans-serif" w:hAnsi="Times New Roman;sans-serif"/>
                <w:b w:val="false"/>
                <w:color w:val="000000"/>
                <w:sz w:val="13"/>
              </w:rPr>
              <w:t>(3)</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Represents availability prior to giving effect to borrowings outstanding under the PAA commercial paper program, which reduce available capacity under the credit facilities.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Available capacity under the PAA senior unsecured revolving credit facility and the PAA senior secured hedged inventory facility was reduced by outstanding letters of credit of $78 million and $49 million, respectively.</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Excludes restricted cash of $18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its ability to make distributions of available cash is not restricted. PAA was in compliance with the covenants contained in its credit agreements and indentures as of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2022 Annual Report on Form 10-K for further discussion regarding risks that may impact our liquidity and capital resources.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 from Operating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2022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for the first six months of 2023 and 2022 was $1.629 billion and $1.129 billion, respectively, and primarily resulted from earnings from our operations. In addition, the 2023 period was favorably impacted by net positive changes in working capital items, largely associated with reducing inventory levels during the period.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Capital Expenditures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and maintenance capital expenditures (in millions): </w:t>
      </w:r>
    </w:p>
    <w:p>
      <w:pPr>
        <w:pStyle w:val="TextBody"/>
        <w:bidi w:val="0"/>
        <w:spacing w:before="0" w:after="0"/>
        <w:ind w:left="0" w:right="0" w:firstLine="720"/>
        <w:jc w:val="left"/>
        <w:rPr/>
      </w:pPr>
      <w:r>
        <w:rPr/>
      </w:r>
    </w:p>
    <w:tbl>
      <w:tblPr>
        <w:tblW w:w="4163" w:type="dxa"/>
        <w:jc w:val="center"/>
        <w:tblInd w:w="0" w:type="dxa"/>
        <w:tblLayout w:type="fixed"/>
        <w:tblCellMar>
          <w:top w:w="28" w:type="dxa"/>
          <w:left w:w="28" w:type="dxa"/>
          <w:bottom w:w="28" w:type="dxa"/>
          <w:right w:w="28" w:type="dxa"/>
        </w:tblCellMar>
      </w:tblPr>
      <w:tblGrid>
        <w:gridCol w:w="804"/>
        <w:gridCol w:w="706"/>
        <w:gridCol w:w="709"/>
        <w:gridCol w:w="211"/>
        <w:gridCol w:w="466"/>
        <w:gridCol w:w="109"/>
        <w:gridCol w:w="109"/>
        <w:gridCol w:w="109"/>
        <w:gridCol w:w="109"/>
        <w:gridCol w:w="211"/>
        <w:gridCol w:w="46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capital </w:t>
            </w:r>
            <w:r>
              <w:rPr>
                <w:rFonts w:ascii="Times New Roman;sans-serif" w:hAnsi="Times New Roman;sans-serif"/>
                <w:b w:val="false"/>
                <w:color w:val="000000"/>
                <w:sz w:val="13"/>
              </w:rPr>
              <w:t>(1) (2)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 (3)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contributions to unconsolidated entities, accounted for under the equity method of accounting, related to investment capital projects by such entities.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Investment capital and maintenance capital, net to our interest, was approximately $141 million and $103 million, respectively, for the six months ended June 30, 2023, and approximately $151 million and $67 million, respectively, for the six months ended June 30, 2022.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2023 Investment and Maintenance Capital. </w:t>
      </w:r>
      <w:r>
        <w:rPr>
          <w:rFonts w:ascii="Times New Roman;sans-serif" w:hAnsi="Times New Roman;sans-serif"/>
          <w:b w:val="false"/>
          <w:color w:val="000000"/>
          <w:sz w:val="20"/>
        </w:rPr>
        <w:t>Total investment capital for the year ending December 31, 2023 is projected to be approximately $420 million ($325 million net to our interest). Approximately half of our projected investment capital expenditures are expected to be invested in the Permian JV assets. Additionally, maintenance capital for 2023 is projected to be $205 million ($195 million net to our interest). We expect to fund our 2023 investment and maintenance capital expenditures primarily with retained cash flow.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 have generally been used to fund our investment capital projects and reduce debt levels. The following table summarizes the proceeds received during the first six months of 2023 and 2022 from sales of assets (in millions):</w:t>
      </w:r>
    </w:p>
    <w:p>
      <w:pPr>
        <w:pStyle w:val="TextBody"/>
        <w:bidi w:val="0"/>
        <w:spacing w:before="0" w:after="0"/>
        <w:ind w:left="0" w:right="0" w:firstLine="720"/>
        <w:jc w:val="left"/>
        <w:rPr/>
      </w:pPr>
      <w:r>
        <w:rPr/>
      </w:r>
    </w:p>
    <w:tbl>
      <w:tblPr>
        <w:tblW w:w="4641" w:type="dxa"/>
        <w:jc w:val="center"/>
        <w:tblInd w:w="0" w:type="dxa"/>
        <w:tblLayout w:type="fixed"/>
        <w:tblCellMar>
          <w:top w:w="28" w:type="dxa"/>
          <w:left w:w="28" w:type="dxa"/>
          <w:bottom w:w="28" w:type="dxa"/>
          <w:right w:w="28" w:type="dxa"/>
        </w:tblCellMar>
      </w:tblPr>
      <w:tblGrid>
        <w:gridCol w:w="896"/>
        <w:gridCol w:w="787"/>
        <w:gridCol w:w="792"/>
        <w:gridCol w:w="109"/>
        <w:gridCol w:w="109"/>
        <w:gridCol w:w="109"/>
        <w:gridCol w:w="211"/>
        <w:gridCol w:w="466"/>
        <w:gridCol w:w="109"/>
        <w:gridCol w:w="109"/>
        <w:gridCol w:w="109"/>
        <w:gridCol w:w="109"/>
        <w:gridCol w:w="211"/>
        <w:gridCol w:w="36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Proceeds from divestitures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proceeds, including working capital adjustments, net of transaction costs. The proceeds from divestitures for the six months ended June 30, 2023 are primarily from the sale of our 21% non-operated/undivided joint interest in the Keyera Fort Saskatchewan facility in February 2023. See Note 11 to our Condensed Consolidated Financial Statements for additional discussion of this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before="60" w:after="283"/>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sale of non-core assets, the sale of partial interests in assets to strategic joint venture partners, acquisitions and large investment capital projects. With respect to a potential divestiture or acquisition, we may conduct an auction process or participate in an auction process conducted by a third party or we may negotiate a transaction with one or a limited number of potential buyers (in the case of a divestiture) or sellers (in the case of an acquisition).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 included in our 2022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Borrowings and Repayments Under Credit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no net borrowings or repayments under the PAA credit facilities or commercial paper program during the six months ended June 30,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2022, we had net borrowings on the PAA credit facilities and commercial paper program of approximately $115 million. The net borrowings resulted primarily from borrowings during the period related to funding needs for capital investments, inventory purchases, senior notes repayments and other general partnership purposes, partially offset by cash flow from operating activities and proceeds from asset sales.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Repayment of Senior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2023, PAA redeemed its 2.85%, $400 million senior notes. PAA utilized a combination of cash on hand and borrowings under its commercial paper program to repay these senior notes. PAA also intends to utilize a combination of cash flow from operating activities, proceeds from asset sales and borrowings under its commercial paper program to repay its 3.85%, $700 million senior notes due October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Common Equity Repurchase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PAA repurchased 7.3 million common units under the Common Equity Repurchase Program (the “Program”) during the six months ended June 30, 2022 for a total purchase price of $74 million, including commissions and fees. There were no repurchases under the Program during the six months ended June 30, 2023. The remaining available capacity under the Program as of June 30, 2023 was $198 million.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Registration Statements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PAGP Registration Statements.</w:t>
      </w:r>
      <w:r>
        <w:rPr>
          <w:color w:val="000000"/>
        </w:rPr>
        <w:t xml:space="preserve"> </w:t>
      </w:r>
      <w:r>
        <w:rPr>
          <w:rFonts w:ascii="Times New Roman;sans-serif" w:hAnsi="Times New Roman;sans-serif"/>
          <w:b w:val="false"/>
          <w:color w:val="000000"/>
          <w:sz w:val="20"/>
        </w:rPr>
        <w:t>We have filed with the SEC a shelf registration statement that, subject to effectiveness at the time of use, allows us to issue up to a specified amount of equity securities (“PAGP Traditional Shelf”). At June 30, 2023, we had approximately $939 million of unsold securities available. We also have access to a universal shelf registration statement (“PAGP WKSI Shelf”), which provides us with the ability to offer and sell an unlimited amount of equity securities, subject to market conditions and our capital needs. We did not conduct any offerings under the PAGP Traditional Shelf or PAGP WKSI Shelf during the six months ended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PAA Registration Statements.</w:t>
      </w:r>
      <w:r>
        <w:rPr>
          <w:color w:val="000000"/>
        </w:rPr>
        <w:t xml:space="preserve"> </w:t>
      </w:r>
      <w:r>
        <w:rPr>
          <w:rFonts w:ascii="Times New Roman;sans-serif" w:hAnsi="Times New Roman;sans-serif"/>
          <w:b w:val="false"/>
          <w:color w:val="000000"/>
          <w:sz w:val="20"/>
        </w:rPr>
        <w:t>PAA periodically accesses the capital markets for both equity and debt financing. PAA has filed with the SEC a universal shelf registration statement that, subject to effectiveness at the time of use, allows PAA to issue up to a specified amount of debt or equity securities (“PAA Traditional Shelf”), under which PAA had approximately $1.1 billion of unsold securities available at June 30, 2023. PAA also has access to a universal shelf registration statement (“PAA WKSI Shelf”), which provides it with the ability to offer and sell an unlimited amount of debt and equity securities, subject to market conditions and its capital needs. PAA did not conduct any offerings under the PAA Traditional Shelf or the PAA WKSI Shelf during the six months ended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Our Class A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14, 2023, we will pay a quarterly cash distribution of $0.2675 per Class A share ($1.07 per Class A share on an annualized basis) to shareholders of record at the close of business on July 31, 2023 for the period from April 1, 2023 through June 30, 2023, which is unchanged from the distribution per share paid in May of 2023. See Note 6 to our Condensed Consolidated Financial Statements for details of distributions paid during the first six months of 2023.</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Distributions to noncontrolling interests represent amounts paid on interests in consolidated entities that are not owned by us. As of June 30, 2023, noncontrolling interests in our subsidiaries consisted of (i) limited partner interests in PAA including a 69% interest in PAA’s common units and PAA’s Series A preferred units combined and 100% of PAA’s Series B preferred units, (ii) an approximate 19% limited partner interest in AAP, (iii) a 35% interest in the Permian JV, (iv) a 30% interest in Cactus II and (v) a 33% interest in Red River.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14, 2023, PAA will pay a quarterly cash distribution of approximately $0.615 per unit to its Series A preferred unitholders of record at the close of business on July 31, 2023 for the period from April 1, 2023 through June 30, 2023.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15, 2023, PAA will pay a quarterly cash distribution of approximately $24.10 per unit to its Series B preferred unitholders of record at the close of business on August 1, 2023 for the period from May 15, 2023 through August 14,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14, 2023, PAA will pay a quarterly cash distribution of $0.2675 per common unit ($1.07 per unit on an annualized basis) to common unitholders of record at the close of business on July 31, 2023 for the period from April 1, 2023 through June 30, 2023, which is unchanged from the distribution per unit paid in May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to our Condensed Consolidated Financial Statements for details of distributions paid to noncontrolling interests during the first six months of 2023.</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contingencies that may impact us, see Note 9 to our Condensed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Purchase Obligations.</w:t>
      </w:r>
      <w:r>
        <w:rPr>
          <w:color w:val="000000"/>
        </w:rPr>
        <w:t xml:space="preserve"> </w:t>
      </w:r>
      <w:r>
        <w:rPr>
          <w:rFonts w:ascii="Times New Roman;sans-serif" w:hAnsi="Times New Roman;sans-serif"/>
          <w:b w:val="false"/>
          <w:color w:val="000000"/>
          <w:sz w:val="20"/>
        </w:rPr>
        <w:t xml:space="preserve">In the ordinary course of doing business, we purchase crude oil and NGL from third parties under contracts, the majority of which range in term from thirty-day evergreen to five years, with a limited number of contracts with remaining terms extending up to 11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includes our best estimate of the amount and timing of these payments as of June 30, 2023 (in millions): </w:t>
      </w:r>
    </w:p>
    <w:p>
      <w:pPr>
        <w:pStyle w:val="TextBody"/>
        <w:bidi w:val="0"/>
        <w:spacing w:before="0" w:after="0"/>
        <w:jc w:val="left"/>
        <w:rPr/>
      </w:pPr>
      <w:r>
        <w:rPr/>
      </w:r>
    </w:p>
    <w:tbl>
      <w:tblPr>
        <w:tblW w:w="10600" w:type="dxa"/>
        <w:jc w:val="center"/>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Crude oil, NGL and other purchases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are primarily based on estimated volumes and market prices based on average activity during June 2023.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Letters of Credit.</w:t>
      </w:r>
      <w:r>
        <w:rPr>
          <w:color w:val="000000"/>
        </w:rPr>
        <w:t xml:space="preserve"> </w:t>
      </w: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70 days and are terminated upon completion of each transaction. Additionally, we issue letters of credit to support insurance programs, derivative transactions, including hedging-related margin obligations, and construction activities. At June 30, 2023 and December 31, 2022, we had outstanding letters of credit of approximately $127 million and $102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before="0" w:after="0"/>
        <w:jc w:val="center"/>
        <w:rPr/>
      </w:pPr>
      <w:r>
        <w:rPr/>
      </w:r>
    </w:p>
    <w:p>
      <w:pPr>
        <w:pStyle w:val="TextBody"/>
        <w:bidi w:val="0"/>
        <w:spacing w:lineRule="auto" w:line="276" w:before="0" w:after="120"/>
        <w:ind w:left="0" w:right="0" w:hanging="360"/>
        <w:jc w:val="left"/>
        <w:rPr/>
      </w:pPr>
      <w:r>
        <w:rPr>
          <w:color w:val="000000"/>
        </w:rPr>
        <w:t>•</w:t>
      </w:r>
      <w:r>
        <w:rPr>
          <w:rFonts w:ascii="Times New Roman;sans-serif" w:hAnsi="Times New Roman;sans-serif"/>
          <w:b w:val="false"/>
          <w:color w:val="000000"/>
          <w:sz w:val="20"/>
        </w:rPr>
        <w:t>our expected receipt of, and amounts of, distributions from Plains AAP, LP, and the effect thereof on our ability to pay distributions to our Class A shareholders;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declines in global crude oil demand and crude oil prices (whether due to pandemics or other factors)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fluctuations in refinery capacity in areas supplied by our mainlines and other factors affecting demand for various grades of crude oil and NGL and resulting changes in pricing conditions or transportation throughput requirements;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unanticipated changes in crude oil and NGL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negative societal sentiment regarding the hydrocarbon energy industry and the continued development and consumption of hydrocarbons, which could influence consumer preferences and governmental or regulatory actions that adversely impact our business;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environmental liabilities, litigation or other events that are not covered by an indemnity, insurance or existing reserves;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occurrence of a natural disaster, catastrophe, terrorist attack (including eco-terrorist attacks) or other event that materially impacts our operations, including cyber or other attacks on our electronic and computer systems;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weather interference with business operations or project construction, including the impact of extreme weather events or conditions;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 or that negatively impact our ability to develop, operate or repair midstream assets;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effectiveness of our risk management activities;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shortages or cost increases of supplies, materials or labor;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maintenance of PAA’s credit rating and ability to receive open credit from our suppliers and trade counterparties;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successful operation of joint ventures and joint operating arrangements we enter into from time to time, whether relating to assets operated by us or by third parties, and the successful integration and future performance of acquired assets or businesses;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availability of, and our ability to consummate, divestitures, joint ventures, acquisitions or other strategic opportunities;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incurrence of costs and expenses related to unexpected or unplanned capital expenditures, third-party claims or other factors;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failure to implement or capitalize, or delays in implementing or capitalizing, on investment capital projects, whether due to permitting delays, permitting withdrawals or other factors;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tightened capital markets or other factors that increase our cost of capital or limit our ability to obtain debt or equity financing on satisfactory terms to fund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amplification of other risks caused by volatile financial markets, capital constraints, liquidity concerns and inflation;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currency exchange rate of the Canadian dollar to the United States dollar;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inability to recognize current revenue attributable to deficiency payments received from customers who fail to ship or move more than minimum contracted volumes until the related credits expire or are used;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significant under-utilization of our assets and facilities;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increased costs, or lack of availability, of insurance;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fluctuations in the debt and equity markets, including the price of PAA’s units at the time of vesting under its long-term incentive plans;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risks related to the development and operation of our assets;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described herein, as well as factors that are unknown or unpredictable, could also have a material adverse effect on future results. Please read “Risk Factors” discussed in Item 1A of our 2022 Annual Report on Form 10-K. Except as required by applicable securities laws, we do not intend to update these forward-looking statements and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price risk associated with the following commodities: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Crude oil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Natural gas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u w:val="single"/>
        </w:rPr>
        <w:t>NGL and other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Condensed Consolidated Financial Statements for further discussion regarding our hedging strategies and objectives.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commodity derivatives and the change in fair value as of June 30, 2023 that would be expected from a 10% price increase or decrease is shown in the table below (in millions): </w:t>
      </w:r>
    </w:p>
    <w:p>
      <w:pPr>
        <w:pStyle w:val="TextBody"/>
        <w:bidi w:val="0"/>
        <w:spacing w:before="0" w:after="0"/>
        <w:jc w:val="left"/>
        <w:rPr/>
      </w:pPr>
      <w:r>
        <w:rPr/>
      </w:r>
    </w:p>
    <w:tbl>
      <w:tblPr>
        <w:tblW w:w="5247" w:type="dxa"/>
        <w:jc w:val="center"/>
        <w:tblInd w:w="0" w:type="dxa"/>
        <w:tblLayout w:type="fixed"/>
        <w:tblCellMar>
          <w:top w:w="28" w:type="dxa"/>
          <w:left w:w="28" w:type="dxa"/>
          <w:bottom w:w="28" w:type="dxa"/>
          <w:right w:w="28" w:type="dxa"/>
        </w:tblCellMar>
      </w:tblPr>
      <w:tblGrid>
        <w:gridCol w:w="495"/>
        <w:gridCol w:w="433"/>
        <w:gridCol w:w="437"/>
        <w:gridCol w:w="237"/>
        <w:gridCol w:w="525"/>
        <w:gridCol w:w="124"/>
        <w:gridCol w:w="109"/>
        <w:gridCol w:w="109"/>
        <w:gridCol w:w="109"/>
        <w:gridCol w:w="341"/>
        <w:gridCol w:w="608"/>
        <w:gridCol w:w="177"/>
        <w:gridCol w:w="109"/>
        <w:gridCol w:w="109"/>
        <w:gridCol w:w="109"/>
        <w:gridCol w:w="353"/>
        <w:gridCol w:w="604"/>
        <w:gridCol w:w="259"/>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of 10%</w:t>
              <w:b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and other</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We did not have any variable rate debt outstanding at June 30, 2023. The average interest rate on variable rate debt that was outstanding during the six months ended June 30, 2023 was 5.1%, based upon rates in effect during such period. The fair value of our interest rate derivatives was a net asset of $42 million as of June 30, 2023. A 10% increase in the forward SOFR curve as of June 30, 2023 would have resulted in an increase of $16 million to the fair value of our interest rate derivatives. A 10% decrease in the forward SOFR curve as of June 30, 2023 would have resulted in a decrease of $16 million to the fair value of our interest rate derivatives. See Note 7 to our Condensed Consolidated Financial Statements for a discussion of our interest rate risk hedging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June 30, 2023, the end of the period covered by this report, and, based on such evaluation, our Chief Executive Officer and Chief Financial Officer have concluded that our DCP is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information concerning our DCP, we are required to disclose certain changes in internal control over financial reporting. There have been no changes in our internal control over financial reporting during the second quarter of 2023 that have materially affected, or are reasonably likely to materially affect, our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9 to our Condensed Consolidated Financial Statements, and is incorporated herein by reference thereto.</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our risk factors, see Item 1A. of our 2022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of Unregistered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IPO and related transactions, the former owners of Plains All American GP LLC (the “Legacy Owners”) acquired the following interests (collectively, the “Stapled Interests”): (i) Class A units of AAP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June 30, 2023, certain Legacy Owners or their permitted transferees exercised the Exchange Right, which resulted in the issuance of 1,554,000 Class A shares. The issuance of Class A shares in connection with the exercise of the Exchange Right was exempt from the registration requirements of the Securities Act of 1933, as amended, pursuant to Section 4(a)(2) thereof.</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color w:val="000000"/>
          <w:sz w:val="20"/>
        </w:rPr>
        <w:t>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2023, none of our directors or officers (as defined in Rule 16a-1(f) of the Securities Exchange Act of 1934) adopted or terminated a Rule 10b5-1 trading arrangement or non-Rule 10b5-1 trading arrangement (as such terms are defined in Item 408 of Regulation S-K).</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EXHIBITS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0"/>
        <w:gridCol w:w="246"/>
        <w:gridCol w:w="247"/>
        <w:gridCol w:w="115"/>
        <w:gridCol w:w="115"/>
        <w:gridCol w:w="116"/>
        <w:gridCol w:w="2821"/>
        <w:gridCol w:w="2579"/>
        <w:gridCol w:w="3686"/>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Certificate of Limited Partnership of Plains GP Holdings, L.P. (incorporated by reference to Exhibit 3.1 to our Registration Statement on Form S-1 (333-190227) filed July 29, 2013).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Agreement of Limited Partnership of Plains GP Holdings, L.P. dated as of November 15, 2016 (incorporated by reference to Exhibit 3.2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No. 1 dated April 6, 2020 to the Second Amended and Restated Agreement of Limited Partnership of Plains GP Holdings, L.P. (incorporated by reference to Exhibit 3.1 to our Current Report on Form 8-K filed April 9, 2020).</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Formation of PAA GP Holdings LLC (incorporated by reference to Exhibit 3.3 to our Registration Statement on Form S-1 (333-190227) filed July 29, 2013).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Fourth Amended and Restated Limited Liability Company Agreement of PAA GP Holdings LLC dated effective as of August 19, 2021 (incorporated by reference to Exhibit 3.11 to our Annual Report on Form 10-K for the year ended December 31, 2021).</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Seventh Amended and Restated Agreement of Limited Partnership of Plains All American Pipeline, L.P., dated as of October 10, 2017 (incorporated by reference to Exhibit 3.1 to PAA's Current Report on Form 8-K filed October 12, 2017).</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Limited Liability Company Agreement of PAA GP LLC dated December 28, 2007 (incorporated by reference to Exhibit 3.3 to PAA’s Current Report on Form 8-K filed January 4, 2008).</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Indenture dated September 25, 2002 among Plains All American Pipeline, L.P., PAA Finance Corp. and Wachovia Bank, National Association, as trustee (incorporated by reference to Exhibit 4.1 to PAA’s Quarterly Report on Form 10-Q for the quarter ended September 30, 2002).</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9"/>
        <w:gridCol w:w="201"/>
        <w:gridCol w:w="206"/>
        <w:gridCol w:w="115"/>
        <w:gridCol w:w="115"/>
        <w:gridCol w:w="116"/>
        <w:gridCol w:w="2740"/>
        <w:gridCol w:w="2668"/>
        <w:gridCol w:w="3795"/>
      </w:tblGrid>
      <w:tr>
        <w:trPr/>
        <w:tc>
          <w:tcPr>
            <w:tcW w:w="2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Twenty-Fourth Supplemental Indenture (3.85% Senior Notes due 2023) dated August 15, 2013, by and among Plains All American Pipeline, L.P., PAA Finance Corp. and U.S. Bank National Association, as trustee (incorporated by reference to Exhibit 4.1 to PAA’s Current Report on Form 8-K filed August 15, 2013).</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Twenty-Ninth Supplemental Indenture (4.65% Senior Notes due 2025) dated August 24, 2015, by and among Plains All American Pipeline, L.P., PAA Finance Corp., and U.S. Bank National Association, as trustee (incorporated by reference to Exhibit 4.1 to PAA’s Current Report on Form 8-K filed August 26, 2015).</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PAA’s Current Report on Form 8-K filed November 29, 2016).</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PAA’s Current Report on Form 8-K filed September 17, 2019).</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PAA’s Current Report on Form 8-K filed June 11, 2020).</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Shareholder and Registration Rights Agreement dated October 21, 2013 by and among Plains GP Holdings, L.P. and the other parties signatory thereto (incorporated by reference to Exhibit 4.1 to our Current Report on Form 8-K filed October 25, 2013).</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Description of Our Securities (incorporated by reference to Exhibit 4.16 to our Annual Report on Form 10-K for the year ended December 31, 2022).</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3exhibit311.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3exhibit312.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3exhibit321.htm">
              <w:r>
                <w:rPr>
                  <w:rStyle w:val="InternetLink"/>
                  <w:rFonts w:ascii="Times New Roman;sans-serif" w:hAnsi="Times New Roman;sans-serif"/>
                  <w:b w:val="false"/>
                  <w:color w:val="0000FF"/>
                  <w:sz w:val="20"/>
                  <w:u w:val="single"/>
                </w:rPr>
                <w:t>Certification of Principal Executive Officer pursuant to 18 U.S.C. 1350.</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22023exhibit322.htm">
              <w:r>
                <w:rPr>
                  <w:rStyle w:val="InternetLink"/>
                  <w:rFonts w:ascii="Times New Roman;sans-serif" w:hAnsi="Times New Roman;sans-serif"/>
                  <w:b w:val="false"/>
                  <w:color w:val="0000FF"/>
                  <w:sz w:val="20"/>
                  <w:u w:val="single"/>
                </w:rPr>
                <w:t>Certification of Principal Financial Officer pursuant to 18 U.S.C. 1350.</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tbl>
      <w:tblPr>
        <w:tblW w:w="8775" w:type="dxa"/>
        <w:jc w:val="left"/>
        <w:tblInd w:w="0" w:type="dxa"/>
        <w:tblLayout w:type="fixed"/>
        <w:tblCellMar>
          <w:top w:w="28" w:type="dxa"/>
          <w:left w:w="28" w:type="dxa"/>
          <w:bottom w:w="28" w:type="dxa"/>
          <w:right w:w="28" w:type="dxa"/>
        </w:tblCellMar>
      </w:tblPr>
      <w:tblGrid>
        <w:gridCol w:w="353"/>
        <w:gridCol w:w="310"/>
        <w:gridCol w:w="312"/>
        <w:gridCol w:w="115"/>
        <w:gridCol w:w="115"/>
        <w:gridCol w:w="116"/>
        <w:gridCol w:w="2179"/>
        <w:gridCol w:w="2179"/>
        <w:gridCol w:w="3096"/>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left"/>
        <w:rPr>
          <w:color w:val="000000"/>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0"/>
        </w:rPr>
        <w:t>Furnished herewith.</w:t>
      </w:r>
    </w:p>
    <w:p>
      <w:pPr>
        <w:pStyle w:val="TextBody"/>
        <w:bidi w:val="0"/>
        <w:spacing w:before="0" w:after="12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30e23a965c44a22b0562866c5a10bf5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978" w:type="dxa"/>
        <w:jc w:val="left"/>
        <w:tblInd w:w="0" w:type="dxa"/>
        <w:tblLayout w:type="fixed"/>
        <w:tblCellMar>
          <w:top w:w="28" w:type="dxa"/>
          <w:left w:w="28" w:type="dxa"/>
          <w:bottom w:w="28" w:type="dxa"/>
          <w:right w:w="28" w:type="dxa"/>
        </w:tblCellMar>
      </w:tblPr>
      <w:tblGrid>
        <w:gridCol w:w="493"/>
        <w:gridCol w:w="435"/>
        <w:gridCol w:w="437"/>
        <w:gridCol w:w="416"/>
        <w:gridCol w:w="416"/>
        <w:gridCol w:w="416"/>
        <w:gridCol w:w="2136"/>
        <w:gridCol w:w="2136"/>
        <w:gridCol w:w="3093"/>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PLAINS GP HOLDINGS,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GP HOLDINGS LLC,</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Willie Chiang,</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Chief Executive Officer and Director of PAA GP Holdings LLC</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 Swanson,</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 of PAA GP Holdings LLC</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Chris Herbold,</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Finance and Chief Accounting Officer of PAA GP Holdings LLC</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8613"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2023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2023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GP HOLDINGS,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Chief Executive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June 30, 2023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Willie Chiang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GP HOLDINGS,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Chief Financial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June 30, 2023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1890" w:type="dxa"/>
        <w:jc w:val="left"/>
        <w:tblInd w:w="0" w:type="dxa"/>
        <w:tblLayout w:type="fixed"/>
        <w:tblCellMar>
          <w:top w:w="28" w:type="dxa"/>
          <w:left w:w="28" w:type="dxa"/>
          <w:bottom w:w="28" w:type="dxa"/>
          <w:right w:w="28" w:type="dxa"/>
        </w:tblCellMar>
      </w:tblPr>
      <w:tblGrid>
        <w:gridCol w:w="604"/>
        <w:gridCol w:w="531"/>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Al Swanson</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2023</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81990/000104746913007875/a2216069zex-3_1.htm" TargetMode="External"/><Relationship Id="rId3" Type="http://schemas.openxmlformats.org/officeDocument/2006/relationships/hyperlink" Target="http://www.sec.gov/Archives/edgar/data/1581990/000110465916158356/a16-21845_1ex3d2.htm" TargetMode="External"/><Relationship Id="rId4" Type="http://schemas.openxmlformats.org/officeDocument/2006/relationships/hyperlink" Target="http://www.sec.gov/Archives/edgar/data/1581990/000158199020000012/exhibit31.htm" TargetMode="External"/><Relationship Id="rId5" Type="http://schemas.openxmlformats.org/officeDocument/2006/relationships/hyperlink" Target="http://www.sec.gov/Archives/edgar/data/1581990/000104746913007875/a2216069zex-3_3.htm" TargetMode="External"/><Relationship Id="rId6" Type="http://schemas.openxmlformats.org/officeDocument/2006/relationships/hyperlink" Target="https://www.sec.gov/Archives/edgar/data/1581990/000158199022000006/pagp202110-kexhibit311a.htm" TargetMode="External"/><Relationship Id="rId7" Type="http://schemas.openxmlformats.org/officeDocument/2006/relationships/hyperlink" Target="http://www.sec.gov/Archives/edgar/data/1070423/000110465917061889/a17-22685_5ex3d1.htm" TargetMode="External"/><Relationship Id="rId8" Type="http://schemas.openxmlformats.org/officeDocument/2006/relationships/hyperlink" Target="http://www.sec.gov/Archives/edgar/data/1581990/000110465916158356/a16-21845_1ex3d3.htm" TargetMode="External"/><Relationship Id="rId9" Type="http://schemas.openxmlformats.org/officeDocument/2006/relationships/hyperlink" Target="http://www.sec.gov/Archives/edgar/data/1581990/000110465916158356/a16-21845_1ex3d4.htm" TargetMode="External"/><Relationship Id="rId10" Type="http://schemas.openxmlformats.org/officeDocument/2006/relationships/hyperlink" Target="http://www.sec.gov/Archives/edgar/data/1581990/000110465918060012/a18-36197_1ex3d1.htm" TargetMode="External"/><Relationship Id="rId11" Type="http://schemas.openxmlformats.org/officeDocument/2006/relationships/hyperlink" Target="http://www.sec.gov/Archives/edgar/data/1581990/000110465919032813/a19-10857_1ex3d1.htm" TargetMode="External"/><Relationship Id="rId12" Type="http://schemas.openxmlformats.org/officeDocument/2006/relationships/hyperlink" Target="http://www.sec.gov/Archives/edgar/data/1070423/000095012908000071/h52770exv3w3.htm" TargetMode="External"/><Relationship Id="rId13" Type="http://schemas.openxmlformats.org/officeDocument/2006/relationships/hyperlink" Target="http://www.sec.gov/Archives/edgar/data/1070423/000089924302002834/dex41.txt" TargetMode="External"/><Relationship Id="rId14" Type="http://schemas.openxmlformats.org/officeDocument/2006/relationships/hyperlink" Target="http://www.sec.gov/Archives/edgar/data/1070423/000110465906034368/a06-11663_1ex4d1.htm" TargetMode="External"/><Relationship Id="rId15" Type="http://schemas.openxmlformats.org/officeDocument/2006/relationships/hyperlink" Target="http://www.sec.gov/Archives/edgar/data/1070423/000095012906009235/h40667exv4w2.htm" TargetMode="External"/><Relationship Id="rId16" Type="http://schemas.openxmlformats.org/officeDocument/2006/relationships/hyperlink" Target="http://www.sec.gov/Archives/edgar/data/1070423/000119312512132295/d321017dex43.htm" TargetMode="External"/><Relationship Id="rId17" Type="http://schemas.openxmlformats.org/officeDocument/2006/relationships/hyperlink" Target="http://www.sec.gov/Archives/edgar/data/1070423/000119312512499932/d453762dex43.htm" TargetMode="External"/><Relationship Id="rId18" Type="http://schemas.openxmlformats.org/officeDocument/2006/relationships/hyperlink" Target="http://www.sec.gov/Archives/edgar/data/1070423/000119312513336066/d581734dex41.htm" TargetMode="External"/><Relationship Id="rId19" Type="http://schemas.openxmlformats.org/officeDocument/2006/relationships/hyperlink" Target="http://www.sec.gov/Archives/edgar/data/1581990/000119312514164185/d717953dex41.htm" TargetMode="External"/><Relationship Id="rId20" Type="http://schemas.openxmlformats.org/officeDocument/2006/relationships/hyperlink" Target="http://www.sec.gov/Archives/edgar/data/1581990/000119312514338295/d787197dex41.htm" TargetMode="External"/><Relationship Id="rId21" Type="http://schemas.openxmlformats.org/officeDocument/2006/relationships/hyperlink" Target="http://www.sec.gov/Archives/edgar/data/1581990/000119312514440012/d835488dex43.htm" TargetMode="External"/><Relationship Id="rId22" Type="http://schemas.openxmlformats.org/officeDocument/2006/relationships/hyperlink" Target="http://www.sec.gov/Archives/edgar/data/1070423/000119312515302829/d45393dex41.htm" TargetMode="External"/><Relationship Id="rId23" Type="http://schemas.openxmlformats.org/officeDocument/2006/relationships/hyperlink" Target="http://www.sec.gov/Archives/edgar/data/1070423/000110465916159593/a16-22232_1ex4d1.htm" TargetMode="External"/><Relationship Id="rId24" Type="http://schemas.openxmlformats.org/officeDocument/2006/relationships/hyperlink" Target="http://www.sec.gov/Archives/edgar/data/1070423/000141057819001281/tv529555_ex4-1.htm" TargetMode="External"/><Relationship Id="rId25" Type="http://schemas.openxmlformats.org/officeDocument/2006/relationships/hyperlink" Target="http://www.sec.gov/Archives/edgar/data/1070423/000110465920072270/tm2022235d1_ex4-1.htm" TargetMode="External"/><Relationship Id="rId26" Type="http://schemas.openxmlformats.org/officeDocument/2006/relationships/hyperlink" Target="http://www.sec.gov/Archives/edgar/data/1581990/000110465913078057/a13-22338_2ex4d1.htm" TargetMode="External"/><Relationship Id="rId27" Type="http://schemas.openxmlformats.org/officeDocument/2006/relationships/hyperlink" Target="https://www.sec.gov/Archives/edgar/data/1581990/000158199023000005/pagp202210-kexhibit416.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29875</Words>
  <Characters>162678</Characters>
  <CharactersWithSpaces>190580</CharactersWithSpaces>
  <Paragraphs>4255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