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962d1_8k.htm"/>
      <w:bookmarkStart w:id="1" w:name="kstm2624962d1_8k"/>
      <w:bookmarkEnd w:id="0"/>
      <w:bookmarkEnd w:id="1"/>
      <w:r>
        <w:rPr/>
        <w:t> </w:t>
      </w:r>
    </w:p>
    <w:p>
      <w:pPr>
        <w:pStyle w:val="TextBody"/>
        <w:bidi w:val="0"/>
        <w:spacing w:before="0" w:after="283"/>
        <w:jc w:val="left"/>
        <w:rPr/>
      </w:pPr>
      <w:bookmarkStart w:id="2" w:name="xdx_90C_edei--EntityRegistrantName_dxL_c"/>
      <w:bookmarkEnd w:id="2"/>
      <w:r>
        <w:rPr/>
        <w:t>PLAINS ALL AMERICAN PIPELINE LP</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3" w:name="xdx_903_edei--DocumentType_c20260909__20"/>
      <w:bookmarkEnd w:id="3"/>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0_edei--DocumentPeriodEndDate_c202"/>
      <w:bookmarkEnd w:id="4"/>
      <w:r>
        <w:rPr>
          <w:rFonts w:ascii="Times New Roman;Times;Serif" w:hAnsi="Times New Roman;Times;Serif"/>
          <w:b/>
          <w:i w:val="false"/>
          <w:caps w:val="false"/>
          <w:smallCaps w:val="false"/>
          <w:sz w:val="20"/>
        </w:rPr>
        <w:t>September 9, 2026</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All American Pipeline,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b/>
              </w:rPr>
            </w:pPr>
            <w:bookmarkStart w:id="6" w:name="xdx_900_edei--EntityFileNumber_c20260909"/>
            <w:bookmarkEnd w:id="6"/>
            <w:r>
              <w:rPr>
                <w:b/>
              </w:rPr>
              <w:t>1-14569</w:t>
            </w:r>
          </w:p>
        </w:tc>
        <w:tc>
          <w:tcPr>
            <w:tcW w:w="2780" w:type="dxa"/>
            <w:tcBorders/>
            <w:vAlign w:val="center"/>
          </w:tcPr>
          <w:p>
            <w:pPr>
              <w:pStyle w:val="TableContents"/>
              <w:bidi w:val="0"/>
              <w:spacing w:before="0" w:after="283"/>
              <w:jc w:val="center"/>
              <w:rPr>
                <w:b/>
              </w:rPr>
            </w:pPr>
            <w:bookmarkStart w:id="7" w:name="xdx_901_edei--EntityTaxIdentificationNum"/>
            <w:bookmarkEnd w:id="7"/>
            <w:r>
              <w:rPr>
                <w:b/>
              </w:rPr>
              <w:t>76-0582150</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333 Clay Street, </w:t>
      </w:r>
      <w:bookmarkStart w:id="9" w:name="xdx_90C_edei--EntityAddressAddressLine2_"/>
      <w:bookmarkEnd w:id="9"/>
      <w:r>
        <w:rPr>
          <w:rFonts w:ascii="Times New Roman;Times;Serif" w:hAnsi="Times New Roman;Times;Serif"/>
          <w:b/>
          <w:i w:val="false"/>
          <w:caps w:val="false"/>
          <w:smallCaps w:val="false"/>
          <w:sz w:val="20"/>
        </w:rPr>
        <w:t xml:space="preserve">Suite 1600, </w:t>
      </w:r>
      <w:bookmarkStart w:id="10" w:name="xdx_90B_edei--EntityAddressCityOrTown_c2"/>
      <w:bookmarkEnd w:id="10"/>
      <w:r>
        <w:rPr>
          <w:rFonts w:ascii="Times New Roman;Times;Serif" w:hAnsi="Times New Roman;Times;Serif"/>
          <w:b/>
          <w:i w:val="false"/>
          <w:caps w:val="false"/>
          <w:smallCaps w:val="false"/>
          <w:sz w:val="20"/>
        </w:rPr>
        <w:t xml:space="preserve">Houston,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E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8_edei--CityAreaCode_c20260909__20"/>
      <w:bookmarkEnd w:id="13"/>
      <w:r>
        <w:rPr>
          <w:rFonts w:ascii="Times New Roman;Times;Serif" w:hAnsi="Times New Roman;Times;Serif"/>
          <w:b/>
          <w:i w:val="false"/>
          <w:caps w:val="false"/>
          <w:smallCaps w:val="false"/>
          <w:sz w:val="20"/>
        </w:rPr>
        <w:t>713-</w:t>
      </w:r>
      <w:bookmarkStart w:id="14" w:name="xdx_905_edei--LocalPhoneNumber_c20260909"/>
      <w:bookmarkEnd w:id="14"/>
      <w:r>
        <w:rPr>
          <w:rFonts w:ascii="Times New Roman;Times;Serif" w:hAnsi="Times New Roman;Times;Serif"/>
          <w:b/>
          <w:i w:val="false"/>
          <w:caps w:val="false"/>
          <w:smallCaps w:val="false"/>
          <w:sz w:val="20"/>
        </w:rPr>
        <w:t>646-4100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8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9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0" w:type="dxa"/>
          <w:right w:w="0" w:type="dxa"/>
        </w:tblCellMar>
      </w:tblPr>
      <w:tblGrid>
        <w:gridCol w:w="1520"/>
        <w:gridCol w:w="60"/>
        <w:gridCol w:w="1610"/>
        <w:gridCol w:w="60"/>
        <w:gridCol w:w="3725"/>
      </w:tblGrid>
      <w:tr>
        <w:trPr/>
        <w:tc>
          <w:tcPr>
            <w:tcW w:w="15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37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20" w:type="dxa"/>
            <w:tcBorders/>
            <w:vAlign w:val="center"/>
          </w:tcPr>
          <w:p>
            <w:pPr>
              <w:pStyle w:val="TableContents"/>
              <w:bidi w:val="0"/>
              <w:spacing w:before="0" w:after="283"/>
              <w:jc w:val="center"/>
              <w:rPr>
                <w:rFonts w:ascii="Times New Roman;Times;Serif" w:hAnsi="Times New Roman;Times;Serif"/>
                <w:sz w:val="20"/>
              </w:rPr>
            </w:pPr>
            <w:bookmarkStart w:id="19" w:name="xdx_900_edei--Security12bTitle_c20260909"/>
            <w:bookmarkEnd w:id="19"/>
            <w:r>
              <w:rPr>
                <w:rFonts w:ascii="Times New Roman;Times;Serif" w:hAnsi="Times New Roman;Times;Serif"/>
                <w:sz w:val="20"/>
              </w:rPr>
              <w:t>Common Units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C_edei--TradingSymbol_c20260909__2"/>
            <w:bookmarkEnd w:id="20"/>
            <w:r>
              <w:rPr>
                <w:rFonts w:ascii="Times New Roman;Times;Serif" w:hAnsi="Times New Roman;Times;Serif"/>
                <w:sz w:val="20"/>
              </w:rPr>
              <w:t>PAA</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center"/>
              <w:rPr/>
            </w:pPr>
            <w:r>
              <w:rPr/>
              <w:t xml:space="preserve">The </w:t>
            </w:r>
            <w:bookmarkStart w:id="21" w:name="xdx_901_edei--SecurityExchangeName_c2026"/>
            <w:bookmarkEnd w:id="21"/>
            <w:r>
              <w:rPr>
                <w:rFonts w:ascii="Times New Roman;Times;Serif" w:hAnsi="Times New Roman;Times;Serif"/>
                <w:sz w:val="20"/>
              </w:rPr>
              <w:t>Nasdaq</w:t>
            </w:r>
            <w:r>
              <w:rPr/>
              <w:t xml:space="preserve">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5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Junior Subordinated Notes Offering and Preferred Unit 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PAA announced that it has priced an underwritten public offering (the “Junior Subordinated Notes Offering”) of $700 million aggregate principal amount of 6.75% Series A Junior Subordinated Notes due 2056 and $800 million aggregate principal amount of 7.00% Series B Junior Subordinated Notes due 2056. The Junior Subordinated Notes Offering is being conducted pursuant to a Registration Statement on Form S-3 (File No. 333-281967) of PAA, which became effective on September 6, 2024, as supplemented by a Prospectus Supplement relating to the Junior Subordinated Notes Offering, to be filed with the SEC pursuant to Rule 424(b) of the Securities Act. The offering is expected to close on September 14, 2026,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 intends to use the net proceeds from the Junior Subordinated Notes Offering, together with cash on hand and commercial paper borrowings, to redeem all 58,411,908 of its outstanding Series A preferred units (the “Series A Preferred Units”) and all 800,000 of its outstanding Series B preferred units (the “Series B Preferred Units,” and together with the Series A Preferred Units, the “Preferred Units”) (the “Preferred Unit Redemptions”).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PAA issued notices of redemption with respect to each series of the Preferred Units. The Series A Preferred Units will be redeemed at a redemption price of 110% of par value of $26.25 ($28.875) per unit on or about September 14, 2026. The Series B Preferred Units will be redeemed at a redemption price of 100% of par value of $1,000 per unit, on or about October 9, 2026. The redemption prices to be paid for each series of the Preferred Units will include accrued and unpaid distributions to, but not including, the applicable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an offer to purchase or a solicitation of an offer to sell the Preferred Units. In addition, this Current Report on Form 8-K does not constitute a notice of redemption of the Preferred Units. The consummation of the Junior Subordinated Notes Offering is not conditioned on the consummation of the Preferred Unit Redemptions, and the consummation of the Preferred Unit Redemptions is not conditioned on the consummation of the Junior Subordinated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certain statements concerning expectations for the future that are forward-looking statements as defined by federal law, including without limitation statements regarding the Offering and the Preferred Notes Redemption and the expected timing and terms thereof. Such forward-looking statements are subject to a variety of known and unknown risks, uncertainties and other factors that are difficult to predict and many of which are beyond management's control. An extensive list of factors that can affect future results are discussed in PAA's Annual Report on Form 10-K for the year ended December 31, 2025, any subsequent quarterly reports on Form 10-Q, the registration statement and prospectus supplement discussed herein, and other documents filed from time to time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2030"/>
        <w:gridCol w:w="650"/>
        <w:gridCol w:w="5480"/>
      </w:tblGrid>
      <w:tr>
        <w:trPr/>
        <w:tc>
          <w:tcPr>
            <w:tcW w:w="2030" w:type="dxa"/>
            <w:tcBorders/>
            <w:vAlign w:val="center"/>
          </w:tcPr>
          <w:p>
            <w:pPr>
              <w:pStyle w:val="TableContents"/>
              <w:bidi w:val="0"/>
              <w:spacing w:before="0" w:after="283"/>
              <w:jc w:val="left"/>
              <w:rPr/>
            </w:pPr>
            <w:r>
              <w:rPr/>
              <w:t> </w:t>
            </w:r>
          </w:p>
        </w:tc>
        <w:tc>
          <w:tcPr>
            <w:tcW w:w="61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PIPELINE, L.P.</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LLC, its general partner</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AAP, L.P., its sole member</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All American GP LLC, its general partner</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80" w:type="dxa"/>
            <w:tcBorders>
              <w:bottom w:val="single" w:sz="8" w:space="0" w:color="000000"/>
            </w:tcBorders>
            <w:tcMar>
              <w:bottom w:w="28" w:type="dxa"/>
            </w:tcMar>
            <w:vAlign w:val="center"/>
          </w:tcPr>
          <w:p>
            <w:pPr>
              <w:pStyle w:val="TableContents"/>
              <w:bidi w:val="0"/>
              <w:spacing w:before="0" w:after="283"/>
              <w:jc w:val="left"/>
              <w:rPr/>
            </w:pPr>
            <w:r>
              <w:rPr/>
              <w:t>/s/ Richard K. McGee</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480" w:type="dxa"/>
            <w:tcBorders/>
            <w:vAlign w:val="center"/>
          </w:tcPr>
          <w:p>
            <w:pPr>
              <w:pStyle w:val="TableContents"/>
              <w:bidi w:val="0"/>
              <w:spacing w:before="0" w:after="283"/>
              <w:jc w:val="left"/>
              <w:rPr/>
            </w:pPr>
            <w:r>
              <w:rPr/>
              <w:t>Richard K. McGee</w:t>
            </w:r>
          </w:p>
        </w:tc>
      </w:tr>
      <w:tr>
        <w:trPr/>
        <w:tc>
          <w:tcPr>
            <w:tcW w:w="203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892</Words>
  <Characters>4817</Characters>
  <CharactersWithSpaces>5709</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