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RAYMOND JOHN 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2229 SAN FELIPE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PLAINS ALL AMERICAN PIPELINE LP</w:t>
              </w:r>
            </w:hyperlink>
            <w:r>
              <w:rPr/>
              <w:t xml:space="preserve"> [ </w:t>
            </w:r>
            <w:r>
              <w:rPr>
                <w:rFonts w:ascii="Times;serif" w:hAnsi="Times;serif"/>
                <w:color w:val="0000FF"/>
                <w:sz w:val="24"/>
                <w:shd w:fill="FFFFFF" w:val="clear"/>
              </w:rPr>
              <w:t>PAA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3139" w:type="dxa"/>
        <w:jc w:val="left"/>
        <w:tblInd w:w="-7" w:type="dxa"/>
        <w:tblLayout w:type="fixed"/>
        <w:tblCellMar>
          <w:top w:w="60" w:type="dxa"/>
          <w:left w:w="60" w:type="dxa"/>
          <w:bottom w:w="60" w:type="dxa"/>
          <w:right w:w="60" w:type="dxa"/>
        </w:tblCellMar>
      </w:tblPr>
      <w:tblGrid>
        <w:gridCol w:w="1130"/>
        <w:gridCol w:w="861"/>
        <w:gridCol w:w="891"/>
        <w:gridCol w:w="771"/>
        <w:gridCol w:w="591"/>
        <w:gridCol w:w="300"/>
        <w:gridCol w:w="276"/>
        <w:gridCol w:w="1071"/>
        <w:gridCol w:w="906"/>
        <w:gridCol w:w="801"/>
        <w:gridCol w:w="891"/>
        <w:gridCol w:w="1221"/>
        <w:gridCol w:w="801"/>
        <w:gridCol w:w="936"/>
        <w:gridCol w:w="831"/>
        <w:gridCol w:w="861"/>
      </w:tblGrid>
      <w:tr>
        <w:trPr>
          <w:tblHeader w:val="true"/>
        </w:trPr>
        <w:tc>
          <w:tcPr>
            <w:tcW w:w="1313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3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1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10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A Convertible Preferred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(2)</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20,376,259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09/14/2026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Units</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20,376,259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28.875</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Through Entity</w:t>
            </w:r>
            <w:r>
              <w:rPr>
                <w:rFonts w:ascii="Times;serif" w:hAnsi="Times;serif"/>
                <w:color w:val="008000"/>
                <w:position w:val="7"/>
                <w:sz w:val="16"/>
                <w:sz w:val="20"/>
                <w:shd w:fill="FFFFFF" w:val="clear"/>
              </w:rPr>
              <w:t>(3)</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Prior to their redemption by the Issuer on September 14, 2026, the Series A Convertible Preferred Units (the "Preferred Units") were convertible on a one-for-one basis by the holders of such Preferred Units or by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 accordance with the terms of the Seventh Amended and Restated Agreement of Limited Partnership of the Issuer, dated as of October 10, 2017, the reported securities were redeemed by the Issuer on September 14, 2026 at a price equal to 110% of their face value of $26.25 ($28.875) per Preferred Unit, plus accrued and unpaid distributions to, but not including, the redemption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Prior to their redemption by the Issuer on September 14, 2026, the Series A Convertible Preferred Units were held by EMG Fund IV PAA Holdings, LLC ("EMG"). The Reporting Person is the sole member of EMG Fund IV Management, LLC, the general partner of EMG Fund IV Management, LP, which is the manager of EMG, and therefore he may be deemed to be the beneficial owner of the interests held by EMG.</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T. Raymond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6173" TargetMode="External"/><Relationship Id="rId5" Type="http://schemas.openxmlformats.org/officeDocument/2006/relationships/hyperlink" Target="http://www.sec.gov/cgi-bin/browse-edgar?action=getcompany&amp;CIK=00010704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750</Words>
  <Characters>3963</Characters>
  <CharactersWithSpaces>4639</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