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920" w:right="2040" w:hanging="3912"/>
        <w:spacing w:after="0" w:line="272"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1-14569</w:t>
      </w:r>
    </w:p>
    <w:p>
      <w:pPr>
        <w:spacing w:after="0" w:line="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7"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tcPr>
          <w:p>
            <w:pPr>
              <w:jc w:val="right"/>
              <w:ind w:right="1590"/>
              <w:spacing w:after="0"/>
              <w:rPr>
                <w:sz w:val="20"/>
                <w:szCs w:val="20"/>
                <w:color w:val="auto"/>
              </w:rPr>
            </w:pPr>
            <w:r>
              <w:rPr>
                <w:rFonts w:ascii="Times New Roman" w:cs="Times New Roman" w:eastAsia="Times New Roman" w:hAnsi="Times New Roman"/>
                <w:sz w:val="14"/>
                <w:szCs w:val="14"/>
                <w:b w:val="1"/>
                <w:bCs w:val="1"/>
                <w:color w:val="auto"/>
              </w:rPr>
              <w:t>76-0582150</w:t>
            </w:r>
          </w:p>
        </w:tc>
      </w:tr>
      <w:tr>
        <w:trPr>
          <w:trHeight w:val="203"/>
        </w:trPr>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jc w:val="center"/>
              <w:ind w:right="8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97"/>
        </w:trPr>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333 Clay Street, Suite 1600, Houston, Texas</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80" w:type="dxa"/>
            <w:vAlign w:val="bottom"/>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77002</w:t>
            </w:r>
          </w:p>
        </w:tc>
      </w:tr>
      <w:tr>
        <w:trPr>
          <w:trHeight w:val="203"/>
        </w:trPr>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tcPr>
          <w:p>
            <w:pPr>
              <w:jc w:val="center"/>
              <w:ind w:right="850"/>
              <w:spacing w:after="0"/>
              <w:rPr>
                <w:sz w:val="20"/>
                <w:szCs w:val="20"/>
                <w:color w:val="auto"/>
              </w:rPr>
            </w:pPr>
            <w:r>
              <w:rPr>
                <w:rFonts w:ascii="Times New Roman" w:cs="Times New Roman" w:eastAsia="Times New Roman" w:hAnsi="Times New Roman"/>
                <w:sz w:val="14"/>
                <w:szCs w:val="14"/>
                <w:color w:val="auto"/>
              </w:rPr>
              <w:t>(Zip Code)</w:t>
            </w:r>
          </w:p>
        </w:tc>
      </w:tr>
      <w:tr>
        <w:trPr>
          <w:trHeight w:val="526"/>
        </w:trPr>
        <w:tc>
          <w:tcPr>
            <w:tcW w:w="950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(713) 646-4100</w:t>
            </w:r>
          </w:p>
        </w:tc>
      </w:tr>
      <w:tr>
        <w:trPr>
          <w:trHeight w:val="216"/>
        </w:trPr>
        <w:tc>
          <w:tcPr>
            <w:tcW w:w="3060" w:type="dxa"/>
            <w:vAlign w:val="bottom"/>
          </w:tcPr>
          <w:p>
            <w:pPr>
              <w:spacing w:after="0"/>
              <w:rPr>
                <w:sz w:val="18"/>
                <w:szCs w:val="18"/>
                <w:color w:val="auto"/>
              </w:rPr>
            </w:pPr>
          </w:p>
        </w:tc>
        <w:tc>
          <w:tcPr>
            <w:tcW w:w="33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080" w:type="dxa"/>
            <w:vAlign w:val="bottom"/>
          </w:tcPr>
          <w:p>
            <w:pPr>
              <w:spacing w:after="0"/>
              <w:rPr>
                <w:sz w:val="18"/>
                <w:szCs w:val="18"/>
                <w:color w:val="auto"/>
              </w:rPr>
            </w:pPr>
          </w:p>
        </w:tc>
      </w:tr>
      <w:tr>
        <w:trPr>
          <w:trHeight w:val="300"/>
        </w:trPr>
        <w:tc>
          <w:tcPr>
            <w:tcW w:w="3960" w:type="dxa"/>
            <w:vAlign w:val="bottom"/>
            <w:gridSpan w:val="3"/>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460" w:type="dxa"/>
            <w:vAlign w:val="bottom"/>
            <w:gridSpan w:val="3"/>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88"/>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Units</w:t>
            </w: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713"/>
              <w:spacing w:after="0"/>
              <w:rPr>
                <w:sz w:val="20"/>
                <w:szCs w:val="20"/>
                <w:color w:val="auto"/>
              </w:rPr>
            </w:pPr>
            <w:r>
              <w:rPr>
                <w:rFonts w:ascii="Times New Roman" w:cs="Times New Roman" w:eastAsia="Times New Roman" w:hAnsi="Times New Roman"/>
                <w:sz w:val="14"/>
                <w:szCs w:val="14"/>
                <w:color w:val="auto"/>
                <w:w w:val="99"/>
              </w:rPr>
              <w:t>PAA</w:t>
            </w: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28" w:lineRule="exact"/>
        <w:rPr>
          <w:sz w:val="24"/>
          <w:szCs w:val="24"/>
          <w:color w:val="auto"/>
        </w:rPr>
      </w:pPr>
    </w:p>
    <w:p>
      <w:pPr>
        <w:ind w:left="340" w:right="3160"/>
        <w:spacing w:after="0" w:line="23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80" w:firstLine="324"/>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840" w:type="dxa"/>
        <w:tblCellMar>
          <w:top w:w="0" w:type="dxa"/>
          <w:left w:w="0" w:type="dxa"/>
          <w:bottom w:w="0" w:type="dxa"/>
          <w:right w:w="0" w:type="dxa"/>
        </w:tblCellMar>
      </w:tblPr>
      <w:tr>
        <w:trPr>
          <w:trHeight w:val="240"/>
        </w:trPr>
        <w:tc>
          <w:tcPr>
            <w:tcW w:w="3400" w:type="dxa"/>
            <w:vAlign w:val="bottom"/>
            <w:vMerge w:val="restart"/>
          </w:tcPr>
          <w:p>
            <w:pPr>
              <w:jc w:val="center"/>
              <w:ind w:right="1868"/>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3720" w:type="dxa"/>
            <w:vAlign w:val="bottom"/>
          </w:tcPr>
          <w:p>
            <w:pPr>
              <w:jc w:val="center"/>
              <w:ind w:left="1888"/>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66"/>
        </w:trPr>
        <w:tc>
          <w:tcPr>
            <w:tcW w:w="34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400" w:type="dxa"/>
            <w:vAlign w:val="bottom"/>
          </w:tcPr>
          <w:p>
            <w:pPr>
              <w:jc w:val="center"/>
              <w:ind w:right="1868"/>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3720" w:type="dxa"/>
            <w:vAlign w:val="bottom"/>
          </w:tcPr>
          <w:p>
            <w:pPr>
              <w:jc w:val="center"/>
              <w:ind w:left="1888"/>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37"/>
        </w:trPr>
        <w:tc>
          <w:tcPr>
            <w:tcW w:w="3400" w:type="dxa"/>
            <w:vAlign w:val="bottom"/>
          </w:tcPr>
          <w:p>
            <w:pPr>
              <w:spacing w:after="0"/>
              <w:rPr>
                <w:sz w:val="24"/>
                <w:szCs w:val="24"/>
                <w:color w:val="auto"/>
              </w:rPr>
            </w:pPr>
          </w:p>
        </w:tc>
        <w:tc>
          <w:tcPr>
            <w:tcW w:w="3720" w:type="dxa"/>
            <w:vAlign w:val="bottom"/>
          </w:tcPr>
          <w:p>
            <w:pPr>
              <w:jc w:val="center"/>
              <w:ind w:left="1888"/>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6" w:lineRule="exact"/>
        <w:rPr>
          <w:sz w:val="24"/>
          <w:szCs w:val="24"/>
          <w:color w:val="auto"/>
        </w:rPr>
      </w:pPr>
    </w:p>
    <w:p>
      <w:pPr>
        <w:ind w:right="340" w:firstLine="324"/>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 w:lineRule="exact"/>
        <w:rPr>
          <w:sz w:val="24"/>
          <w:szCs w:val="24"/>
          <w:color w:val="auto"/>
        </w:rPr>
      </w:pPr>
    </w:p>
    <w:p>
      <w:pPr>
        <w:ind w:right="280" w:firstLine="324"/>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324"/>
        <w:spacing w:after="0" w:line="18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4" w:lineRule="exact"/>
        <w:rPr>
          <w:sz w:val="24"/>
          <w:szCs w:val="24"/>
          <w:color w:val="auto"/>
        </w:rPr>
      </w:pPr>
    </w:p>
    <w:p>
      <w:pPr>
        <w:ind w:right="40" w:firstLine="324"/>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jc w:val="both"/>
        <w:ind w:firstLine="324"/>
        <w:spacing w:after="0" w:line="269" w:lineRule="auto"/>
        <w:rPr>
          <w:sz w:val="20"/>
          <w:szCs w:val="20"/>
          <w:color w:val="auto"/>
        </w:rPr>
      </w:pPr>
      <w:r>
        <w:rPr>
          <w:rFonts w:ascii="Times New Roman" w:cs="Times New Roman" w:eastAsia="Times New Roman" w:hAnsi="Times New Roman"/>
          <w:sz w:val="14"/>
          <w:szCs w:val="14"/>
          <w:color w:val="auto"/>
        </w:rPr>
        <w:t>The aggregate market value of the approximately 463.8 million Common Units held by non-affiliates of the registrant (treating all executive officers and directors of the registrant and holders of 10% or more of the Common Units outstanding, for this purpose, as if they are affiliates of the registrant) on June 30, 2025 was approximately $8.5 billion, based on a closing price of $18.32 per Common Unit as reported on the Nasdaq Global Select Market on such date.</w:t>
      </w:r>
    </w:p>
    <w:p>
      <w:pPr>
        <w:spacing w:after="0" w:line="8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February 20, 2026, there were 705,531,683 Common Units outstanding.</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1900" w:h="16838" w:orient="portrait"/>
          <w:cols w:equalWidth="0" w:num="1">
            <w:col w:w="11200"/>
          </w:cols>
          <w:pgMar w:left="320" w:top="234" w:right="379" w:bottom="1440" w:gutter="0" w:footer="0" w:header="0"/>
        </w:sectPr>
      </w:pPr>
    </w:p>
    <w:p>
      <w:pPr>
        <w:spacing w:after="0" w:line="77" w:lineRule="exact"/>
        <w:rPr>
          <w:sz w:val="24"/>
          <w:szCs w:val="24"/>
          <w:color w:val="auto"/>
        </w:rPr>
      </w:pPr>
    </w:p>
    <w:p>
      <w:pPr>
        <w:jc w:val="center"/>
        <w:ind w:left="80" w:right="40"/>
        <w:spacing w:after="0" w:line="268"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pursuant to Regulation 14A pertaining to the 2026 Annual Meeting of Unitholders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821055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10-K—2025 ANNUAL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66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60" w:type="dxa"/>
            <w:vAlign w:val="bottom"/>
            <w:gridSpan w:val="13"/>
            <w:vMerge w:val="restart"/>
          </w:tcPr>
          <w:p>
            <w:pPr>
              <w:jc w:val="center"/>
              <w:ind w:right="3880"/>
              <w:spacing w:after="0" w:line="193"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60" w:type="dxa"/>
            <w:vAlign w:val="bottom"/>
            <w:gridSpan w:val="13"/>
            <w:vMerge w:val="continue"/>
          </w:tcPr>
          <w:p>
            <w:pPr>
              <w:spacing w:after="0"/>
              <w:rPr>
                <w:sz w:val="14"/>
                <w:szCs w:val="14"/>
                <w:color w:val="auto"/>
              </w:rPr>
            </w:pPr>
          </w:p>
        </w:tc>
        <w:tc>
          <w:tcPr>
            <w:tcW w:w="1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Items 1 and 2.</w:t>
            </w:r>
          </w:p>
        </w:tc>
        <w:tc>
          <w:tcPr>
            <w:tcW w:w="4020" w:type="dxa"/>
            <w:vAlign w:val="bottom"/>
            <w:gridSpan w:val="17"/>
          </w:tcPr>
          <w:p>
            <w:pPr>
              <w:ind w:left="180"/>
              <w:spacing w:after="0"/>
              <w:rPr>
                <w:sz w:val="20"/>
                <w:szCs w:val="20"/>
                <w:color w:val="auto"/>
              </w:rPr>
            </w:pPr>
            <w:r>
              <w:rPr>
                <w:rFonts w:ascii="Times New Roman" w:cs="Times New Roman" w:eastAsia="Times New Roman" w:hAnsi="Times New Roman"/>
                <w:sz w:val="18"/>
                <w:szCs w:val="18"/>
                <w:color w:val="0000FF"/>
              </w:rPr>
              <w:t>Business and Properties</w:t>
            </w:r>
          </w:p>
        </w:tc>
        <w:tc>
          <w:tcPr>
            <w:tcW w:w="580" w:type="dxa"/>
            <w:vAlign w:val="bottom"/>
            <w:tcBorders>
              <w:top w:val="single" w:sz="8" w:color="0000FF"/>
            </w:tcBorders>
            <w:gridSpan w:val="2"/>
          </w:tcPr>
          <w:p>
            <w:pPr>
              <w:spacing w:after="0"/>
              <w:rPr>
                <w:sz w:val="24"/>
                <w:szCs w:val="24"/>
                <w:color w:val="auto"/>
              </w:rPr>
            </w:pPr>
          </w:p>
        </w:tc>
        <w:tc>
          <w:tcPr>
            <w:tcW w:w="3880" w:type="dxa"/>
            <w:vAlign w:val="bottom"/>
            <w:gridSpan w:val="11"/>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40" w:type="dxa"/>
            <w:vAlign w:val="bottom"/>
            <w:gridSpan w:val="2"/>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1B.</w:t>
            </w:r>
          </w:p>
        </w:tc>
        <w:tc>
          <w:tcPr>
            <w:tcW w:w="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560" w:type="dxa"/>
            <w:vAlign w:val="bottom"/>
            <w:gridSpan w:val="3"/>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Cybersecurity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580" w:type="dxa"/>
            <w:vAlign w:val="bottom"/>
            <w:gridSpan w:val="4"/>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14"/>
          </w:tcPr>
          <w:p>
            <w:pPr>
              <w:jc w:val="center"/>
              <w:ind w:right="3840"/>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0" w:type="dxa"/>
            <w:vAlign w:val="bottom"/>
          </w:tcPr>
          <w:p>
            <w:pPr>
              <w:spacing w:after="0"/>
              <w:rPr>
                <w:sz w:val="24"/>
                <w:szCs w:val="24"/>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Market for Registrant’s Common Units, Related Unitholder Matters and Issuer Purchases of Equity Securities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6.</w:t>
            </w: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Reserved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40" w:type="dxa"/>
            <w:vAlign w:val="bottom"/>
            <w:gridSpan w:val="2"/>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2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560" w:type="dxa"/>
            <w:vAlign w:val="bottom"/>
            <w:gridSpan w:val="3"/>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80" w:type="dxa"/>
            <w:vAlign w:val="bottom"/>
            <w:tcBorders>
              <w:top w:val="single" w:sz="8" w:color="0000FF"/>
            </w:tcBorders>
          </w:tcPr>
          <w:p>
            <w:pPr>
              <w:spacing w:after="0"/>
              <w:rPr>
                <w:sz w:val="24"/>
                <w:szCs w:val="24"/>
                <w:color w:val="auto"/>
              </w:rPr>
            </w:pPr>
          </w:p>
        </w:tc>
        <w:tc>
          <w:tcPr>
            <w:tcW w:w="3400" w:type="dxa"/>
            <w:vAlign w:val="bottom"/>
            <w:gridSpan w:val="7"/>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600" w:type="dxa"/>
            <w:vAlign w:val="bottom"/>
            <w:gridSpan w:val="5"/>
          </w:tcPr>
          <w:p>
            <w:pPr>
              <w:spacing w:after="0"/>
              <w:rPr>
                <w:sz w:val="24"/>
                <w:szCs w:val="24"/>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Directors and Executive Officers of Our General Partner and Corporate Governance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Unitholder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20" w:type="dxa"/>
            <w:vAlign w:val="bottom"/>
            <w:gridSpan w:val="16"/>
          </w:tcPr>
          <w:p>
            <w:pPr>
              <w:jc w:val="center"/>
              <w:ind w:right="380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600" w:type="dxa"/>
            <w:vAlign w:val="bottom"/>
            <w:gridSpan w:val="5"/>
          </w:tcPr>
          <w:p>
            <w:pPr>
              <w:spacing w:after="0"/>
              <w:rPr>
                <w:sz w:val="24"/>
                <w:szCs w:val="24"/>
                <w:color w:val="auto"/>
              </w:rPr>
            </w:pPr>
          </w:p>
        </w:tc>
        <w:tc>
          <w:tcPr>
            <w:tcW w:w="398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00" w:type="dxa"/>
            <w:vAlign w:val="bottom"/>
            <w:tcBorders>
              <w:top w:val="single" w:sz="8" w:color="0000FF"/>
            </w:tcBorders>
            <w:gridSpan w:val="6"/>
          </w:tcPr>
          <w:p>
            <w:pPr>
              <w:spacing w:after="0"/>
              <w:rPr>
                <w:sz w:val="24"/>
                <w:szCs w:val="24"/>
                <w:color w:val="auto"/>
              </w:rPr>
            </w:pPr>
          </w:p>
        </w:tc>
        <w:tc>
          <w:tcPr>
            <w:tcW w:w="3800" w:type="dxa"/>
            <w:vAlign w:val="bottom"/>
            <w:gridSpan w:val="9"/>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140" w:type="dxa"/>
            <w:vAlign w:val="bottom"/>
            <w:gridSpan w:val="18"/>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600" w:type="dxa"/>
            <w:vAlign w:val="bottom"/>
            <w:gridSpan w:val="5"/>
          </w:tcPr>
          <w:p>
            <w:pPr>
              <w:spacing w:after="0"/>
              <w:rPr>
                <w:sz w:val="18"/>
                <w:szCs w:val="18"/>
                <w:color w:val="auto"/>
              </w:rPr>
            </w:pPr>
          </w:p>
        </w:tc>
        <w:tc>
          <w:tcPr>
            <w:tcW w:w="848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0000FF"/>
              </w:rPr>
              <w:t>Form 10-K Summary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top w:val="single" w:sz="8" w:color="0000FF"/>
            </w:tcBorders>
            <w:gridSpan w:val="5"/>
          </w:tcPr>
          <w:p>
            <w:pPr>
              <w:spacing w:after="0"/>
              <w:rPr>
                <w:sz w:val="24"/>
                <w:szCs w:val="24"/>
                <w:color w:val="auto"/>
              </w:rPr>
            </w:pPr>
          </w:p>
        </w:tc>
        <w:tc>
          <w:tcPr>
            <w:tcW w:w="2820" w:type="dxa"/>
            <w:vAlign w:val="bottom"/>
            <w:gridSpan w:val="1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33" w:lineRule="exact"/>
        <w:rPr>
          <w:sz w:val="20"/>
          <w:szCs w:val="20"/>
          <w:color w:val="auto"/>
        </w:rPr>
      </w:pPr>
    </w:p>
    <w:p>
      <w:pPr>
        <w:ind w:left="980" w:right="20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54"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8"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75" w:val="left"/>
        </w:tabs>
        <w:numPr>
          <w:ilvl w:val="0"/>
          <w:numId w:val="3"/>
        </w:numPr>
        <w:rPr>
          <w:rFonts w:ascii="Arial" w:cs="Arial" w:eastAsia="Arial" w:hAnsi="Arial"/>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64" w:lineRule="exact"/>
        <w:rPr>
          <w:rFonts w:ascii="Arial" w:cs="Arial" w:eastAsia="Arial" w:hAnsi="Arial"/>
          <w:sz w:val="18"/>
          <w:szCs w:val="18"/>
          <w:color w:val="auto"/>
        </w:rPr>
      </w:pPr>
    </w:p>
    <w:p>
      <w:pPr>
        <w:ind w:left="980" w:right="1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90"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54"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40"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0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40"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26"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40"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980" w:right="16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90" w:lineRule="exact"/>
        <w:rPr>
          <w:rFonts w:ascii="Times New Roman" w:cs="Times New Roman" w:eastAsia="Times New Roman" w:hAnsi="Times New Roman"/>
          <w:sz w:val="18"/>
          <w:szCs w:val="18"/>
          <w:color w:val="auto"/>
        </w:rPr>
      </w:pPr>
    </w:p>
    <w:p>
      <w:pPr>
        <w:ind w:left="980" w:right="30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realize anticipated benefits from operational and organizational streamlining and efficiency efforts and initiatives;</w:t>
      </w:r>
    </w:p>
    <w:p>
      <w:pPr>
        <w:spacing w:after="0" w:line="10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2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9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03"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27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Items 1 and 2. </w:t>
      </w:r>
      <w:r>
        <w:rPr>
          <w:rFonts w:ascii="Times New Roman" w:cs="Times New Roman" w:eastAsia="Times New Roman" w:hAnsi="Times New Roman"/>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Plains All American Pipeline, L.P. is a publicly traded Delaware limited partnership. Our common units are listed on the Nasdaq Global Select Market (“Nasdaq”) under the ticker symbol “PAA.” 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w:t>
      </w:r>
    </w:p>
    <w:p>
      <w:pPr>
        <w:spacing w:after="0" w:line="214"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In June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$5.15 billion CAD (approximately $3.75 billion USD), subject to certain post-closing adjustments, as defined in the SPA. This transaction is expected to close around the end of the first quarter of 2026, subject to the satisfaction or waiver of customary closing conditions, including receipt of regulatory approvals. The operations of the Canadian NGL Business meet the criteria for classification as held for sale and for discontinued operations reporting. We will divest the Canadian NGL Business as part of the sale, which includes substantially all of our NGL assets; the assets that we will retain are located in the United States.</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based on the fundamental thesis that hydrocarbons are essential to the security and advancement of human quality of life and will continue to play a major long-term role in the world economy. Midstream energy infrastructure provides a critical link between energy supply and demand, and is fundamental to the maintenance and advancement of our modern-day standard of living. Acknowledging the need for multiple forms of energy to meet growing world-wide demand, we believe absolute hydrocarbon demand will increase over time, driven by global population growth and a desire to improve quality of life in lesser developed countries throughout the world, and that North American crude oil and NGL production will be required to support the growth in demand. Furthermore, we believe existing energy infrastructure will play a critical role in supporting emerging energy and energy transition initiatives. As a result, we believe that midstream energy infrastructure will remain a critical and valuable component of the energy industry value chain.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assets are owned, and our operations are conducted, directly and indirectly through our primary operating subsidiaries. As used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and unless the context indicates otherwise, the terms “Partnership,” “Plains,” “PAA,” “we,” “us,” “our,” “ours” and similar terms refer to Plains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American Pipeline, L.P. and its subsidiaries.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diagram below shows our organizational structure as of December 31, 2025 in a summarized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179070</wp:posOffset>
            </wp:positionV>
            <wp:extent cx="5452110" cy="6540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6540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2885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4" w:hanging="11"/>
        <w:spacing w:after="0" w:line="256" w:lineRule="auto"/>
        <w:rPr>
          <w:sz w:val="20"/>
          <w:szCs w:val="20"/>
          <w:color w:val="auto"/>
        </w:rPr>
      </w:pPr>
      <w:r>
        <w:rPr>
          <w:rFonts w:ascii="Times New Roman" w:cs="Times New Roman" w:eastAsia="Times New Roman" w:hAnsi="Times New Roman"/>
          <w:sz w:val="18"/>
          <w:szCs w:val="18"/>
          <w:color w:val="auto"/>
        </w:rPr>
        <w:t>Each Class C share represents a non-economic limited partner interest in PAGP. The Class C shares function as a “pass-through” voting mechanism through which we vote at the direction of and as proxy for our common unitholders (other than AAP) and Series A preferred unitholders on the election of directors. The number of Class C shares that we own is equal to the number of outstanding common units and Series A Preferred units (“Common Unit Equivalents”) that are entitled to vote, pro rata with the holders of PAGP Class A and Class B shares, for the election of eligible PAGP GP directors. Series B preferred units, which are non-voting securities, and common units held by AAP, which already participate in such elections through the PAGP Class A and Class B shares, are not entitled to vote in the election of directors.</w:t>
      </w:r>
    </w:p>
    <w:p>
      <w:pPr>
        <w:spacing w:after="0" w:line="79" w:lineRule="exact"/>
        <w:rPr>
          <w:sz w:val="20"/>
          <w:szCs w:val="20"/>
          <w:color w:val="auto"/>
        </w:rPr>
      </w:pPr>
    </w:p>
    <w:p>
      <w:pPr>
        <w:ind w:left="4" w:hanging="11"/>
        <w:spacing w:after="0" w:line="276" w:lineRule="auto"/>
        <w:rPr>
          <w:sz w:val="20"/>
          <w:szCs w:val="20"/>
          <w:color w:val="auto"/>
        </w:rPr>
      </w:pPr>
      <w:r>
        <w:rPr>
          <w:rFonts w:ascii="Times New Roman" w:cs="Times New Roman" w:eastAsia="Times New Roman" w:hAnsi="Times New Roman"/>
          <w:sz w:val="17"/>
          <w:szCs w:val="17"/>
          <w:color w:val="auto"/>
        </w:rPr>
        <w:t>The Partnership holds (i) direct and indirect ownership interests in consolidated operating subsidiaries including, but not limited to, Plains Marketing, L.P., Plains Pipeline, L.P., Plains Midstream Canada ULC (“PMC ULC”), Plains Oryx Permian Basin LLC (the “Permian JV”), Cactus</w:t>
      </w:r>
    </w:p>
    <w:p>
      <w:pPr>
        <w:spacing w:after="0" w:line="1" w:lineRule="exact"/>
        <w:rPr>
          <w:sz w:val="20"/>
          <w:szCs w:val="20"/>
          <w:color w:val="auto"/>
        </w:rPr>
      </w:pPr>
    </w:p>
    <w:p>
      <w:pPr>
        <w:ind w:left="4" w:hanging="4"/>
        <w:spacing w:after="0" w:line="253" w:lineRule="auto"/>
        <w:tabs>
          <w:tab w:leader="none" w:pos="16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LLC (“Cactus II”) and Red River Pipeline Company LLC (“Red River”) and (ii) indirect equity interests in unconsolidated entities including, but not limited to, BridgeTex Pipeline Company, LLC, Capline Pipeline Company LLC, Diamond Pipeline LLC, Eagle Ford Pipeline LLC, Eagle Ford Terminals Corpus Christi LLC, Saddlehorn Pipeline Company, LLC, White Cliffs Pipeline, L.L.C. and Wink to Webster Pipeline LLC.</w:t>
      </w:r>
    </w:p>
    <w:p>
      <w:pPr>
        <w:spacing w:after="0" w:line="200" w:lineRule="exact"/>
        <w:rPr>
          <w:sz w:val="20"/>
          <w:szCs w:val="20"/>
          <w:color w:val="auto"/>
        </w:rPr>
      </w:pPr>
    </w:p>
    <w:p>
      <w:pPr>
        <w:sectPr>
          <w:pgSz w:w="11900" w:h="16838" w:orient="portrait"/>
          <w:cols w:equalWidth="0" w:num="2">
            <w:col w:w="140" w:space="516"/>
            <w:col w:w="10544"/>
          </w:cols>
          <w:pgMar w:left="320" w:top="126" w:right="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principal business strategy is to provide competitive and efficient midstream infrastructure and logistics services to producers, refiners and other customers. We strive to address regional supply and demand imbalances for crude oil and NGL in the United States and Canada by combining the strategic location and capabilities of our transportation, terminalling, storage, processing and fractionation assets with our commercial expertise. We intend to execute our strategy by:</w:t>
      </w:r>
    </w:p>
    <w:p>
      <w:pPr>
        <w:spacing w:after="0" w:line="99" w:lineRule="exact"/>
        <w:rPr>
          <w:sz w:val="20"/>
          <w:szCs w:val="20"/>
          <w:color w:val="auto"/>
        </w:rPr>
      </w:pPr>
    </w:p>
    <w:p>
      <w:pPr>
        <w:ind w:left="1060" w:right="380" w:hanging="404"/>
        <w:spacing w:after="0" w:line="282"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operational excellence, continuous improvement and running a safe, reliable, and environmentally and socially responsible operation;</w:t>
      </w:r>
    </w:p>
    <w:p>
      <w:pPr>
        <w:spacing w:after="0" w:line="53" w:lineRule="exact"/>
        <w:rPr>
          <w:rFonts w:ascii="Times New Roman" w:cs="Times New Roman" w:eastAsia="Times New Roman" w:hAnsi="Times New Roman"/>
          <w:sz w:val="18"/>
          <w:szCs w:val="18"/>
          <w:color w:val="auto"/>
        </w:rPr>
      </w:pPr>
    </w:p>
    <w:p>
      <w:pPr>
        <w:ind w:left="1060" w:hanging="404"/>
        <w:spacing w:after="0" w:line="266"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our well-positioned network of midstream infrastructure in conjunction with our commercial capabilities to provide our customers with market access, flexibility and value chain solutions, capture market opportunities, address physical market imbalances and generate and grow sustainable cash flow and margin while maintaining an acceptable risk profile;</w:t>
      </w:r>
    </w:p>
    <w:p>
      <w:pPr>
        <w:spacing w:after="0" w:line="67" w:lineRule="exact"/>
        <w:rPr>
          <w:rFonts w:ascii="Times New Roman" w:cs="Times New Roman" w:eastAsia="Times New Roman" w:hAnsi="Times New Roman"/>
          <w:sz w:val="18"/>
          <w:szCs w:val="18"/>
          <w:color w:val="auto"/>
        </w:rPr>
      </w:pPr>
    </w:p>
    <w:p>
      <w:pPr>
        <w:ind w:left="1060" w:right="540" w:hanging="404"/>
        <w:spacing w:after="0" w:line="282"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and enhancing our asset portfolio and operations (through disciplined and accretive capital investments and the pursuit of emerging energy opportunities) to maximize returns on invested capital; and</w:t>
      </w:r>
    </w:p>
    <w:p>
      <w:pPr>
        <w:spacing w:after="0" w:line="53" w:lineRule="exact"/>
        <w:rPr>
          <w:rFonts w:ascii="Times New Roman" w:cs="Times New Roman" w:eastAsia="Times New Roman" w:hAnsi="Times New Roman"/>
          <w:sz w:val="18"/>
          <w:szCs w:val="18"/>
          <w:color w:val="auto"/>
        </w:rPr>
      </w:pPr>
    </w:p>
    <w:p>
      <w:pPr>
        <w:ind w:left="1060" w:right="160" w:hanging="404"/>
        <w:spacing w:after="0" w:line="282"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a balanced, long-term financial strategy that is focused on maintaining an investment grade credit profile and enhancing financial flexibility by making disciplined capital allocation decisions.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successful execution of this strategy will enable us to generate and grow sustainable earnings and cash flow, and will position us to maintain an investment grade credit profile and increase returns to equity holders over time. As we continue to position ourselves for the future, we strive to be the premier North American crude oil midstream provider as we transition to a crude oil pure play business, pending the completion of the Canadian NGL Business divestiture.</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 following competitive strengths position us to successfully execute our principal business strategy:</w:t>
      </w:r>
    </w:p>
    <w:p>
      <w:pPr>
        <w:spacing w:after="0" w:line="156" w:lineRule="exact"/>
        <w:rPr>
          <w:sz w:val="20"/>
          <w:szCs w:val="20"/>
          <w:color w:val="auto"/>
        </w:rPr>
      </w:pPr>
    </w:p>
    <w:p>
      <w:pPr>
        <w:ind w:left="980" w:right="60" w:hanging="324"/>
        <w:spacing w:after="0" w:line="256" w:lineRule="auto"/>
        <w:tabs>
          <w:tab w:leader="none" w:pos="97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We own a strategically located, geographically diverse and interconnected large-scale asset base that provides operational flexibility and commercial optionality. </w:t>
      </w:r>
      <w:r>
        <w:rPr>
          <w:rFonts w:ascii="Times New Roman" w:cs="Times New Roman" w:eastAsia="Times New Roman" w:hAnsi="Times New Roman"/>
          <w:sz w:val="18"/>
          <w:szCs w:val="18"/>
          <w:color w:val="auto"/>
        </w:rPr>
        <w:t>The majority of our transportation assets are in crude oil service, are located in well-established crude oil producing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regions (with our largest asset presence in the Permian Basin) and other transportation corridors and are connected, directly or indirectly, with our terminals and facilities assets. The majority of our terminals and facilities assets are located at major trading locations and premium markets that serve as gateways to major North American refinery and distribution markets and key export terminals where we have strong business relationships. In addition, our pipeline, storage, rail and truck assets provide our customers and us with significant flexibility and optionality to satisfy demand, balance markets, and participate in emerging energy opportunities.</w:t>
      </w:r>
    </w:p>
    <w:p>
      <w:pPr>
        <w:spacing w:after="0" w:line="128" w:lineRule="exact"/>
        <w:rPr>
          <w:rFonts w:ascii="Times New Roman" w:cs="Times New Roman" w:eastAsia="Times New Roman" w:hAnsi="Times New Roman"/>
          <w:sz w:val="18"/>
          <w:szCs w:val="18"/>
          <w:i w:val="1"/>
          <w:iCs w:val="1"/>
          <w:color w:val="auto"/>
        </w:rPr>
      </w:pPr>
    </w:p>
    <w:p>
      <w:pPr>
        <w:ind w:left="980" w:hanging="324"/>
        <w:spacing w:after="0" w:line="25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full-service integrated model and long-term focus attracts a broad, diverse and high-quality customer base that supports sustainable fee-based cash flow generation. </w:t>
      </w:r>
      <w:r>
        <w:rPr>
          <w:rFonts w:ascii="Times New Roman" w:cs="Times New Roman" w:eastAsia="Times New Roman" w:hAnsi="Times New Roman"/>
          <w:sz w:val="18"/>
          <w:szCs w:val="18"/>
          <w:color w:val="auto"/>
        </w:rPr>
        <w:t>Our strategically located and interconnected asset base enables us to provide our customers with a wide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including supply aggregation, quality segregation, flow assurance and market access. We focus on building long-term relationships and alignment of interests with our customers. We believe this approach has helped us build a high-quality portfolio of customers and contracts (including long-term, third-party transportation contracts and acreage dedication contracts) that provide long-term volume support for our assets and, in turn, support long-term fee-based cash flow generation from our assets.</w:t>
      </w:r>
    </w:p>
    <w:p>
      <w:pPr>
        <w:spacing w:after="0" w:line="128"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possess specialized crude oil and NGL market knowledge. </w:t>
      </w:r>
      <w:r>
        <w:rPr>
          <w:rFonts w:ascii="Times New Roman" w:cs="Times New Roman" w:eastAsia="Times New Roman" w:hAnsi="Times New Roman"/>
          <w:sz w:val="18"/>
          <w:szCs w:val="18"/>
          <w:color w:val="auto"/>
        </w:rPr>
        <w:t>We believe our business relationships with participants in various phases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and NGL distribution chain, from producers to refiners, as well as our own industry expertise (including our knowledge of North American crude oil and NGL flows), provide us with extensive market insight and an understanding of the North American physical crude oil and NGL markets that enables us to provide value chain solutions for our customers.</w:t>
      </w:r>
    </w:p>
    <w:p>
      <w:pPr>
        <w:spacing w:after="0" w:line="125" w:lineRule="exact"/>
        <w:rPr>
          <w:rFonts w:ascii="Times New Roman" w:cs="Times New Roman" w:eastAsia="Times New Roman" w:hAnsi="Times New Roman"/>
          <w:sz w:val="18"/>
          <w:szCs w:val="18"/>
          <w:color w:val="auto"/>
        </w:rPr>
      </w:pPr>
    </w:p>
    <w:p>
      <w:pPr>
        <w:ind w:left="980" w:right="4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merchant activities provide us with the opportunity to realize incremental margins. </w:t>
      </w:r>
      <w:r>
        <w:rPr>
          <w:rFonts w:ascii="Times New Roman" w:cs="Times New Roman" w:eastAsia="Times New Roman" w:hAnsi="Times New Roman"/>
          <w:sz w:val="18"/>
          <w:szCs w:val="18"/>
          <w:color w:val="auto"/>
        </w:rPr>
        <w:t>We believe the variety of our merchant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us with a low-risk opportunity to generate incremental margin, the amount of which may vary depending on market conditions (such as differentials and certain competitive factors).</w:t>
      </w:r>
    </w:p>
    <w:p>
      <w:pPr>
        <w:spacing w:after="0" w:line="119" w:lineRule="exact"/>
        <w:rPr>
          <w:rFonts w:ascii="Times New Roman" w:cs="Times New Roman" w:eastAsia="Times New Roman" w:hAnsi="Times New Roman"/>
          <w:sz w:val="18"/>
          <w:szCs w:val="18"/>
          <w:color w:val="auto"/>
        </w:rPr>
      </w:pPr>
    </w:p>
    <w:p>
      <w:pPr>
        <w:ind w:left="980" w:hanging="324"/>
        <w:spacing w:after="0" w:line="267"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the financial, strategic and technical skills needed to execute strategic transactions that support our business and financial objectives, including joint ventures, joint ownership arrangements, acquisitions and divestitures. </w:t>
      </w:r>
      <w:r>
        <w:rPr>
          <w:rFonts w:ascii="Times New Roman" w:cs="Times New Roman" w:eastAsia="Times New Roman" w:hAnsi="Times New Roman"/>
          <w:sz w:val="18"/>
          <w:szCs w:val="18"/>
          <w:color w:val="auto"/>
        </w:rPr>
        <w:t>We are a party to more than 25 joint ventures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joint ownership arrangements with strategic partners that support the success of the applicable project or investment.</w:t>
      </w:r>
    </w:p>
    <w:p>
      <w:pPr>
        <w:spacing w:after="0" w:line="119"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an experienced management team whose interests are aligned with those of our equity holders. </w:t>
      </w:r>
      <w:r>
        <w:rPr>
          <w:rFonts w:ascii="Times New Roman" w:cs="Times New Roman" w:eastAsia="Times New Roman" w:hAnsi="Times New Roman"/>
          <w:sz w:val="18"/>
          <w:szCs w:val="18"/>
          <w:color w:val="auto"/>
        </w:rPr>
        <w:t>Our executive management team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average of 30+ years of experience spanning across all sectors of the energy industry and an average of over 15 years of experience with us or our predecessors and affiliates. In addition, through their ownership of equity interests and grants of long-term equity incentive awards, our management team has a vested interest in our continued success that is aligned with the interests of our equity holders.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Strategy</w:t>
      </w:r>
    </w:p>
    <w:p>
      <w:pPr>
        <w:spacing w:after="0" w:line="256"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 Since the completion of our initial public offering in 1998, we have completed and integrated over 100 acquisitions with an aggregate purchase price of approximately $17.5 billion, implemented investment capital projects totaling approximately $18.7 billion, returned approximately $21.0 billion to our equity holders, primarily in the form of distributions, and enhanced our credit rating to investment grade from non-investment grade. Additionally, since 2016 we have completed more than $5.0 billion of divestitures of non-core assets and/or strategic sales of partial interests in selected assets, and we anticipate the pending Canadian NGL Business divestiture to close in the first quarter of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Credit Profile</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As part of our financial strategy, we intend to maintain a credit profile that we believe is consistent with investment grade credit ratings. We target a credit profile with the following attributes:</w:t>
      </w:r>
    </w:p>
    <w:p>
      <w:pPr>
        <w:spacing w:after="0" w:line="189" w:lineRule="exact"/>
        <w:rPr>
          <w:sz w:val="20"/>
          <w:szCs w:val="20"/>
          <w:color w:val="auto"/>
        </w:rPr>
      </w:pPr>
    </w:p>
    <w:p>
      <w:pPr>
        <w:jc w:val="both"/>
        <w:ind w:left="980" w:right="20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multiple averaging between 3.25x to 3.75x, which is calculated as total debt plus 50% of the value of preferred units, divided by Adjusted EBITDA attributable to PAA (this is roughly equivalent to a long-term debt-to-Adjusted EBITDA attributable to PAA multiple of between 2.5x and 3.0x);</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long-term debt-to-total capitalization ratio of approximately 50% or less;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total debt-to-total capitalization ratio of approximately 60% or less;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average Adjusted EBITDA-to-interest coverage multiple of approximately 3.3x or better.</w:t>
      </w:r>
    </w:p>
    <w:p>
      <w:pPr>
        <w:spacing w:after="0" w:line="25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Operations—Results of Operations—Non-GAAP Financial Measures” for our definition of Adjusted EBITDA and Adjusted EBITDA attributable to PAA.</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At December 31, 2025, our publicly-traded senior notes comprised approximately 85% of our long-term debt. Additionally, we routinely incur short-term debt primarily in connection with our merchant activities that involve the simultaneous purchase and forward sale of crude oil and NGL. The crude oil and NGL purchased in these transactions are volumetrically hedged. These borrowings are self-liquidating as they are repaid with sales proceeds. We also incur short-term debt to fund New York Mercantile Exchange (“NYMEX”) and Intercontinental Exchange (“ICE”) margin requirements. In certain market conditions, these routine short-term debt levels may increase above baseline levels. Similar to our working capital borrowings, these borrowings are self-liquidating. We do not consider the working capital borrowings or margin requirements associated with these activities to be part of our long-term capital structure.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Values and Sustainability</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Core Values include Safety and Environmental Stewardship; Ownership and Accountability; Respect, Fairness, and Inclusion; Ethics and Integrity; Teamwork; and Entrepreneurship and Innovation. Our Code of Business Conduct sets forth the ways in which these Core Values govern how our officers and employees conduct themselves and engage in business relationships. Our approach to sustainability involves integrating prudent environmental, social and governance practices throughout the organization with a focus on transparency and building trust among stakeholders, managing operating and business risks and minimizing environmental impacts, and utilizing our people, assets and systems to maximize long-term value for our stakeholders. Annual environmental and safety performance targets help us measure progress toward meeting our sustainability objectives. Performance against such targets is also a factor in determining annual bonus compensation for our employees, which further incentivizes desired behaviors and outcomes. In addition, our Health, Safety, Environmental and Sustainability (“HSES”) Committee of the Board assists the Board in its evaluation and oversight of our management of HSES matters. Through the discharge of its oversight responsibilities, the HSES Committee facilitates the efforts of management to further strengthen our focus on sustainability matters. Additional information regarding our Core Values and our commitment to environmental and social responsibility, including our annual Sustainability Report, is available in the Sustainability section of our website. See “— Available Information”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Segments and Associated Assets</w:t>
      </w:r>
    </w:p>
    <w:p>
      <w:pPr>
        <w:spacing w:after="0" w:line="25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business activities are conducted through two segments — Crude Oil and NGL. We have an extensive network of pipeline transportation, terminalling, storage and gathering assets in key crude oil and NGL producing basins and transportation corridors and at major market hubs in the United States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140335</wp:posOffset>
            </wp:positionV>
            <wp:extent cx="5863590" cy="5057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3590" cy="505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description of the activities and assets for each of our segments.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Market and Business Overview</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Crude oil is a global commodity that serves as feedstock for many of the world’s essential refined products such as transportation fuels (gasoline, diesel, jet fuel) and heating oil, among others. While commodities are typically considered unspecialized, mass-produced and fungible, crude oil is neither unspecialized nor fungible. The crude slate available to North American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of a particular grade or type of crude oil. In many cases, these factors result in the need for such grades to be batched or segregated in the transportation and storage processes, blended to precise specifications or adjusted in value.</w:t>
      </w:r>
    </w:p>
    <w:p>
      <w:pPr>
        <w:sectPr>
          <w:pgSz w:w="11900" w:h="16838" w:orient="portrait"/>
          <w:cols w:equalWidth="0" w:num="1">
            <w:col w:w="11200"/>
          </w:cols>
          <w:pgMar w:left="320" w:top="126" w:right="37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lack of fungibility of the various grades of crude oil can create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combined with the value of finished goods created, drive a refinery’s choice of feedstock.</w:t>
      </w:r>
    </w:p>
    <w:p>
      <w:pPr>
        <w:spacing w:after="0" w:line="21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infrastructure systems that connect major producing regions (supply) to key demand centers (refineries) and export terminals. Our assets and our business strategy are designed to serve our producer and refiner customers by addressing regional crude oil supply and demand imbalances that exist in the United States and Canada.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w:t>
      </w:r>
    </w:p>
    <w:p>
      <w:pPr>
        <w:spacing w:after="0" w:line="21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Crude Oil segment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131445</wp:posOffset>
            </wp:positionV>
            <wp:extent cx="5863590" cy="1388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359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transportation assets in this segment, we primarily generate revenue through a combination of tariffs, pipeline capacity agreements and other transportation fees. With respect to our crude oil terminal and condensate processing assets in this segment, we primarily generate revenue through a combination of month-to-month and multi-year agreements and arrangements which include storage, throughput and loading/unloading fees at our crude oil terminals and processing facilities. We also generate significant revenue through a variety of commercial and merchant activities that often result in increased utilization of our transportation and storage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 Assets Overview</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assets utilized in our Crude Oil segment included the following:</w:t>
      </w:r>
    </w:p>
    <w:p>
      <w:pPr>
        <w:spacing w:after="0" w:line="25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20,405 miles of active crude oil transportation pipelines and gathering systems;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barrels of commercial crude oil storage capacity at our terminalling and storage locations;</w:t>
      </w:r>
    </w:p>
    <w:p>
      <w:pPr>
        <w:spacing w:after="0" w:line="11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barrels of active, above-ground tank capacity used to facilitate pipeline throughput or support our rail assets and help maintain product quality segregation;</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marine facilities in the United States;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condensate processing facility with an aggregate processing capacity of 120,000 barrels per day;</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crude oil rail terminals with aggregate loading and unloading capacity of 264,000 and 380,000 barrels per day, respectively;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crude oil railcars;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 trucks and 1,200 trailers.</w:t>
      </w:r>
    </w:p>
    <w:p>
      <w:pPr>
        <w:spacing w:after="0" w:line="25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our assets include the linefill associated with our commercial activities, including approximately: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barrels of crude oil linefill in pipelines and tanks owned by us;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barrels of crude oil utilized as linefill in pipelines owned by third parties or otherwise required as long-term inventory.</w:t>
      </w:r>
    </w:p>
    <w:p>
      <w:pPr>
        <w:spacing w:after="0" w:line="25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additional information about our pipelines and terminals by geographic location, including active pipeline miles and commercial storage capacity as of December 31, 2025 and average daily volumes transported on our crude oil pipelines for the year ended December 31,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2025 Average</w:t>
            </w:r>
          </w:p>
        </w:tc>
        <w:tc>
          <w:tcPr>
            <w:tcW w:w="1760" w:type="dxa"/>
            <w:vAlign w:val="bottom"/>
          </w:tcPr>
          <w:p>
            <w:pPr>
              <w:jc w:val="right"/>
              <w:ind w:right="114"/>
              <w:spacing w:after="0"/>
              <w:rPr>
                <w:sz w:val="20"/>
                <w:szCs w:val="20"/>
                <w:color w:val="auto"/>
              </w:rPr>
            </w:pPr>
            <w:r>
              <w:rPr>
                <w:rFonts w:ascii="Times New Roman" w:cs="Times New Roman" w:eastAsia="Times New Roman" w:hAnsi="Times New Roman"/>
                <w:sz w:val="15"/>
                <w:szCs w:val="15"/>
                <w:b w:val="1"/>
                <w:bCs w:val="1"/>
                <w:color w:val="auto"/>
              </w:rPr>
              <w:t>Commercial Storage</w:t>
            </w:r>
          </w:p>
        </w:tc>
      </w:tr>
      <w:tr>
        <w:trPr>
          <w:trHeight w:val="216"/>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Region</w:t>
            </w: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Ownership Percentage</w:t>
            </w:r>
          </w:p>
        </w:tc>
        <w:tc>
          <w:tcPr>
            <w:tcW w:w="1620" w:type="dxa"/>
            <w:vAlign w:val="bottom"/>
            <w:gridSpan w:val="2"/>
          </w:tcPr>
          <w:p>
            <w:pPr>
              <w:jc w:val="center"/>
              <w:ind w:right="120"/>
              <w:spacing w:after="0" w:line="216" w:lineRule="exact"/>
              <w:rPr>
                <w:sz w:val="20"/>
                <w:szCs w:val="20"/>
                <w:color w:val="auto"/>
              </w:rPr>
            </w:pPr>
            <w:r>
              <w:rPr>
                <w:rFonts w:ascii="Times New Roman" w:cs="Times New Roman" w:eastAsia="Times New Roman" w:hAnsi="Times New Roman"/>
                <w:sz w:val="15"/>
                <w:szCs w:val="15"/>
                <w:b w:val="1"/>
                <w:bCs w:val="1"/>
                <w:color w:val="auto"/>
                <w:w w:val="93"/>
              </w:rPr>
              <w:t xml:space="preserve">Miles </w:t>
            </w:r>
            <w:r>
              <w:rPr>
                <w:rFonts w:ascii="Times New Roman" w:cs="Times New Roman" w:eastAsia="Times New Roman" w:hAnsi="Times New Roman"/>
                <w:sz w:val="19"/>
                <w:szCs w:val="19"/>
                <w:b w:val="1"/>
                <w:bCs w:val="1"/>
                <w:color w:val="auto"/>
                <w:w w:val="93"/>
                <w:vertAlign w:val="superscript"/>
              </w:rPr>
              <w:t>(1)</w:t>
            </w:r>
          </w:p>
        </w:tc>
        <w:tc>
          <w:tcPr>
            <w:tcW w:w="184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Barrels per Day </w:t>
            </w:r>
            <w:r>
              <w:rPr>
                <w:rFonts w:ascii="Times New Roman" w:cs="Times New Roman" w:eastAsia="Times New Roman" w:hAnsi="Times New Roman"/>
                <w:sz w:val="19"/>
                <w:szCs w:val="19"/>
                <w:b w:val="1"/>
                <w:bCs w:val="1"/>
                <w:color w:val="auto"/>
                <w:w w:val="97"/>
                <w:vertAlign w:val="superscript"/>
              </w:rPr>
              <w:t>(2)</w:t>
            </w:r>
          </w:p>
        </w:tc>
        <w:tc>
          <w:tcPr>
            <w:tcW w:w="1760" w:type="dxa"/>
            <w:vAlign w:val="bottom"/>
          </w:tcPr>
          <w:p>
            <w:pPr>
              <w:jc w:val="right"/>
              <w:ind w:right="414"/>
              <w:spacing w:after="0" w:line="216" w:lineRule="exact"/>
              <w:rPr>
                <w:sz w:val="20"/>
                <w:szCs w:val="20"/>
                <w:color w:val="auto"/>
              </w:rPr>
            </w:pPr>
            <w:r>
              <w:rPr>
                <w:rFonts w:ascii="Times New Roman" w:cs="Times New Roman" w:eastAsia="Times New Roman" w:hAnsi="Times New Roman"/>
                <w:sz w:val="15"/>
                <w:szCs w:val="15"/>
                <w:b w:val="1"/>
                <w:bCs w:val="1"/>
                <w:color w:val="auto"/>
              </w:rPr>
              <w:t xml:space="preserve">Capacity </w:t>
            </w:r>
            <w:r>
              <w:rPr>
                <w:rFonts w:ascii="Times New Roman" w:cs="Times New Roman" w:eastAsia="Times New Roman" w:hAnsi="Times New Roman"/>
                <w:sz w:val="19"/>
                <w:szCs w:val="19"/>
                <w:b w:val="1"/>
                <w:bCs w:val="1"/>
                <w:color w:val="auto"/>
                <w:vertAlign w:val="superscript"/>
              </w:rPr>
              <w:t>(3)</w:t>
            </w:r>
          </w:p>
        </w:tc>
      </w:tr>
      <w:tr>
        <w:trPr>
          <w:trHeight w:val="190"/>
        </w:trPr>
        <w:tc>
          <w:tcPr>
            <w:tcW w:w="3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7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4020" w:type="dxa"/>
            <w:vAlign w:val="bottom"/>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Gathering pipelines </w:t>
            </w:r>
            <w:r>
              <w:rPr>
                <w:rFonts w:ascii="Times New Roman" w:cs="Times New Roman" w:eastAsia="Times New Roman" w:hAnsi="Times New Roman"/>
                <w:sz w:val="23"/>
                <w:szCs w:val="23"/>
                <w:color w:val="auto"/>
                <w:vertAlign w:val="superscript"/>
              </w:rPr>
              <w:t>(4)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4020" w:type="dxa"/>
            <w:vAlign w:val="bottom"/>
            <w:gridSpan w:val="3"/>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Intra-basin pipelines </w:t>
            </w:r>
            <w:r>
              <w:rPr>
                <w:rFonts w:ascii="Times New Roman" w:cs="Times New Roman" w:eastAsia="Times New Roman" w:hAnsi="Times New Roman"/>
                <w:sz w:val="23"/>
                <w:szCs w:val="23"/>
                <w:color w:val="auto"/>
                <w:vertAlign w:val="superscript"/>
              </w:rPr>
              <w:t>(4)</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4020" w:type="dxa"/>
            <w:vAlign w:val="bottom"/>
            <w:tcBorders>
              <w:bottom w:val="single" w:sz="8" w:color="CCEEFF"/>
            </w:tcBorders>
            <w:gridSpan w:val="3"/>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Long-haul pipelines </w:t>
            </w:r>
            <w:r>
              <w:rPr>
                <w:rFonts w:ascii="Times New Roman" w:cs="Times New Roman" w:eastAsia="Times New Roman" w:hAnsi="Times New Roman"/>
                <w:sz w:val="23"/>
                <w:szCs w:val="23"/>
                <w:color w:val="auto"/>
                <w:vertAlign w:val="superscript"/>
              </w:rPr>
              <w:t>(5)</w:t>
            </w:r>
          </w:p>
        </w:tc>
        <w:tc>
          <w:tcPr>
            <w:tcW w:w="1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17% - 100%</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r>
      <w:tr>
        <w:trPr>
          <w:trHeight w:val="223"/>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Permian Basin Total</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29"/>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Texas/Eagle Ford</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402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3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4020" w:type="dxa"/>
            <w:vAlign w:val="bottom"/>
            <w:gridSpan w:val="3"/>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(5)</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 - 100%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29"/>
        </w:trPr>
        <w:tc>
          <w:tcPr>
            <w:tcW w:w="40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r>
      <w:tr>
        <w:trPr>
          <w:trHeight w:val="248"/>
        </w:trPr>
        <w:tc>
          <w:tcPr>
            <w:tcW w:w="402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9,680</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total mileage of pipelines in which we own less than 100%.</w:t>
      </w:r>
    </w:p>
    <w:p>
      <w:pPr>
        <w:spacing w:after="0" w:line="117" w:lineRule="exact"/>
        <w:rPr>
          <w:sz w:val="20"/>
          <w:szCs w:val="20"/>
          <w:color w:val="auto"/>
        </w:rPr>
      </w:pPr>
    </w:p>
    <w:p>
      <w:pPr>
        <w:ind w:left="20" w:right="80" w:hanging="11"/>
        <w:spacing w:after="0" w:line="258" w:lineRule="auto"/>
        <w:rPr>
          <w:sz w:val="20"/>
          <w:szCs w:val="20"/>
          <w:color w:val="auto"/>
        </w:rPr>
      </w:pPr>
      <w:r>
        <w:rPr>
          <w:rFonts w:ascii="Times New Roman" w:cs="Times New Roman" w:eastAsia="Times New Roman" w:hAnsi="Times New Roman"/>
          <w:sz w:val="18"/>
          <w:szCs w:val="18"/>
          <w:color w:val="auto"/>
        </w:rPr>
        <w:t>Represents average daily volumes for the entire year attributable to our interest for pipelines owned by consolidated entities, unconsolidated entities or through undivided joint interests (“UJI”). Average daily volumes are calculated as the total volumes (attributable to our interest) for the year divided by the number of days in the year. Volumes reflect tariff movements and thus may be included multiple times as volumes move through our integrated system. Volumes associated with assets acquired or sold during the year represent total volumes for the number of days we actually owned the assets divided by the number of days in the period.</w:t>
      </w:r>
    </w:p>
    <w:p>
      <w:pPr>
        <w:spacing w:after="0" w:line="75"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ind w:left="20" w:right="580" w:hanging="11"/>
        <w:spacing w:after="0" w:line="282" w:lineRule="auto"/>
        <w:rPr>
          <w:sz w:val="20"/>
          <w:szCs w:val="20"/>
          <w:color w:val="auto"/>
        </w:rPr>
      </w:pPr>
      <w:r>
        <w:rPr>
          <w:rFonts w:ascii="Times New Roman" w:cs="Times New Roman" w:eastAsia="Times New Roman" w:hAnsi="Times New Roman"/>
          <w:sz w:val="18"/>
          <w:szCs w:val="18"/>
          <w:color w:val="auto"/>
        </w:rPr>
        <w:t>Commercial storage capacity in millions of barrels. Does not include operational storage capacity used to facilitate pipeline throughput and maintain product quality segregation.</w:t>
      </w:r>
    </w:p>
    <w:p>
      <w:pPr>
        <w:spacing w:after="0" w:line="54" w:lineRule="exact"/>
        <w:rPr>
          <w:sz w:val="20"/>
          <w:szCs w:val="20"/>
          <w:color w:val="auto"/>
        </w:rPr>
      </w:pPr>
    </w:p>
    <w:p>
      <w:pPr>
        <w:ind w:left="20" w:right="120" w:hanging="11"/>
        <w:spacing w:after="0" w:line="282" w:lineRule="auto"/>
        <w:rPr>
          <w:sz w:val="20"/>
          <w:szCs w:val="20"/>
          <w:color w:val="auto"/>
        </w:rPr>
      </w:pPr>
      <w:r>
        <w:rPr>
          <w:rFonts w:ascii="Times New Roman" w:cs="Times New Roman" w:eastAsia="Times New Roman" w:hAnsi="Times New Roman"/>
          <w:sz w:val="18"/>
          <w:szCs w:val="18"/>
          <w:color w:val="auto"/>
        </w:rPr>
        <w:t>All of our gathering pipelines and a majority of our intra-basin pipelines in the Permian Basin are owned by the Permian JV, a consolidated entity in which we own a 65% interest. The Permian JV has a 63% UJI in one of the intra-basin pipelines in the Permian Basin.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Infrastructure</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crude oil assets are interconnected and are operated as a contiguous system. The following descriptions are organized by geographic location and asset type and represent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from point B to point C would double the pipeline tariff volumes on a particular system versus a single point A to point C movement). As a result, at times, our reported tariff barrel movements may exceed our total capacity.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crude oil pipelines are comprised of:</w:t>
      </w:r>
    </w:p>
    <w:p>
      <w:pPr>
        <w:spacing w:after="0" w:line="250"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that move crude oil from wellhead or central battery connections to regional market hubs;</w:t>
      </w:r>
    </w:p>
    <w:p>
      <w:pPr>
        <w:spacing w:after="0" w:line="252" w:lineRule="exact"/>
        <w:rPr>
          <w:rFonts w:ascii="Times New Roman" w:cs="Times New Roman" w:eastAsia="Times New Roman" w:hAnsi="Times New Roman"/>
          <w:sz w:val="18"/>
          <w:szCs w:val="18"/>
          <w:color w:val="auto"/>
        </w:rPr>
      </w:pPr>
    </w:p>
    <w:p>
      <w:pPr>
        <w:ind w:left="1300" w:right="5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that are used as a hub system allowing for a significant amount of flexibility by creating connections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regional hub locations; and</w:t>
      </w:r>
    </w:p>
    <w:p>
      <w:pPr>
        <w:spacing w:after="0" w:line="185" w:lineRule="exact"/>
        <w:rPr>
          <w:rFonts w:ascii="Times New Roman" w:cs="Times New Roman" w:eastAsia="Times New Roman" w:hAnsi="Times New Roman"/>
          <w:sz w:val="18"/>
          <w:szCs w:val="18"/>
          <w:color w:val="auto"/>
        </w:rPr>
      </w:pPr>
    </w:p>
    <w:p>
      <w:pPr>
        <w:ind w:left="1300" w:right="4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that move crude oil from (i) regional market hubs to major market hubs such as Cushing, Oklahoma or to export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including our Corpus Christi terminal, or (ii) a refinery or other major market hubs, such as the Houston market.</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crude oil terminals have significant flexibility and operational capabilities, including large-scale multi-grade handling and segregation capabilities and multiple marine transportation loading and unloading capabilities. Our largest crude oil terminals are located in key market hubs, including Cushing, Oklahoma; St. James, Louisiana; Midland, Texas; and Patoka, Illinois, and have connectivity to major inbound and outbound pipelines and other terminals at these hubs.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most significant assets are described further below by region.</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Permian Basin</w:t>
      </w:r>
    </w:p>
    <w:p>
      <w:pPr>
        <w:spacing w:after="0" w:line="25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operate over 5,600 miles of gathering pipelines in both the Midland Basin and the Delaware Basin that in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approximately 3.9 million barrels per day of pipeline capacity. This gathering capacity includes pipeline capacity that delivers volumes to regional market hubs. Approximately 75% of the capacity of our gathering systems is in the Delaware Basin. Our gathering pipelines are supported by long-term acreage dedications. All of our gathering pipelines in the Permian Basin are owned by the Permian JV, a consolidated entity in which we own a 65% interest. During the first quarter of 2025, the Permian JV acquired an additional Delaware Basin gathering system.</w:t>
      </w:r>
    </w:p>
    <w:p>
      <w:pPr>
        <w:spacing w:after="0" w:line="21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Our intra-basin pipeline system in the Permian Basin has a capacity of approximately 3.1 million barrels per day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connects gathering pipelines and truck injection volumes to our owned and operated as well as third-party mainline pipelines that transport crude oil to major market hubs. This interconnected pipeline system is designed to provide shippers with flow assurance, flexibility and access to multiple markets and support downstream movements on certain Permian Basin long-haul pipelines. A majority of the intra-basin pipeline system is owned by the Permian JV, a consolidated entity in which we own a 65% interest.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interests in multiple long-haul pipeline systems that, on a combined basis, represent over 2.8 million barrels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currently operational takeaway capacity out of the Permian Basin to major market hubs in Corpus Christi and Houston, Texas and Cushing, Oklahoma. Our long-haul pipelines provide an integrated wellhead to demand-center footprint and are supported by long-term commitments. Below is a description of some of our most significant long-haul pipeline systems originating from the Permian Basin region.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Cushing/Mid-Continent</w:t>
      </w:r>
    </w:p>
    <w:p>
      <w:pPr>
        <w:spacing w:after="0" w:line="254" w:lineRule="exact"/>
        <w:rPr>
          <w:sz w:val="20"/>
          <w:szCs w:val="20"/>
          <w:color w:val="auto"/>
        </w:rPr>
      </w:pPr>
    </w:p>
    <w:p>
      <w:pPr>
        <w:ind w:left="980" w:right="140" w:hanging="324"/>
        <w:spacing w:after="0" w:line="261"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Basin Pipeline (Permian to Cushing). </w:t>
      </w:r>
      <w:r>
        <w:rPr>
          <w:rFonts w:ascii="Times New Roman" w:cs="Times New Roman" w:eastAsia="Times New Roman" w:hAnsi="Times New Roman"/>
          <w:sz w:val="18"/>
          <w:szCs w:val="18"/>
          <w:color w:val="auto"/>
        </w:rPr>
        <w:t>We own an approximate 87% UJI in and are the operator of Basin Pipeline. Basin Pipeline has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primary 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left="980" w:right="540" w:hanging="324"/>
        <w:spacing w:after="0" w:line="267"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Sunrise II Pipeline. </w:t>
      </w:r>
      <w:r>
        <w:rPr>
          <w:rFonts w:ascii="Times New Roman" w:cs="Times New Roman" w:eastAsia="Times New Roman" w:hAnsi="Times New Roman"/>
          <w:sz w:val="18"/>
          <w:szCs w:val="18"/>
          <w:color w:val="auto"/>
        </w:rPr>
        <w:t>We operate the Sunrise II Pipeline and, through a UJI arrangement, own 80% of the capacity of the pipeline,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equates to approximately 400,000 barrels of capacity. Our Sunrise II Pipeline transports crude oil from Midland and Colorado City to connecting carriers at Wichita Falls.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Permian to Gulf Coast</w:t>
      </w:r>
    </w:p>
    <w:p>
      <w:pPr>
        <w:spacing w:after="0" w:line="254" w:lineRule="exact"/>
        <w:rPr>
          <w:sz w:val="20"/>
          <w:szCs w:val="20"/>
          <w:color w:val="auto"/>
        </w:rPr>
      </w:pPr>
    </w:p>
    <w:p>
      <w:pPr>
        <w:ind w:left="980" w:right="100" w:hanging="324"/>
        <w:spacing w:after="0" w:line="267"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BridgeTex Pipeline (Permian to Houston). </w:t>
      </w:r>
      <w:r>
        <w:rPr>
          <w:rFonts w:ascii="Times New Roman" w:cs="Times New Roman" w:eastAsia="Times New Roman" w:hAnsi="Times New Roman"/>
          <w:sz w:val="18"/>
          <w:szCs w:val="18"/>
          <w:color w:val="auto"/>
        </w:rPr>
        <w:t>We own a 40% interest in the entity that owns the BridgeTex Pipeline. The pipeline, operated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ONEOK, Inc. (“ONEOK”), originates at Colorado City, Texas and extends to Houston, Texas. The BridgeTex pipeline has a capacity of approximately 440,000 barrels per day and is capable of receiving supply from both our Basin and Midland South pipelines.</w:t>
      </w:r>
    </w:p>
    <w:p>
      <w:pPr>
        <w:spacing w:after="0" w:line="200" w:lineRule="exact"/>
        <w:rPr>
          <w:rFonts w:ascii="Times New Roman" w:cs="Times New Roman" w:eastAsia="Times New Roman" w:hAnsi="Times New Roman"/>
          <w:sz w:val="18"/>
          <w:szCs w:val="18"/>
          <w:i w:val="1"/>
          <w:iCs w:val="1"/>
          <w:color w:val="auto"/>
        </w:rPr>
      </w:pPr>
    </w:p>
    <w:p>
      <w:pPr>
        <w:ind w:left="980" w:right="22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Pipeline (Permian to Corpus Christi). </w:t>
      </w:r>
      <w:r>
        <w:rPr>
          <w:rFonts w:ascii="Times New Roman" w:cs="Times New Roman" w:eastAsia="Times New Roman" w:hAnsi="Times New Roman"/>
          <w:sz w:val="18"/>
          <w:szCs w:val="18"/>
          <w:color w:val="auto"/>
        </w:rPr>
        <w:t>We own and operate the Cactus Pipeline, which has a capacity of 390,000 barrels per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originates at McCamey, Texas and extends to Gardendale, Texas. The Cactus Pipeline connects to our Eagle Ford joint venture pipeline system at Gardendale for access to the Corpus Christi, Texas market. Movements to Corpus Christi are made on a joint tariff with the Eagle Ford joint venture pipeline.</w:t>
      </w:r>
    </w:p>
    <w:p>
      <w:pPr>
        <w:spacing w:after="0" w:line="206" w:lineRule="exact"/>
        <w:rPr>
          <w:rFonts w:ascii="Times New Roman" w:cs="Times New Roman" w:eastAsia="Times New Roman" w:hAnsi="Times New Roman"/>
          <w:sz w:val="18"/>
          <w:szCs w:val="18"/>
          <w:color w:val="auto"/>
        </w:rPr>
      </w:pPr>
    </w:p>
    <w:p>
      <w:pPr>
        <w:jc w:val="both"/>
        <w:ind w:left="980" w:right="440" w:hanging="324"/>
        <w:spacing w:after="0" w:line="267" w:lineRule="auto"/>
        <w:tabs>
          <w:tab w:leader="none" w:pos="97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Cactus II Pipeline (Permian to Corpus Christi). </w:t>
      </w:r>
      <w:r>
        <w:rPr>
          <w:rFonts w:ascii="Times New Roman" w:cs="Times New Roman" w:eastAsia="Times New Roman" w:hAnsi="Times New Roman"/>
          <w:sz w:val="18"/>
          <w:szCs w:val="18"/>
          <w:color w:val="auto"/>
        </w:rPr>
        <w:t>The Cactus II Pipeline is a Permian mainline system that extends directly to the Corpus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Christi market and has a capacity of approximately 670,000 barrels per day. We operate the Cactus II Pipeline and own a 70% interest in Cactus II, the entity that owns the Cactus II Pipeline, through a joint venture with Enbridge Inc.</w:t>
      </w:r>
    </w:p>
    <w:p>
      <w:pPr>
        <w:spacing w:after="0" w:line="200" w:lineRule="exact"/>
        <w:rPr>
          <w:rFonts w:ascii="Times New Roman" w:cs="Times New Roman" w:eastAsia="Times New Roman" w:hAnsi="Times New Roman"/>
          <w:sz w:val="18"/>
          <w:szCs w:val="18"/>
          <w:i w:val="1"/>
          <w:iCs w:val="1"/>
          <w:color w:val="auto"/>
        </w:rPr>
      </w:pPr>
    </w:p>
    <w:p>
      <w:pPr>
        <w:ind w:left="980" w:right="80" w:hanging="324"/>
        <w:spacing w:after="0" w:line="261"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Cactus III Pipeline (Permian to Corpus Christi). </w:t>
      </w:r>
      <w:r>
        <w:rPr>
          <w:rFonts w:ascii="Times New Roman" w:cs="Times New Roman" w:eastAsia="Times New Roman" w:hAnsi="Times New Roman"/>
          <w:sz w:val="18"/>
          <w:szCs w:val="18"/>
          <w:color w:val="auto"/>
        </w:rPr>
        <w:t>We own and operate the Cactus III Pipeline (formerly the EPIC Crude Oil Pipeline),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acquired from EPIC Crude Holdings, LP (“EPIC”) in the fourth quarter of 2025. The Cactus III Pipeline has a capacity of over 600,000 barrels per day and connects Permian Basin and Eagle Ford area production to Corpus Christi, enhancing our existing platform and providing upstream connectivity and downstream market optionality.</w:t>
      </w:r>
    </w:p>
    <w:p>
      <w:pPr>
        <w:spacing w:after="0" w:line="206"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Wink to Webster Pipeline (Permian to Houston). </w:t>
      </w:r>
      <w:r>
        <w:rPr>
          <w:rFonts w:ascii="Times New Roman" w:cs="Times New Roman" w:eastAsia="Times New Roman" w:hAnsi="Times New Roman"/>
          <w:sz w:val="18"/>
          <w:szCs w:val="18"/>
          <w:color w:val="auto"/>
        </w:rPr>
        <w:t>We own an approximate 17% interest in the entity that owns the Wink to Webster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(“W2W Pipeline”), which in turn owns 100% of certain segments of the W2W Pipeline and a 71% UJI in the segment from Midland, Texas to Webster, Texas. The W2W Pipeline originates in the Permian Basin in West Texas and transports crude oil to multiple destinations in the Houston and Galveston market areas. The pipeline system provides approximately 1.5 million barrels per day of crude oil capacity (approximately 1.1 million barrels per day, net to the UJI interest).</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Midland terminal has access to all of the Permian JV gathering pipelines, either through direct connections, or through the Permian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JV intra-basin pipelines. Likewise, the terminal is also either directly connected, or connected through the Permian JV intra-basin pipelines, to all of our Permian Basin long-haul pipelines. Our Midland terminal also has connectivity to third-party inbound and outbound pipelines and terminals at the Midland, Texas hub.</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South Texas/Eagle Ford</w:t>
      </w:r>
    </w:p>
    <w:p>
      <w:pPr>
        <w:spacing w:after="0" w:line="256"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Our South Texas/Eagle Ford assets provide customers with Western Eagle Ford and Permian supply access with connectivity to export and refining demand at Corpus Christi and Houston.</w:t>
      </w:r>
    </w:p>
    <w:p>
      <w:pPr>
        <w:spacing w:after="0" w:line="18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various gathering systems in the Eagle Ford producing region that connect into our Cactus III and Eagle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Ford joint venture pipeline system or to third-party pipelines. We acquired an additional Eagle Ford gathering system in the first quarter of 2025 from Ironwood Midstream Energy Partners II, LLC (“Ironwood Midstream”).</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 50% interest in the entity that owns the Eagle Ford Pipeline through a joint venture with a subsidiary of Enterprise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Partners, L.P. (“Enterprise Products”). We serve as the operator of the Eagle Ford Pipeline, which has a total capacity of approximately 660,000 barrels per day and connects Permian Basin, through a connection with our Cactus Pipeline, and Eagle Ford area production to Corpus Christi, Texas refiners and terminals. Additionally, the Eagle Ford Pipeline has connectivity to Houston, Texas via a connection with Enterprise Products’ pipeline at Lyssy, Texas. The Eagle Ford Pipeline is supported by long-term shipper commitments.</w:t>
      </w:r>
    </w:p>
    <w:p>
      <w:pPr>
        <w:spacing w:after="0" w:line="210"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Terminals. </w:t>
      </w:r>
      <w:r>
        <w:rPr>
          <w:rFonts w:ascii="Times New Roman" w:cs="Times New Roman" w:eastAsia="Times New Roman" w:hAnsi="Times New Roman"/>
          <w:sz w:val="18"/>
          <w:szCs w:val="18"/>
          <w:color w:val="auto"/>
        </w:rPr>
        <w:t>We own a 50% interest in the entity that owns the Eagle Ford Corpus Christi terminal through a joint venture with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Products. The Eagle Ford Corpus Christi terminal has a dock with the capacity to export crude oil and approximately one million barrels of commercial storage capacity. Additionally, our Cactus III terminal, which we acquired in the fourth quarter of 2025, provides over 3 million barrels of commercial storage capacity, along with dock capacity at Corpus Christi.</w:t>
      </w:r>
    </w:p>
    <w:p>
      <w:pPr>
        <w:spacing w:after="0" w:line="20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Condensate Processing. </w:t>
      </w:r>
      <w:r>
        <w:rPr>
          <w:rFonts w:ascii="Times New Roman" w:cs="Times New Roman" w:eastAsia="Times New Roman" w:hAnsi="Times New Roman"/>
          <w:sz w:val="18"/>
          <w:szCs w:val="18"/>
          <w:color w:val="auto"/>
        </w:rPr>
        <w:t>We own a 120,000 barrels per day condensate processing facility located in La Salle County, Texas that stabilizes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condensate that is primarily sourced from our Eagle Ford area gathering systems. The processed NGL is delivered to a third-party pipeline that delivers into Mont Belvieu, Texas.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Mid-Continent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Mid-Continent assets connect refining customers with supply optionality through our Cushing terminal storage and connectivity.</w:t>
      </w:r>
    </w:p>
    <w:p>
      <w:pPr>
        <w:spacing w:after="0" w:line="25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gathering pipelines that source crude oil from Western and Central Oklahoma and Southwest Kansas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and delivery into our terminal facilities at Cushing, Oklahoma.</w:t>
      </w:r>
    </w:p>
    <w:p>
      <w:pPr>
        <w:spacing w:after="0" w:line="185"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and operate various pipeline systems that extend from our Cushing terminal in Oklahoma to various refineries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crude oil hubs. Below is a description of some of our most significant pipeline systems in the Mid-Continent region.</w:t>
      </w:r>
    </w:p>
    <w:p>
      <w:pPr>
        <w:spacing w:after="0" w:line="185" w:lineRule="exact"/>
        <w:rPr>
          <w:sz w:val="20"/>
          <w:szCs w:val="20"/>
          <w:color w:val="auto"/>
        </w:rPr>
      </w:pPr>
    </w:p>
    <w:p>
      <w:pPr>
        <w:jc w:val="both"/>
        <w:ind w:left="980" w:right="220" w:hanging="324"/>
        <w:spacing w:after="0" w:line="267" w:lineRule="auto"/>
        <w:tabs>
          <w:tab w:leader="none" w:pos="97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Diamond Pipeline (Cushing to Memphis). </w:t>
      </w:r>
      <w:r>
        <w:rPr>
          <w:rFonts w:ascii="Times New Roman" w:cs="Times New Roman" w:eastAsia="Times New Roman" w:hAnsi="Times New Roman"/>
          <w:sz w:val="18"/>
          <w:szCs w:val="18"/>
          <w:color w:val="auto"/>
        </w:rPr>
        <w:t>We own a 50% interest in the entity that owns the Diamond Pipeline through a joint venture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Valero Energy Corporation (“Valero”). We operate the Diamond Pipeline, which extends from our Cushing Terminal to Valero’s refinery in Memphis, Tennessee. The Diamond Pipeline has a total capacity of approximately 200,000 barrels per day.</w:t>
      </w:r>
    </w:p>
    <w:p>
      <w:pPr>
        <w:spacing w:after="0" w:line="200" w:lineRule="exact"/>
        <w:rPr>
          <w:rFonts w:ascii="Times New Roman" w:cs="Times New Roman" w:eastAsia="Times New Roman" w:hAnsi="Times New Roman"/>
          <w:sz w:val="18"/>
          <w:szCs w:val="18"/>
          <w:i w:val="1"/>
          <w:iCs w:val="1"/>
          <w:color w:val="auto"/>
        </w:rPr>
      </w:pPr>
    </w:p>
    <w:p>
      <w:pPr>
        <w:ind w:left="980" w:right="20" w:hanging="324"/>
        <w:spacing w:after="0" w:line="258" w:lineRule="auto"/>
        <w:tabs>
          <w:tab w:leader="none" w:pos="97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 River Pipeline (Cushing to Longview)</w:t>
      </w:r>
      <w:r>
        <w:rPr>
          <w:rFonts w:ascii="Times New Roman" w:cs="Times New Roman" w:eastAsia="Times New Roman" w:hAnsi="Times New Roman"/>
          <w:sz w:val="18"/>
          <w:szCs w:val="18"/>
          <w:color w:val="auto"/>
        </w:rPr>
        <w:t>. We own 67% of the entity that owns the Red River Pipeline through a joint venture with Delek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Partners, LP. The Red River Pipeline is an approximately 235,000 barrel per day capacity pipeline that extends from our Cushing Terminal in Oklahoma to Longview, Texas, where it connects with various pipelines. We serve as operator of the Red River Pipeline. The Red River joint venture owns an approximate 69% UJI in the pipeline segment from Cushing to Hewitt, Oklahoma and owns 100% of the segment of the pipeline extending from Hewitt to Longview, Texas.</w:t>
      </w:r>
    </w:p>
    <w:p>
      <w:pPr>
        <w:spacing w:after="0" w:line="210" w:lineRule="exact"/>
        <w:rPr>
          <w:rFonts w:ascii="Times New Roman" w:cs="Times New Roman" w:eastAsia="Times New Roman" w:hAnsi="Times New Roman"/>
          <w:sz w:val="18"/>
          <w:szCs w:val="18"/>
          <w:i w:val="1"/>
          <w:iCs w:val="1"/>
          <w:color w:val="auto"/>
        </w:rPr>
      </w:pPr>
    </w:p>
    <w:p>
      <w:pPr>
        <w:ind w:left="980" w:right="220" w:hanging="324"/>
        <w:spacing w:after="0" w:line="267" w:lineRule="auto"/>
        <w:tabs>
          <w:tab w:leader="none" w:pos="97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Midway Pipeline and Cushing Connect Pipeline</w:t>
      </w:r>
      <w:r>
        <w:rPr>
          <w:rFonts w:ascii="Times New Roman" w:cs="Times New Roman" w:eastAsia="Times New Roman" w:hAnsi="Times New Roman"/>
          <w:sz w:val="18"/>
          <w:szCs w:val="18"/>
          <w:color w:val="auto"/>
        </w:rPr>
        <w:t>. We own and operate the Midway pipeline and own a 50% interest in the Cushing 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both of which originate at our Cushing terminal and terminate at refineries in Coffeyville, Kansas and Tulsa, Oklahoma, respectively. Our partner in the Cushing Connect pipeline is the refiner customer at the terminus of the pipeline.</w:t>
      </w:r>
    </w:p>
    <w:p>
      <w:pPr>
        <w:spacing w:after="0" w:line="20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We are a large provider of crude oil terminalling services in Cushing, Oklahoma, which is one of the largest physical trading hubs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is the delivery point for the NYMEX light sweet crude oil futures contracts (the benchmark for United States (“U.S.”) crude oil). Our Cushing terminal has been designated by the NYMEX as an approved delivery location.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Cushing terminal, which had 27 million barrels of commercial storage capacity at December 31, 2025, is connected to our long-haul pipelines from the Permian Basin and Rocky Mountain regions, as well as to our Mid-Continent region gathering pipelines. Additionally, the terminal supplies crude oil to all of our joint venture, Mid-Continent region long-haul pipelines. Our Cushing terminal is also connected to a rail unloading facility. In January 2026, we acquired the Wildhorse crude terminal, which complements our existing Cushing terminal footprint and adds approximately 4 million barrels of storage capacity adjacent to our existing assets.</w:t>
      </w:r>
    </w:p>
    <w:p>
      <w:pPr>
        <w:spacing w:after="0" w:line="21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Our crude oil terminal in Patoka, Illinois, which has 7 million barrels of commercial storage capacity, has connectivity to major inbound and outbound pipelines at this hub, including the Capline Pipeline (discussed further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Gulf Coast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Gulf Cost assets provide refining customers with access to local and foreign supply via terminal storage and connectivity.</w:t>
      </w:r>
    </w:p>
    <w:p>
      <w:pPr>
        <w:spacing w:after="0" w:line="25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We own an approximate 54% interest in the entity that owns the Capline Pipeline, which extends from Patoka, Illinois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terminals in St. James, Louisiana. The Capline Pipeline is supported by long-term shipper commitments, and a subsidiary of Marathon Petroleum Corporation serves as the operator.</w:t>
      </w:r>
    </w:p>
    <w:p>
      <w:pPr>
        <w:spacing w:after="0" w:line="20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Terminals</w:t>
      </w:r>
      <w:r>
        <w:rPr>
          <w:rFonts w:ascii="Times New Roman" w:cs="Times New Roman" w:eastAsia="Times New Roman" w:hAnsi="Times New Roman"/>
          <w:sz w:val="18"/>
          <w:szCs w:val="18"/>
          <w:color w:val="auto"/>
        </w:rPr>
        <w:t>. Our terminal at St. James, Louisiana, which has 15 million barrels of commercial storage capacity, is a destination facility connected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Capline Pipeline and other third-party pipelines, and also has a rail unload facility that can move crude oil from rail cars to pipelines that service local refiners, or to our docks which can receive or export crude oil. Our terminals in and near Mobile, Alabama have 4 million barrels of commercial storage capacity, along with dock capacity to receive or export crude oil.</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Rocky Mountain</w:t>
      </w:r>
    </w:p>
    <w:p>
      <w:pPr>
        <w:spacing w:after="0" w:line="25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Our Rocky Mountain assets, along with our Canadian crude assets, provide upstream supply access and cross-border connectivity, which drive pull-through benefits to downstream systems.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pipelines that provide gathering services in the Bakken and the Powder River Basin.</w:t>
      </w:r>
    </w:p>
    <w:p>
      <w:pPr>
        <w:spacing w:after="0" w:line="25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Long-haul Pipelines. </w:t>
      </w:r>
      <w:r>
        <w:rPr>
          <w:rFonts w:ascii="Times New Roman" w:cs="Times New Roman" w:eastAsia="Times New Roman" w:hAnsi="Times New Roman"/>
          <w:sz w:val="18"/>
          <w:szCs w:val="18"/>
          <w:color w:val="auto"/>
        </w:rPr>
        <w:t>Our pipeline systems in the Rocky Mountain region provide access to our terminal in Cushing, Oklahoma as well as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market hubs. We have two cross-border pipelines, each of which has the flexibility to move up to 30,000 barrels per day of crude oil, depending on the quality. We own and operate the Bakken North cross-border pipeline system that accommodates bidirectional flow and can move crude oil between the Bakken at Trenton, North Dakota and the Enbridge Mainline system at Regina, Saskatchewan. We own a UJI in the Western Corridor pipeline system that extends from the Canadian border to our terminal in Guernsey, Wyoming and receives crude oil from our cross-border Rangeland South pipeline. In addition to these assets, our largest Rocky Mountain region systems include the following joint venture pipelines, both of which connect to our terminal in Cushing, Oklahoma.</w:t>
      </w:r>
    </w:p>
    <w:p>
      <w:pPr>
        <w:spacing w:after="0" w:line="210" w:lineRule="exact"/>
        <w:rPr>
          <w:sz w:val="20"/>
          <w:szCs w:val="20"/>
          <w:color w:val="auto"/>
        </w:rPr>
      </w:pPr>
    </w:p>
    <w:p>
      <w:pPr>
        <w:ind w:left="980" w:right="100" w:hanging="324"/>
        <w:spacing w:after="0" w:line="267" w:lineRule="auto"/>
        <w:tabs>
          <w:tab w:leader="none" w:pos="97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Saddlehorn Pipeline</w:t>
      </w:r>
      <w:r>
        <w:rPr>
          <w:rFonts w:ascii="Times New Roman" w:cs="Times New Roman" w:eastAsia="Times New Roman" w:hAnsi="Times New Roman"/>
          <w:sz w:val="18"/>
          <w:szCs w:val="18"/>
          <w:color w:val="auto"/>
        </w:rPr>
        <w:t>. We own a 40% interest in the entity that owns the Saddlehorn Pipeline which, through a UJI arrangement,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290,000 barrels per day of capacity in the Saddlehorn Pipeline. The pipeline extends from the Niobrara and Denver-Julesburg (“DJ”) Basin to Cushing and is operated by ONEOK. The Saddlehorn Pipeline is supported by minimum volume commitments.</w:t>
      </w:r>
    </w:p>
    <w:p>
      <w:pPr>
        <w:spacing w:after="0" w:line="200" w:lineRule="exact"/>
        <w:rPr>
          <w:rFonts w:ascii="Times New Roman" w:cs="Times New Roman" w:eastAsia="Times New Roman" w:hAnsi="Times New Roman"/>
          <w:sz w:val="18"/>
          <w:szCs w:val="18"/>
          <w:i w:val="1"/>
          <w:iCs w:val="1"/>
          <w:color w:val="auto"/>
        </w:rPr>
      </w:pPr>
    </w:p>
    <w:p>
      <w:pPr>
        <w:ind w:left="980" w:right="100" w:hanging="324"/>
        <w:spacing w:after="0" w:line="258" w:lineRule="auto"/>
        <w:tabs>
          <w:tab w:leader="none" w:pos="97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White Cliffs Pipeline. </w:t>
      </w:r>
      <w:r>
        <w:rPr>
          <w:rFonts w:ascii="Times New Roman" w:cs="Times New Roman" w:eastAsia="Times New Roman" w:hAnsi="Times New Roman"/>
          <w:sz w:val="18"/>
          <w:szCs w:val="18"/>
          <w:color w:val="auto"/>
        </w:rPr>
        <w:t>We own an approximate 36% interest in the entity that owns the White Cliffs Pipeline system through a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three other partners. The White Cliffs Pipeline system consists of one crude 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The NGL pipeline is supported by a long-term capacity lease and long-term throughput agreements. A subsidiary of Energy Transfer LP serves as the operator of the pipelines.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4"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Gathering Pipelines</w:t>
      </w:r>
      <w:r>
        <w:rPr>
          <w:rFonts w:ascii="Times New Roman" w:cs="Times New Roman" w:eastAsia="Times New Roman" w:hAnsi="Times New Roman"/>
          <w:sz w:val="18"/>
          <w:szCs w:val="18"/>
          <w:color w:val="auto"/>
        </w:rPr>
        <w:t>. We own and operate gathering systems that source crude oil from truck terminals and pipeline-connected facilities to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Enbridge Mainline system at our Kerrobert and Regina terminals in Saskatchewan, Canada.</w:t>
      </w:r>
    </w:p>
    <w:p>
      <w:pPr>
        <w:spacing w:after="0" w:line="18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Intra-basin Pipelines. </w:t>
      </w:r>
      <w:r>
        <w:rPr>
          <w:rFonts w:ascii="Times New Roman" w:cs="Times New Roman" w:eastAsia="Times New Roman" w:hAnsi="Times New Roman"/>
          <w:sz w:val="18"/>
          <w:szCs w:val="18"/>
          <w:color w:val="auto"/>
        </w:rPr>
        <w:t>We own and operate intra-basin pipelines with a capacity of approximately 300,000 barrels per day that deliver crude oil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northern and southern Alberta to the Edmonton, Alberta market hub. These pipelines provide shippers with flexibility to access the Enbridge and TransMountain long-haul pipelines along with the Imperial Oil Refinery.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Western</w:t>
      </w:r>
    </w:p>
    <w:p>
      <w:pPr>
        <w:spacing w:after="0" w:line="254"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Gathering Pipelines. </w:t>
      </w:r>
      <w:r>
        <w:rPr>
          <w:rFonts w:ascii="Times New Roman" w:cs="Times New Roman" w:eastAsia="Times New Roman" w:hAnsi="Times New Roman"/>
          <w:sz w:val="18"/>
          <w:szCs w:val="18"/>
          <w:color w:val="auto"/>
        </w:rPr>
        <w:t>We own and operate a pipeline in the San Joaquin Valley in California that gathers locally produced crude oil, which is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via our Line 63 pipeline system and/or Line 2000 pipeline for transportation to Los Angeles area refiners.</w:t>
      </w:r>
    </w:p>
    <w:p>
      <w:pPr>
        <w:spacing w:after="0" w:line="18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Long-haul Pipelines</w:t>
      </w:r>
      <w:r>
        <w:rPr>
          <w:rFonts w:ascii="Times New Roman" w:cs="Times New Roman" w:eastAsia="Times New Roman" w:hAnsi="Times New Roman"/>
          <w:sz w:val="18"/>
          <w:szCs w:val="18"/>
          <w:color w:val="auto"/>
        </w:rPr>
        <w:t>. We own and operate Line 63 and Line 2000 pipelines in California. Line 2000 is a mainline system that has the capacity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 approximately 110,000 barrels per day from the San Joaquin Valley to refineries and terminal facilities in the Los Angeles area. Line 63 is used as a gathering and distribution system. The pipeline gathers crude oil in the San Joaquin Valley for delivery to Line 2000 and local refiners. In the Los Angeles area, the Line 63 distribution lines are used to move crude oil from Line 2000 to local refiners.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Segment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Market and Business Overview</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NGL primarily includes ethane, propane, normal butane, iso-butane and natural gasoline, and is derived from natural gas production and processing activities, as well as crude oil refining processes. The individual NGL components are used for various purposes including heating, engine and industrial fuels, a component of motor gasoline and as the primary feedstock for petrochemical facilities that produce many everyday consumer products, including a wide range of plastics and synthetic rubber.</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NGL assets located primarily in the Southwestern United States. Our NGL segment revenues are primarily derived from (i) providing storage and/or terminalling services at these facilities to third-party customers for a fee and (ii) the transport, storage and sale of specification NGL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NGL Business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June 2025, we entered into a definitive SPA with Keyera, pursuant to which Keyera agreed to acquire all of the issued and outstanding shares of PMC ULC, our wholly-owned subsidiary that owns substantially all of our Canadian NGL Business. This transaction is expected to close around the end of the first quarter of 2026, subject to the satisfaction or waiver of customary closing conditions, including receipt of regulatory approvals. Prior to its classification as held for sale and presentation as discontinued operations, the Canadian NGL Business was part of our NGL reportable segment.</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Canadian NGL Business operations involve natural gas processing and NGL fractionation, storage, transportation and terminalling. Our Canadian NGL Business revenues are primarily derived from a combination of (i) providing gathering, fractionation, storage, and/or terminalling services to third-party customers for a fee, and (ii) our merchant activities that support the assets. Our Canadian NGL Business merchant activities include the acquisition of extraction rights from producers and/or shippers of the gas streams that pass through our Empress facility. The extraction rights allow us to process that gas at our Empress facility and extract the higher valued NGL from the gas stream. We then purchase natural gas to replace the thermal content attributable to the NGL that was extracted. We use our assets to transport, store and fractionate NGL mix extracted from our Empress straddle plants, or NGL mix acquired from third parties, into finished products to sell to customers. We may also acquire finished NGL products to be seasonally stored in our storage caverns, which is then resold to third-party customers. Often times we will use derivative instruments to hedge the margins related to these merchant activities.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figure below provides an illustrative and simplified overview of the assets and activities associated with our Canadian NGL Business (within the shaded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-22225</wp:posOffset>
            </wp:positionV>
            <wp:extent cx="5863590" cy="170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3590" cy="170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operate a highly integrated network of assets, strategically positioned across Canada and the United States, with a particular focus on serving production from the liquids-rich Western Canadian Sedimentary Basin. As of December 31, 2025, the assets associated with our Canadian NGL Business included the following:</w:t>
      </w:r>
    </w:p>
    <w:p>
      <w:pPr>
        <w:spacing w:after="0" w:line="68"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natural gas processing plants;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fractionation plants located throughout Canada with an aggregate usable capacity of approximately 180,000 barrels per day;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storage facilities with approximately 24 million barrels of capacity;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1,785 miles of active NGL transportation pipelines;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NGL rail terminals and approximately 4,100 NGL rail cars;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220 trailers.</w:t>
      </w:r>
    </w:p>
    <w:p>
      <w:pPr>
        <w:spacing w:after="0" w:line="11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Additionally, the Canadian NGL Business assets include the linefill associated with our commercial activities, including as of December 31, 2025, approximately:</w:t>
      </w:r>
    </w:p>
    <w:p>
      <w:pPr>
        <w:spacing w:after="0" w:line="54"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barrels of NGL linefill in pipelines and storage owned by us;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barrels of NGL utilized as linefill in pipelines owned by third parties or otherwise required as long-term inventory.</w:t>
      </w:r>
    </w:p>
    <w:p>
      <w:pPr>
        <w:spacing w:after="0" w:line="25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approximate volumes and capacities for our Canadian NGL Business assets and activities as of December 31, 2025 and our natural gas processing and NGL infrastructure and activities are described further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5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Inlet</w:t>
            </w:r>
          </w:p>
        </w:tc>
        <w:tc>
          <w:tcPr>
            <w:tcW w:w="0" w:type="dxa"/>
            <w:vAlign w:val="bottom"/>
          </w:tcPr>
          <w:p>
            <w:pPr>
              <w:spacing w:after="0"/>
              <w:rPr>
                <w:sz w:val="1"/>
                <w:szCs w:val="1"/>
                <w:color w:val="auto"/>
              </w:rPr>
            </w:pPr>
          </w:p>
        </w:tc>
      </w:tr>
      <w:tr>
        <w:trPr>
          <w:trHeight w:val="148"/>
        </w:trPr>
        <w:tc>
          <w:tcPr>
            <w:tcW w:w="6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Processing Facilities</w:t>
            </w:r>
          </w:p>
        </w:tc>
        <w:tc>
          <w:tcPr>
            <w:tcW w:w="20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 xml:space="preserve">Volume </w:t>
            </w:r>
            <w:r>
              <w:rPr>
                <w:rFonts w:ascii="Times New Roman" w:cs="Times New Roman" w:eastAsia="Times New Roman" w:hAnsi="Times New Roman"/>
                <w:sz w:val="17"/>
                <w:szCs w:val="17"/>
                <w:b w:val="1"/>
                <w:bCs w:val="1"/>
                <w:color w:val="auto"/>
                <w:w w:val="94"/>
                <w:vertAlign w:val="superscript"/>
              </w:rPr>
              <w:t>(2)</w:t>
            </w:r>
          </w:p>
        </w:tc>
        <w:tc>
          <w:tcPr>
            <w:tcW w:w="0" w:type="dxa"/>
            <w:vAlign w:val="bottom"/>
          </w:tcPr>
          <w:p>
            <w:pPr>
              <w:spacing w:after="0"/>
              <w:rPr>
                <w:sz w:val="1"/>
                <w:szCs w:val="1"/>
                <w:color w:val="auto"/>
              </w:rPr>
            </w:pPr>
          </w:p>
        </w:tc>
      </w:tr>
      <w:tr>
        <w:trPr>
          <w:trHeight w:val="216"/>
        </w:trPr>
        <w:tc>
          <w:tcPr>
            <w:tcW w:w="6140" w:type="dxa"/>
            <w:vAlign w:val="bottom"/>
            <w:gridSpan w:val="4"/>
            <w:vMerge w:val="continue"/>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(Bcf/d) </w:t>
            </w:r>
            <w:r>
              <w:rPr>
                <w:rFonts w:ascii="Times New Roman" w:cs="Times New Roman" w:eastAsia="Times New Roman" w:hAnsi="Times New Roman"/>
                <w:sz w:val="18"/>
                <w:szCs w:val="18"/>
                <w:b w:val="1"/>
                <w:bCs w:val="1"/>
                <w:color w:val="auto"/>
                <w:w w:val="95"/>
                <w:vertAlign w:val="superscript"/>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(Bcf/d)</w:t>
            </w:r>
          </w:p>
        </w:tc>
        <w:tc>
          <w:tcPr>
            <w:tcW w:w="0" w:type="dxa"/>
            <w:vAlign w:val="bottom"/>
          </w:tcPr>
          <w:p>
            <w:pPr>
              <w:spacing w:after="0"/>
              <w:rPr>
                <w:sz w:val="1"/>
                <w:szCs w:val="1"/>
                <w:color w:val="auto"/>
              </w:rPr>
            </w:pPr>
          </w:p>
        </w:tc>
      </w:tr>
      <w:tr>
        <w:trPr>
          <w:trHeight w:val="223"/>
        </w:trPr>
        <w:tc>
          <w:tcPr>
            <w:tcW w:w="60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88"/>
        </w:trPr>
        <w:tc>
          <w:tcPr>
            <w:tcW w:w="6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Fractionation</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Average Volume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146"/>
        </w:trPr>
        <w:tc>
          <w:tcPr>
            <w:tcW w:w="6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Fractionation Facilities</w:t>
            </w:r>
          </w:p>
        </w:tc>
        <w:tc>
          <w:tcPr>
            <w:tcW w:w="20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58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140" w:type="dxa"/>
            <w:vAlign w:val="bottom"/>
            <w:gridSpan w:val="4"/>
            <w:vMerge w:val="continue"/>
          </w:tcPr>
          <w:p>
            <w:pPr>
              <w:spacing w:after="0"/>
              <w:rPr>
                <w:sz w:val="17"/>
                <w:szCs w:val="17"/>
                <w:color w:val="auto"/>
              </w:rPr>
            </w:pPr>
          </w:p>
        </w:tc>
        <w:tc>
          <w:tcPr>
            <w:tcW w:w="2000" w:type="dxa"/>
            <w:vAlign w:val="bottom"/>
            <w:gridSpan w:val="4"/>
            <w:vMerge w:val="continue"/>
          </w:tcPr>
          <w:p>
            <w:pPr>
              <w:spacing w:after="0"/>
              <w:rPr>
                <w:sz w:val="17"/>
                <w:szCs w:val="17"/>
                <w:color w:val="auto"/>
              </w:rPr>
            </w:pPr>
          </w:p>
        </w:tc>
        <w:tc>
          <w:tcPr>
            <w:tcW w:w="158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(Bbls/d) </w:t>
            </w:r>
            <w:r>
              <w:rPr>
                <w:rFonts w:ascii="Times New Roman" w:cs="Times New Roman" w:eastAsia="Times New Roman" w:hAnsi="Times New Roman"/>
                <w:sz w:val="18"/>
                <w:szCs w:val="18"/>
                <w:b w:val="1"/>
                <w:bCs w:val="1"/>
                <w:color w:val="auto"/>
                <w:w w:val="95"/>
                <w:vertAlign w:val="superscript"/>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(Bbls/d)</w:t>
            </w:r>
          </w:p>
        </w:tc>
        <w:tc>
          <w:tcPr>
            <w:tcW w:w="0" w:type="dxa"/>
            <w:vAlign w:val="bottom"/>
          </w:tcPr>
          <w:p>
            <w:pPr>
              <w:spacing w:after="0"/>
              <w:rPr>
                <w:sz w:val="1"/>
                <w:szCs w:val="1"/>
                <w:color w:val="auto"/>
              </w:rPr>
            </w:pPr>
          </w:p>
        </w:tc>
      </w:tr>
      <w:tr>
        <w:trPr>
          <w:trHeight w:val="223"/>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24,800</w:t>
            </w:r>
          </w:p>
        </w:tc>
        <w:tc>
          <w:tcPr>
            <w:tcW w:w="0" w:type="dxa"/>
            <w:vAlign w:val="bottom"/>
          </w:tcPr>
          <w:p>
            <w:pPr>
              <w:spacing w:after="0"/>
              <w:rPr>
                <w:sz w:val="1"/>
                <w:szCs w:val="1"/>
                <w:color w:val="auto"/>
              </w:rPr>
            </w:pPr>
          </w:p>
        </w:tc>
      </w:tr>
      <w:tr>
        <w:trPr>
          <w:trHeight w:val="230"/>
        </w:trPr>
        <w:tc>
          <w:tcPr>
            <w:tcW w:w="6140" w:type="dxa"/>
            <w:vAlign w:val="bottom"/>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Fort Saskatchewan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0" w:type="dxa"/>
            <w:vAlign w:val="bottom"/>
          </w:tcPr>
          <w:p>
            <w:pPr>
              <w:spacing w:after="0"/>
              <w:rPr>
                <w:sz w:val="1"/>
                <w:szCs w:val="1"/>
                <w:color w:val="auto"/>
              </w:rPr>
            </w:pPr>
          </w:p>
        </w:tc>
      </w:tr>
      <w:tr>
        <w:trPr>
          <w:trHeight w:val="230"/>
        </w:trPr>
        <w:tc>
          <w:tcPr>
            <w:tcW w:w="6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29"/>
        </w:trPr>
        <w:tc>
          <w:tcPr>
            <w:tcW w:w="6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82-100%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0" w:type="dxa"/>
            <w:vAlign w:val="bottom"/>
          </w:tcPr>
          <w:p>
            <w:pPr>
              <w:spacing w:after="0"/>
              <w:rPr>
                <w:sz w:val="1"/>
                <w:szCs w:val="1"/>
                <w:color w:val="auto"/>
              </w:rPr>
            </w:pPr>
          </w:p>
        </w:tc>
      </w:tr>
      <w:tr>
        <w:trPr>
          <w:trHeight w:val="149"/>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Storage Facilities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1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 xml:space="preserve">Capacity </w:t>
            </w:r>
            <w:r>
              <w:rPr>
                <w:rFonts w:ascii="Times New Roman" w:cs="Times New Roman" w:eastAsia="Times New Roman" w:hAnsi="Times New Roman"/>
                <w:sz w:val="17"/>
                <w:szCs w:val="17"/>
                <w:b w:val="1"/>
                <w:bCs w:val="1"/>
                <w:color w:val="auto"/>
                <w:w w:val="96"/>
                <w:vertAlign w:val="superscript"/>
              </w:rPr>
              <w:t>(1)</w:t>
            </w:r>
          </w:p>
        </w:tc>
        <w:tc>
          <w:tcPr>
            <w:tcW w:w="0" w:type="dxa"/>
            <w:vAlign w:val="bottom"/>
          </w:tcPr>
          <w:p>
            <w:pPr>
              <w:spacing w:after="0"/>
              <w:rPr>
                <w:sz w:val="1"/>
                <w:szCs w:val="1"/>
                <w:color w:val="auto"/>
              </w:rPr>
            </w:pPr>
          </w:p>
        </w:tc>
      </w:tr>
      <w:tr>
        <w:trPr>
          <w:trHeight w:val="196"/>
        </w:trPr>
        <w:tc>
          <w:tcPr>
            <w:tcW w:w="61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(MMBbls)</w:t>
            </w: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Fort Saskatchewan</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Sarnia</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150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Empress</w:t>
            </w: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50-100%</w:t>
            </w:r>
          </w:p>
        </w:tc>
        <w:tc>
          <w:tcPr>
            <w:tcW w:w="1500" w:type="dxa"/>
            <w:vAlign w:val="bottom"/>
            <w:gridSpan w:val="2"/>
          </w:tcPr>
          <w:p>
            <w:pPr>
              <w:jc w:val="right"/>
              <w:ind w:right="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1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6180" w:type="dxa"/>
            <w:vAlign w:val="bottom"/>
          </w:tcPr>
          <w:p>
            <w:pPr>
              <w:spacing w:after="0"/>
              <w:rPr>
                <w:sz w:val="24"/>
                <w:szCs w:val="2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80" w:type="dxa"/>
            <w:vAlign w:val="bottom"/>
          </w:tcPr>
          <w:p>
            <w:pPr>
              <w:spacing w:after="0"/>
              <w:rPr>
                <w:sz w:val="24"/>
                <w:szCs w:val="24"/>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Approximate System</w:t>
            </w: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 xml:space="preserve">Average Volumes </w:t>
            </w:r>
            <w:r>
              <w:rPr>
                <w:rFonts w:ascii="Times New Roman" w:cs="Times New Roman" w:eastAsia="Times New Roman" w:hAnsi="Times New Roman"/>
                <w:sz w:val="19"/>
                <w:szCs w:val="19"/>
                <w:b w:val="1"/>
                <w:bCs w:val="1"/>
                <w:color w:val="auto"/>
                <w:w w:val="97"/>
                <w:vertAlign w:val="superscript"/>
              </w:rPr>
              <w:t>(2)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18"/>
                <w:szCs w:val="18"/>
                <w:color w:val="auto"/>
              </w:rPr>
            </w:pPr>
          </w:p>
        </w:tc>
        <w:tc>
          <w:tcPr>
            <w:tcW w:w="17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center"/>
              <w:ind w:right="180"/>
              <w:spacing w:after="0" w:line="216" w:lineRule="exact"/>
              <w:rPr>
                <w:sz w:val="20"/>
                <w:szCs w:val="20"/>
                <w:color w:val="auto"/>
              </w:rPr>
            </w:pPr>
            <w:r>
              <w:rPr>
                <w:rFonts w:ascii="Times New Roman" w:cs="Times New Roman" w:eastAsia="Times New Roman" w:hAnsi="Times New Roman"/>
                <w:sz w:val="15"/>
                <w:szCs w:val="15"/>
                <w:b w:val="1"/>
                <w:bCs w:val="1"/>
                <w:color w:val="auto"/>
                <w:w w:val="97"/>
              </w:rPr>
              <w:t xml:space="preserve">Miles </w:t>
            </w:r>
            <w:r>
              <w:rPr>
                <w:rFonts w:ascii="Times New Roman" w:cs="Times New Roman" w:eastAsia="Times New Roman" w:hAnsi="Times New Roman"/>
                <w:sz w:val="19"/>
                <w:szCs w:val="19"/>
                <w:b w:val="1"/>
                <w:bCs w:val="1"/>
                <w:color w:val="auto"/>
                <w:w w:val="97"/>
                <w:vertAlign w:val="superscript"/>
              </w:rPr>
              <w:t>(3)</w:t>
            </w:r>
          </w:p>
        </w:tc>
        <w:tc>
          <w:tcPr>
            <w:tcW w:w="100" w:type="dxa"/>
            <w:vAlign w:val="bottom"/>
          </w:tcPr>
          <w:p>
            <w:pPr>
              <w:spacing w:after="0"/>
              <w:rPr>
                <w:sz w:val="18"/>
                <w:szCs w:val="18"/>
                <w:color w:val="auto"/>
              </w:rPr>
            </w:pPr>
          </w:p>
        </w:tc>
        <w:tc>
          <w:tcPr>
            <w:tcW w:w="140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(MBbls/d)</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NGL Pipelines</w:t>
            </w:r>
          </w:p>
        </w:tc>
        <w:tc>
          <w:tcPr>
            <w:tcW w:w="1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488"/>
        </w:trPr>
        <w:tc>
          <w:tcPr>
            <w:tcW w:w="6180" w:type="dxa"/>
            <w:vAlign w:val="bottom"/>
          </w:tcPr>
          <w:p>
            <w:pPr>
              <w:spacing w:after="0"/>
              <w:rPr>
                <w:sz w:val="24"/>
                <w:szCs w:val="24"/>
                <w:color w:val="auto"/>
              </w:rPr>
            </w:pPr>
          </w:p>
        </w:tc>
        <w:tc>
          <w:tcPr>
            <w:tcW w:w="17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80" w:type="dxa"/>
            <w:vAlign w:val="bottom"/>
          </w:tcPr>
          <w:p>
            <w:pPr>
              <w:spacing w:after="0"/>
              <w:rPr>
                <w:sz w:val="24"/>
                <w:szCs w:val="24"/>
                <w:color w:val="auto"/>
              </w:rPr>
            </w:pPr>
          </w:p>
        </w:tc>
        <w:tc>
          <w:tcPr>
            <w:tcW w:w="1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24"/>
                <w:szCs w:val="24"/>
                <w:color w:val="auto"/>
              </w:rPr>
            </w:pPr>
          </w:p>
        </w:tc>
        <w:tc>
          <w:tcPr>
            <w:tcW w:w="14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5"/>
        </w:trPr>
        <w:tc>
          <w:tcPr>
            <w:tcW w:w="6180" w:type="dxa"/>
            <w:vAlign w:val="bottom"/>
          </w:tcPr>
          <w:p>
            <w:pPr>
              <w:spacing w:after="0"/>
              <w:rPr>
                <w:sz w:val="16"/>
                <w:szCs w:val="16"/>
                <w:color w:val="auto"/>
              </w:rPr>
            </w:pPr>
          </w:p>
        </w:tc>
        <w:tc>
          <w:tcPr>
            <w:tcW w:w="1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Rack Spots</w:t>
            </w:r>
          </w:p>
        </w:tc>
        <w:tc>
          <w:tcPr>
            <w:tcW w:w="100" w:type="dxa"/>
            <w:vAlign w:val="bottom"/>
          </w:tcPr>
          <w:p>
            <w:pPr>
              <w:spacing w:after="0"/>
              <w:rPr>
                <w:sz w:val="16"/>
                <w:szCs w:val="16"/>
                <w:color w:val="auto"/>
              </w:rPr>
            </w:pPr>
          </w:p>
        </w:tc>
        <w:tc>
          <w:tcPr>
            <w:tcW w:w="140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Storage Spots</w:t>
            </w:r>
          </w:p>
        </w:tc>
        <w:tc>
          <w:tcPr>
            <w:tcW w:w="0" w:type="dxa"/>
            <w:vAlign w:val="bottom"/>
          </w:tcPr>
          <w:p>
            <w:pPr>
              <w:spacing w:after="0"/>
              <w:rPr>
                <w:sz w:val="1"/>
                <w:szCs w:val="1"/>
                <w:color w:val="auto"/>
              </w:rPr>
            </w:pPr>
          </w:p>
        </w:tc>
      </w:tr>
      <w:tr>
        <w:trPr>
          <w:trHeight w:val="228"/>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NGL Rail Facilities</w:t>
            </w:r>
          </w:p>
        </w:tc>
        <w:tc>
          <w:tcPr>
            <w:tcW w:w="1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2885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total capacity of the facilities, net to our ownership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Average daily volumes are calculated as the total volumes for the year, net to our interest, divided by the number of days in the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total mileage of pipelines in which we own a less than 100% interest.</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Natural Gas Processing and NGL Infrastructure</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6"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The network of liquids infrastructure related to our Canadian NGL Business includes NGL fractionation facilities, underground NGL storage caverns, above ground storage tanks, NGL pipelines, and rail and truck terminals. With these assets, we process, fractionate, store and transport NGL such as ethane, propane, butane and condensate. The unique integrated and geographically diverse nature of our Canadian NGL Business infrastructure provides the opportunity to maximize margins across the NGL value chain for both us and our customers. The most significant of these assets include the following: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Empress Facility</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own and operate four gas processing facilities near Empress, Alberta. These facilities, referred to as straddle plants because they “straddle” gas transportation pipelines, process natural gas to extract ethane and NGL mix entrained in the gas stream before returning the gas to the transportation pipelines. We acquire the rights to extract the NGL from producers and/or shippers of the gas streams that pass through our Empress facility and then purchase natural gas to replace the thermal content attributable to the NGL that was extracted. The NGL mix can be fractionated at our Empress facility or transported along the Enbridge pipeline system for fractionation at our Sarnia facility.</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Empress plants are capable of processing up to 5.7 Bcf of natural gas per day; however, supply available to these plants is typically in the 3.5 to 4.5 Bcf per day range. These plants produce approximately 65,000 to 100,000 barrels per day of ethane, and 40,000 to 60,000 barrels per day of NGL mix. Our Empress fractionation facility is capable of processing and producing up to 26,000 barrels per day of NGL products and is connected to rail loading infrastructure at Empress and our PPTC pipeline system, which enables NGL to be transported to storage and loading terminals in Saskatchewan and Manitoba.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Co-Ed Pipeline</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Our primary NGL transportation supply system, the Co-Ed NGL pipeline system, has transportation capacity of approximately 70,000 barrels per day and gathers NGL from Southwest and Central Alberta (Cardium, Deep Basin, and Alberta Montney) for delivery to our Fort Saskatchewan, Alberta NGL fractionation facilities.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Fort Saskatchewan Complex</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Fort Saskatchewan facility is located near Edmonton, Alberta in one of the key North American NGL hubs. The facility is a receipt, storage, fractionation and delivery facility for NGL and is connected to other major NGL plants and pipeline systems in the area. The facility’s primary assets include a fractionation plant, 12 storage caverns, and truck and rail loading capability. Our multi-year fractionation debottleneck project at our Fort Saskatchewan facility was placed into service during the second quarter of 2025, which further enhances our integrated NGL value chain. Our Fort Saskatchewan fractionation facility now has an inlet design capacity of 112,000 barrels per day of which there is 57,000 barrels per day of full C3+ fractionation capability. The remaining throughput capacity can produce additional spec products (propane and condensate) or a propane and butane mix, which is transported via the Enbridge pipeline system to our Sarnia facility for further fractionation.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Sarnia Area</w:t>
      </w:r>
    </w:p>
    <w:p>
      <w:pPr>
        <w:spacing w:after="0" w:line="25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Sarnia Area assets in Southwestern Ontario consist of (i) our Sarnia facility, (ii) our Windsor storage terminal and (iii) our St. Clair, Michigan terminal. The Sarnia facility is a large NGL fractionation and storage facility with rail and truck loading capabilities. The Sarnia Area facilities are served by a network of multiple pipelines connected to various refineries, chemical plants, and other pipeline and railroad systems in the area. This pipeline network also delivers product between our Sarnia facility and our Windsor and St. Clair storage facilities. The Sarnia fractionator, which we operate and have a partial ownership interest in, receives NGL feedstock primarily from the Enbridge pipeline system and, to a lesser extent, from our rail unloading facility. The fractionation unit is able to process an average of approximately 100,000 barrels per day of NGL products. Our ownership in the various processing units at the Sarnia fractionator ranges from 61% to 85%.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Crude oil, NGL and natural gas commodity prices have historically been very volatile. For example, in 2025, the prompt month NYMEX light, sweet futures contract (commonly referred to as “WTI”) price ranged from a low of approximately $55 per barrel to a high of approximately $80 per barrel. Similarly, there has also been volatility within the propane and butane markets as seen through the North American benchmark price located at Mont Belvieu, Texas, as well as with the basis differentials between Mont Belvieu prices and prices realized at various market hubs in North America.</w:t>
      </w:r>
    </w:p>
    <w:p>
      <w:pPr>
        <w:spacing w:after="0" w:line="20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may create market conditions that are more challenging to our business model. In extended periods of lower crude oil and/or NGL prices, or periods where the supply and demand fundamentals compress regional location differentials, our financial results may be adversely impacted. Under such market conditions, product flows on our pipelines or through our facilities may be adversely impacted. Alternatively, in periods where supply exceeds regional demand and/or pipeline egress, product flows on our pipelines or through our facilities may be favorably impacted. In executing our business model, we employ a variety of financial risk management tools and techniques to manage our financial risk, predominantly related to our merchant activities. These are discussed in greater detail in the “—Risk Management” section below.</w:t>
      </w:r>
    </w:p>
    <w:p>
      <w:pPr>
        <w:spacing w:after="0" w:line="21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addition, relative contribution levels will vary from quarter-to-quarter due to seasonality, particularly with respect to our NGL merchant activities.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activities.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2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merchant activities, we purchase crude oil, NGL and natural gas from thousands of locations and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and managed to a balanced position over a reasonable period of time. This activity is monitored independently by our risk management function and must take place within predefined limits and authorizations.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merchant activities in our Crude Oil and NGL segments require significant extensions of credit by our suppliers. To assure our ability to perform our obligations under purchase agreements, various credit arrangements are negotiated with our suppliers. These arrangements include open lines of credit and, to a lesser extent, standby letters of credit issued under our hedged inventory facility or our senior unsecured revolving credit facility. In addition, storing crude oil, NGL or spec products in a contango market, or otherwise, requires us to have credit facilities to finance both the purchase of these products in the prompt month as well as margin requirements that may be required for the derivative instruments used to hedge our price exposure.</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When we sell crude oil and NGL, we must determine the amount, if any, of credit to be extended to any given customer. Because our typical sales transactions can involve large volumes of crude oil or NGL, the risk of nonpayment and nonperformance by customers is a major consideration in our business. We believe our sales are made to creditworthy entities or entities with adequate credit support. See Note 4 to our Consolidated Financial Statements for further discussion of our credit review process and risk management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 For a discussion of credit and industry concentration risk, see Note 16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Competition among pipelines is based primarily on transportation charges, access to producing areas and supply regions and demand for crude oil and NGL by end users. Although new pipeline projects represent a source of competition for our business, existing third-party owned pipelines with excess capacity in the vicinity of our operations also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until production grows sufficiently or pipelines are retired or converted to alternate service. As a result of multiple pipeline expansions in the Permian Basin and other areas, together with meaningful changes and delays in expected production growth due to a variety of factors, we continue to experience heightened competition for uncommitted barrels and contract renewals, which puts downward pressure on tariffs and margins. Further slowing of production growth or production declines could exacerbate these risks, but we believe that the current duration of our contracts and structure of our integrated business model, combined with expected crude oil production growth in the Permian Basin and other areas, should partially mitigate these risks.</w:t>
      </w: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pipelines may also face competition from other forms of transportation, such as truck, rail and barge. Although these alternative forms of transportation typically cost more, they can provide access to alternative markets at which a higher price may be realized for the commodity being transported, thereby overcoming the increased transportation cost.</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also face competition with respect to our merchant activities and facilities services. Our competitors include other crude oil and NGL pipeline and terminalling companies, other NGL processing and fractionation companies, major integrated oil companies and their marketing affiliates, independent gatherers, private equity backed entities, banks that have established a trading platform, and brokers and marketers of widely varying sizes, financial resources and experience. Some of these competitors have capital resources greater than ours. In addition, relatively new pipelines supported by minimum volume commitments and/or acreage dedications could also amplify the level of competition for purchasing wellhead barrels, especially in the Permian Basin, and thus impact our margins.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 and Joint Ownership Arrangements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party to more than 25 joint venture and UJI arrangements with long-term partners throughout the industry value chain spanning across multiple North American basins. We believe that these capital-efficient arrangements provide strategic alignment with long-term industry partners while adding volume commitments to our systems and improving returns.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significant joint ventures as of December 31,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0" w:type="dxa"/>
            <w:vAlign w:val="bottom"/>
          </w:tcPr>
          <w:p>
            <w:pPr>
              <w:spacing w:after="0"/>
              <w:rPr>
                <w:sz w:val="1"/>
                <w:szCs w:val="1"/>
                <w:color w:val="auto"/>
              </w:rPr>
            </w:pPr>
          </w:p>
        </w:tc>
      </w:tr>
      <w:tr>
        <w:trPr>
          <w:trHeight w:val="146"/>
        </w:trPr>
        <w:tc>
          <w:tcPr>
            <w:tcW w:w="5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5740" w:type="dxa"/>
            <w:vAlign w:val="bottom"/>
            <w:gridSpan w:val="3"/>
            <w:vMerge w:val="continue"/>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5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Cactus II Pipeline LLC </w:t>
            </w:r>
            <w:r>
              <w:rPr>
                <w:rFonts w:ascii="Times New Roman" w:cs="Times New Roman" w:eastAsia="Times New Roman" w:hAnsi="Times New Roman"/>
                <w:sz w:val="23"/>
                <w:szCs w:val="23"/>
                <w:color w:val="auto"/>
                <w:vertAlign w:val="superscript"/>
              </w:rPr>
              <w:t>(2)</w:t>
            </w:r>
          </w:p>
        </w:tc>
        <w:tc>
          <w:tcPr>
            <w:tcW w:w="3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3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386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Terminal and Dock </w:t>
            </w:r>
            <w:r>
              <w:rPr>
                <w:rFonts w:ascii="Times New Roman" w:cs="Times New Roman" w:eastAsia="Times New Roman" w:hAnsi="Times New Roman"/>
                <w:sz w:val="23"/>
                <w:szCs w:val="23"/>
                <w:color w:val="auto"/>
                <w:w w:val="97"/>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Plains Oryx Permian Basin LLC </w:t>
            </w:r>
            <w:r>
              <w:rPr>
                <w:rFonts w:ascii="Times New Roman" w:cs="Times New Roman" w:eastAsia="Times New Roman" w:hAnsi="Times New Roman"/>
                <w:sz w:val="23"/>
                <w:szCs w:val="23"/>
                <w:color w:val="auto"/>
                <w:vertAlign w:val="superscript"/>
              </w:rPr>
              <w:t>(2)</w:t>
            </w:r>
          </w:p>
        </w:tc>
        <w:tc>
          <w:tcPr>
            <w:tcW w:w="386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8"/>
              </w:rPr>
              <w:t xml:space="preserve">Crude Oil Pipelines and Related Assets </w:t>
            </w:r>
            <w:r>
              <w:rPr>
                <w:rFonts w:ascii="Times New Roman" w:cs="Times New Roman" w:eastAsia="Times New Roman" w:hAnsi="Times New Roman"/>
                <w:sz w:val="23"/>
                <w:szCs w:val="23"/>
                <w:color w:val="auto"/>
                <w:w w:val="98"/>
                <w:vertAlign w:val="superscript"/>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65%</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Red River Pipeline Company LLC </w:t>
            </w:r>
            <w:r>
              <w:rPr>
                <w:rFonts w:ascii="Times New Roman" w:cs="Times New Roman" w:eastAsia="Times New Roman" w:hAnsi="Times New Roman"/>
                <w:sz w:val="23"/>
                <w:szCs w:val="23"/>
                <w:color w:val="auto"/>
                <w:vertAlign w:val="superscript"/>
              </w:rPr>
              <w:t>(2) (3)</w:t>
            </w:r>
          </w:p>
        </w:tc>
        <w:tc>
          <w:tcPr>
            <w:tcW w:w="386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6"/>
              </w:rPr>
              <w:t xml:space="preserve">Crude Oil Pipeline </w:t>
            </w:r>
            <w:r>
              <w:rPr>
                <w:rFonts w:ascii="Times New Roman" w:cs="Times New Roman" w:eastAsia="Times New Roman" w:hAnsi="Times New Roman"/>
                <w:sz w:val="23"/>
                <w:szCs w:val="23"/>
                <w:color w:val="auto"/>
                <w:w w:val="96"/>
                <w:vertAlign w:val="superscript"/>
              </w:rPr>
              <w:t>(1)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67%</w:t>
            </w: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Saddlehorn Pipeline Company, LLC </w:t>
            </w:r>
            <w:r>
              <w:rPr>
                <w:rFonts w:ascii="Times New Roman" w:cs="Times New Roman" w:eastAsia="Times New Roman" w:hAnsi="Times New Roman"/>
                <w:sz w:val="23"/>
                <w:szCs w:val="23"/>
                <w:color w:val="auto"/>
                <w:vertAlign w:val="superscript"/>
              </w:rPr>
              <w:t>(3)</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t>
            </w:r>
            <w:r>
              <w:rPr>
                <w:rFonts w:ascii="Times New Roman" w:cs="Times New Roman" w:eastAsia="Times New Roman" w:hAnsi="Times New Roman"/>
                <w:sz w:val="23"/>
                <w:szCs w:val="23"/>
                <w:color w:val="auto"/>
                <w:vertAlign w:val="superscript"/>
              </w:rPr>
              <w:t>(3)</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Assets are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consolidate the entity based on control, with our partner’s interest accounted for as a noncontrolling interest.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owns a UJI in the crude oil pipeline.</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2" w:lineRule="exact"/>
        <w:rPr>
          <w:sz w:val="20"/>
          <w:szCs w:val="20"/>
          <w:color w:val="auto"/>
        </w:rPr>
      </w:pPr>
    </w:p>
    <w:p>
      <w:pPr>
        <w:ind w:right="520"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significant UJIs as of December 31, 2025, excluding UJIs that are indirectly owned by us through joint ventures (e.g., Wink to Webster, Saddlehorn and Red River joint ventures):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UJI</w:t>
            </w:r>
          </w:p>
        </w:tc>
        <w:tc>
          <w:tcPr>
            <w:tcW w:w="0" w:type="dxa"/>
            <w:vAlign w:val="bottom"/>
          </w:tcPr>
          <w:p>
            <w:pPr>
              <w:spacing w:after="0"/>
              <w:rPr>
                <w:sz w:val="1"/>
                <w:szCs w:val="1"/>
                <w:color w:val="auto"/>
              </w:rPr>
            </w:pPr>
          </w:p>
        </w:tc>
      </w:tr>
      <w:tr>
        <w:trPr>
          <w:trHeight w:val="148"/>
        </w:trPr>
        <w:tc>
          <w:tcPr>
            <w:tcW w:w="5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86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95"/>
        </w:trPr>
        <w:tc>
          <w:tcPr>
            <w:tcW w:w="5740" w:type="dxa"/>
            <w:vAlign w:val="bottom"/>
            <w:gridSpan w:val="3"/>
            <w:vMerge w:val="continue"/>
          </w:tcPr>
          <w:p>
            <w:pPr>
              <w:spacing w:after="0"/>
              <w:rPr>
                <w:sz w:val="16"/>
                <w:szCs w:val="16"/>
                <w:color w:val="auto"/>
              </w:rPr>
            </w:pPr>
          </w:p>
        </w:tc>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28"/>
        </w:trPr>
        <w:tc>
          <w:tcPr>
            <w:tcW w:w="5620" w:type="dxa"/>
            <w:vAlign w:val="bottom"/>
            <w:tcBorders>
              <w:top w:val="single" w:sz="8" w:color="auto"/>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Basin Pipeline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3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87%</w:t>
            </w:r>
          </w:p>
        </w:tc>
        <w:tc>
          <w:tcPr>
            <w:tcW w:w="0" w:type="dxa"/>
            <w:vAlign w:val="bottom"/>
          </w:tcPr>
          <w:p>
            <w:pPr>
              <w:spacing w:after="0"/>
              <w:rPr>
                <w:sz w:val="1"/>
                <w:szCs w:val="1"/>
                <w:color w:val="auto"/>
              </w:rPr>
            </w:pPr>
          </w:p>
        </w:tc>
      </w:tr>
      <w:tr>
        <w:trPr>
          <w:trHeight w:val="230"/>
        </w:trPr>
        <w:tc>
          <w:tcPr>
            <w:tcW w:w="57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Fort Saskatchewan NGL Storage </w:t>
            </w:r>
            <w:r>
              <w:rPr>
                <w:rFonts w:ascii="Times New Roman" w:cs="Times New Roman" w:eastAsia="Times New Roman" w:hAnsi="Times New Roman"/>
                <w:sz w:val="23"/>
                <w:szCs w:val="23"/>
                <w:color w:val="auto"/>
                <w:vertAlign w:val="superscript"/>
              </w:rPr>
              <w:t>(2) (3)</w:t>
            </w:r>
          </w:p>
        </w:tc>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NGL Facility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Kerrobert Storage and Pipeline Assets </w:t>
            </w:r>
            <w:r>
              <w:rPr>
                <w:rFonts w:ascii="Times New Roman" w:cs="Times New Roman" w:eastAsia="Times New Roman" w:hAnsi="Times New Roman"/>
                <w:sz w:val="23"/>
                <w:szCs w:val="23"/>
                <w:color w:val="auto"/>
                <w:vertAlign w:val="superscript"/>
              </w:rPr>
              <w:t>(1) (3)</w:t>
            </w:r>
          </w:p>
        </w:tc>
        <w:tc>
          <w:tcPr>
            <w:tcW w:w="3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NGL Pipeline and Facility</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7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Sarnia NGL Storage and Fractionation </w:t>
            </w:r>
            <w:r>
              <w:rPr>
                <w:rFonts w:ascii="Times New Roman" w:cs="Times New Roman" w:eastAsia="Times New Roman" w:hAnsi="Times New Roman"/>
                <w:sz w:val="23"/>
                <w:szCs w:val="23"/>
                <w:color w:val="auto"/>
                <w:vertAlign w:val="superscript"/>
              </w:rPr>
              <w:t>(2) (3)</w:t>
            </w:r>
          </w:p>
        </w:tc>
        <w:tc>
          <w:tcPr>
            <w:tcW w:w="3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NGL Facility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 to 85%</w:t>
            </w:r>
          </w:p>
        </w:tc>
        <w:tc>
          <w:tcPr>
            <w:tcW w:w="0" w:type="dxa"/>
            <w:vAlign w:val="bottom"/>
          </w:tcPr>
          <w:p>
            <w:pPr>
              <w:spacing w:after="0"/>
              <w:rPr>
                <w:sz w:val="1"/>
                <w:szCs w:val="1"/>
                <w:color w:val="auto"/>
              </w:rPr>
            </w:pPr>
          </w:p>
        </w:tc>
      </w:tr>
      <w:tr>
        <w:trPr>
          <w:trHeight w:val="230"/>
        </w:trPr>
        <w:tc>
          <w:tcPr>
            <w:tcW w:w="57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Sunrise II Pipeline </w:t>
            </w:r>
            <w:r>
              <w:rPr>
                <w:rFonts w:ascii="Times New Roman" w:cs="Times New Roman" w:eastAsia="Times New Roman" w:hAnsi="Times New Roman"/>
                <w:sz w:val="23"/>
                <w:szCs w:val="23"/>
                <w:color w:val="auto"/>
                <w:vertAlign w:val="superscript"/>
              </w:rPr>
              <w:t>(1)</w:t>
            </w:r>
          </w:p>
        </w:tc>
        <w:tc>
          <w:tcPr>
            <w:tcW w:w="3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Crude Oil Pipeline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these assets are operated by Plains.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is part of the pending Canadian NGL Business divestiture.</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Since our initial public offering in 1998, the acquisition of midstream assets and businesses has been an important component of our business strategy. On a regular basis, we selectively analyze and pursue the acquisition of assets and businesses that are strategic and complementary to our existing operations. We also routinely review our asset portfolio to evaluate potential sales of non-core assets and/or sales of partial interests in assets to strategic joint venture partners to optimize our asset portfolio and strengthen our balance sheet and leverage metrics. For example, from 2016 through December 31, 2025, we have completed several acquisitions for an aggregate of over $5.7 billion, which included approximately $2.8 billion completed during 2025. In addition, we have completed asset sales and sales of partial interests in assets to strategic joint venture partners totaling more than $5.0 billion, and we anticipate the pending Canadian NGL Business divestiture to close around the end of the first quarter of 2026. See Note 8 to our Consolidated Financial Statements for additional information regarding our recent acquisition and divestiture activity. See Note 1 to our Consolidated Financial Statements for additional information regarding the pending Canadian NGL Business divestiture.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Projects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extensive asset base and our relationships with long-term industry partners across the value chain provide us with opportunities for organic growth through the construction of additional assets that are complementary to, and expand or extend, our existing asset base. Our 2026 capital plan consists of capital-efficient, highly contracted projects that help address industry needs.</w:t>
      </w:r>
    </w:p>
    <w:p>
      <w:pPr>
        <w:spacing w:after="0" w:line="20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Total investment capital for the year ending December 31, 2026 is currently projected to be approximately $440 million ($350 million net to our interest), which includes approximately $15 million related to the Canadian NGL Business. Approximately half of our projected investment capital expenditures are expected to be invested in the Permian JV assets. Additionally, maintenance capital for 2026 is currently projected to be approximately $185 million ($165 million net to our interest). Note that potential variation to current capital cost estimates may result from (i) changes to project design,</w:t>
      </w:r>
    </w:p>
    <w:p>
      <w:pPr>
        <w:spacing w:after="0" w:line="3" w:lineRule="exact"/>
        <w:rPr>
          <w:sz w:val="20"/>
          <w:szCs w:val="20"/>
          <w:color w:val="auto"/>
        </w:rPr>
      </w:pPr>
    </w:p>
    <w:p>
      <w:pPr>
        <w:ind w:right="160" w:firstLine="8"/>
        <w:spacing w:after="0" w:line="260"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cost of materials and labor, (iii) timing of incurrence of costs due to uncontrollable factors such as receipt of permits or regulatory approvals and weather and (iv) timely closing of the Canadian NGL Business divestiture.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energy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Laws and Regulations—Our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1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certain, but not all, of the laws and regulations affecting our operations. Unless the context requires otherwise, references herein to our “facilities” includes all of the pipelines, terminals, storage and other assets owned by us.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Environmental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and gaseous hydrocarbons, including crude oil and NGL, are subject to stringent federal, state, provincial and local laws and regulations governing the discharge of materials into the environment or otherwise relating to protection of the environment and natural resources, operational safety and related matters.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or remedial obligations or the incurrence of capital expenditures, imposition of restrictions, delays or cancellations in the permitting or performance of projects, and the issuance of injunctions or other orders that may subject us to additional operational constraints or costs.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or other materials into the environment could, to the extent such event is not insured, subject us to substantial expense, including the cost to respond, repair and remediate any impact from releases, the cost to comply with applicable laws and regulations and liabilities or costs arising out of any claims made by third parties. The following is a summary of some of the environmental, health and safety laws and regulations to which our operations are subject.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Pipeline Safety/Integrity Management</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with respect to crude oil and NGL.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Our operations in Canada are also subject to comparable regulations promulgated by the Canada Energy Regulator (“CER”) and provincial regulators and agencies.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authority under the HLPSA, as amended from time to time, PHMSA has promulgated regulations that require transportation pipeline operators to implement integrity management programs, including frequent inspections, correction of certain identified anomalies and other measures, to ensure pipeline safety in locations where a pipeline leak or rupture could affect high risk areas known as high consequence areas (“HCAs”). The HCAs for crude oil and NGL pipelines are based on high population areas, areas unusually sensitive to environmental damage, and commercially navigable waterways. In the United States, our costs associated with the inspection, testing and correction of identified anomalies were approximately $40 million in 2025. Based on currently available information, our preliminary estimate for 2026 is that we will incur approximately $55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$10 million in 2025, and our preliminary estimate for 2026 is that we will incur approximately $15 million of such costs.</w:t>
      </w:r>
    </w:p>
    <w:p>
      <w:pPr>
        <w:spacing w:after="0" w:line="22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U.S. federal legislation has resulted in more stringent mandates for pipeline safety and PHMSA has been charged with developing and adopting regulations that impose increased pipeline safety requirements on pipeline operators. In particular, Congress has amended the HLPSA several times over the past decade and to the extent those regulations impose practices that exceed our operating standards, they increase our cost to operate.</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DOT has also generally adopted American Petroleum Institute Standard 653 (“API 653”) as the standard for the inspection, repair, alteration and reconstruction of above ground petroleum storage tanks subject to DOT jurisdiction. API 653 requires regularly scheduled inspection and repair of tanks remaining in service. In the United States, our costs associated with this program were approximately $30 million in 2025. For 2026, we have budgeted approximately $45 million in connection with continued compliance activities with respect to API 653 and similar Environmental Protection Agency (“EPA”) regulations for tanks not regulated by the DOT. Certain storage tanks may be taken out of service if we believe the cost of compliance will exceed the value of the storage tanks and replacement tankage may be constructed.</w:t>
      </w:r>
    </w:p>
    <w:p>
      <w:pPr>
        <w:spacing w:after="0" w:line="21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operations are also subject to state pipeline safety and integrity regulations. For example, to protect state waters and wildlife, California has adopted legislation that requires operators of hazardous liquid pipelines located near environmentally and ecologically sensitive areas to use best available technologies to minimize the amount of oil released in an oil spill. These technologies include, but are not limited to, installation of leak detection technologies, automatic shutoff systems, or remote controlled sectionalized block valves.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In Canada, the CER and provincial regulators regulate the safety and integrity management of pipelines and facilities used for hydrocarbon transmission and storage. We have incurred and will continue to incur costs related to compliance with such regulatory requirements. For example, we continue to implement Pipeline, Facility and Cavern Integrity Management Programs in Canada to comply with applicable regulatory requirements and assist in our efforts to mitigate risk. Costs incurred for such integrity management activities were approximately $90 million in 2025, including amounts related to the Canadian NGL Business. Our preliminary estimate for the full year of 2026 is approximately $85 million of costs on such projects, which includes approximately $40 million associated with the Canadian NGL Business.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cannot predict the potential costs associated with additional, future regulations in Canada or the United States. Significant additional expenses could be incurred, and additional operational requirements and constraints could be imposed, if new or more stringently interpreted pipeline safety and integrity management requirements are implemented.</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Occupational Safety and Health</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we are subject to the requirements of the Occupational Safety and Health Act, as amended, and comparable state statutes that regulate the protection of the health and safety of workers. In addition, the U.S. Occupational Safety and Health Administration (“OSHA”) hazard communication standard and the Emergency Planning and Community Right-to-Know Act require that certain information be maintained about hazardous materials used or produced in operations and that this information be provided to employees, state and local government authorities and citizens. Certain of our facilities are also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violations without the company first being prosecuted. Additionally, under the Criminal Code of Canada, organizations, corporations and individuals may be prosecuted criminally for violating the duty to protect employees and the public.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Solid Waste</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generate wastes, including hazardous wastes, that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may become subject to more rigorous and costly disposal requirements, resulting in additional capital expenditures or operating expenses.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Hazardous Substances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w:t>
      </w:r>
    </w:p>
    <w:p>
      <w:pPr>
        <w:spacing w:after="0" w:line="21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EPA’s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Environmental Remediation</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Air Emissions</w:t>
      </w:r>
    </w:p>
    <w:p>
      <w:pPr>
        <w:spacing w:after="0" w:line="25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United States operations are subject to the United States Clean Air Act, comparable state laws and associated federal, state and local regulations. Our Canadian operations are also subject to federal and provincial air emission regulations, which are discussed in subsequent sections.</w:t>
      </w:r>
    </w:p>
    <w:p>
      <w:pPr>
        <w:spacing w:after="0" w:line="189"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Climate Change Initiatives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around the world. Numerous proposals have been made and could continue to be made at the international, national, regional and state levels of government to monitor and limit emissions of carbon dioxide, methane and other greenhouse gases (“GHG”). These efforts have included consideration of cap-and-trade programs, carbon taxes, climate-related disclosure obligations, climate-related mitigation funds, and regulations that directly limit GHG emissions from certain sources. Additionally, certain laws, like the Inflation Reduction Act of 2022 (“IRA”), were enacted to advance climate-related objectives and provide substantial financial support for alternative or lower GHG-emitting energy production. Although many of these provisions in the IRA were weakened, delayed or rescinded in the 2025 One Big Beautiful Bill Act, these proposals and related federal, state and provincial legislation and policy initiatives could increase operating costs within the oil and gas industry and accelerate the transition away from fossil fuels, which could in turn reduce demand for our products and services and adversely affect our business and results of operations.</w:t>
      </w:r>
    </w:p>
    <w:p>
      <w:pPr>
        <w:spacing w:after="0" w:line="21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Federal policy towards GHG emissions, and regulation thereunder, has varied significantly between the past several U.S. presidential administrations. The current U.S. presidential administration recently eliminated the GHG “Endangerment Finding” and rescinded federal regulations associated with GHG emissions. It remains unclear whether these actions will survive any potential legal challenges, or whether future administrations or Congress may pursue new regulations relating to GHG emissions, which could adversely impact Plains.</w:t>
      </w:r>
    </w:p>
    <w:p>
      <w:pPr>
        <w:spacing w:after="0" w:line="20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Certain other states where we operate, such as California and Colorado, have also adopted, or are considering adopting, regulations related to GHG emissions. While it is not possible at this time to predict how federal or state governments may choose to regulate GHG emissions, any new regulatory restrictions on GHG emissions could result in material increased compliance costs, additional operating restrictions, an increase in the cost of feedstock and products produced by our refinery customers, and a reduced demand for petroleum-based fuels.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Large emitters of GHG have been required to report their emissions under the Canadian Greenhouse Gas Emissions Reporting Program since 2004. Effective January 1, 2018, the Federal Department of Environment and Climate Change lowered the reporting threshold for all facilities from 50 thousand tonnes per year (“kt/y”) to 10 kt/y GHG emissions. Four of our facilities are currently required to prepare annual emissions reports. The associated cost of complying with this reporting requirement is not considered to be material. Several Canadian Provinces, including some in which we operate, have implemented additional climate-related initiatives and regulations.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Water</w:t>
      </w:r>
    </w:p>
    <w:p>
      <w:pPr>
        <w:spacing w:after="0" w:line="2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U.S. Oil Pollution Act of 1990 (“OPA”) amended certain provisions of the CWA as they relate to the release of petroleum products into navigable waters. OPA subjects owners of facilities to strict, joint and potentially significant liability for containment and removal costs, natural resource damages and certain other consequences of an oil spill. State and Canadian federal and provincial laws also impose requirements relating to the prevention of oil releases and the remediation of impacted areas.</w:t>
      </w:r>
    </w:p>
    <w:p>
      <w:pPr>
        <w:spacing w:after="0" w:line="20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construction or expansion of pipelines often requires authorizations under the CWA, which authorizations may be subject to challenge. For over 35 years, the U.S. Army Corps of Engineers (the “Corps”) has authorized construction, maintenance and repair of pipelines under a streamlined nationwide permit program known as Nationwide Permit 12 (“NWP 12”). From time to time, environmental groups have challenged the use of NWP 12 for oil and gas pipeline projects. Due to these types of challenges along with new directives that come along with administrative changes, the Corps will review and make updates to their programs as well.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June 2025, the Corps proposed to renew and revise its nationwide permits program, and in January 2026, the Corps finalized the reissuance of the nationwide permits, including NWP 12, with only limited clarifying changes made. The current proposal could be subject to future legal challenges and any future suspension, narrowing, or disruption in our ability to obtain coverage under NWP 12 or other general permits could result in increased costs and project delays.</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Also, there continues to be uncertainty on the federal government’s applicable jurisdictional reach under the CWA over waters of the United States, including wetlands and groundwater. To the extent any new rule or judicial decision expands the scope of the CWA’s jurisdiction in areas where we or our customers conduct operations, such developments could delay, restrict or halt permitting or development of projects, result in longer permitting timelines, or increased compliance expenditures or mitigation costs for our and our customers’ operations, which may reduce the rate of production from operators.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Endangered Species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federal Endangered Species Act (the “ESA”) and comparable state laws may restrict exploration, development and production activities that may affect endangered and threatened species or their habitats. The ESA provides broad protection for species of fish, wildlife and plants that are listed as threatened or endangered in the United States and prohibits the taking of protected species. Similar protections are offered to migratory birds under the Migratory Bird Treaty Act, Canada’s Species at Risk Act, and other analogous state and provincial laws and regulations. Under the ESA, federal agencies are required to ensure that any action authorized, funded or carried out by them is not likely to jeopardize the continued existence of listed or endangered species or modify their critical habitats. New projects may require approvals and environmental analysis under these and other laws, including the National Environmental Policy Act. The resulting costs and liabilities associated with lengthy regulatory review and approval requirements could materially and negatively affect the viability of such projects.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Regulation</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Interstate Liquids Regulation in the United States. </w:t>
      </w:r>
      <w:r>
        <w:rPr>
          <w:rFonts w:ascii="Times New Roman" w:cs="Times New Roman" w:eastAsia="Times New Roman" w:hAnsi="Times New Roman"/>
          <w:sz w:val="18"/>
          <w:szCs w:val="18"/>
          <w:color w:val="auto"/>
        </w:rPr>
        <w:t>Our common carrier pipeline operations with interstate movements of liquids are subject to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by the U.S. Federal Energy Regulatory Commission (“FERC”) under the Interstate Commerce Act (“ICA”). Unless covered by a waiver, the ICA requires that we maintain tariffs on file with FERC for interstate movements of liquids on our pipelines. Those tariffs set forth the rates we charge for providing transportation services as well as the rules and regulations governing these services. The ICA requires that tariff rates for liquids pipelines, which include both crude oil pipelines and petroleum products pipelines, be just and reasonable and not unduly discriminatory. Failure to comply with the requirements of the ICA could result in the imposition of civil or criminal penalties, as described below.</w:t>
      </w:r>
    </w:p>
    <w:p>
      <w:pPr>
        <w:spacing w:after="0" w:line="21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Under the Energy Policy Act of 1992 (“EPAct”), liquids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liquids pipeline or in the nature of the services provided that were a basis for the rate. EPAct places no such limit on challenges to a provision of a liquids pipeline tariff rate or rules that are unduly discriminatory or preferential. In certain specified circumstances, FERC allows regulated liquids pipelines to utilize cost-of-service ratemaking, market-based rates and settlement rates as alternatives to the FERC indexing methodology utilized by many regulated liquid pipeline to change their rates. For those pipelines that use the FERC indexing methodology, every five years FERC reviews and determines the appropriate index formula to be utilized for the subsequent five-year period. For the five-year period July 1, 2021 through June 30, 2026, FERC initially issued one index rate (the “Initial Index Rate”) and subsequently revised the Initial Index Rate down by approximately 1%, effective March 1, 2022 (the “Revised Index Rate”). Both the Initial Index Rate and the Revised Index Rate were the subject of legal challenges filed with the U.S. Court of Appeals for the District of Columbia (“D.C. Circuit”) in </w:t>
      </w:r>
      <w:r>
        <w:rPr>
          <w:rFonts w:ascii="Times New Roman" w:cs="Times New Roman" w:eastAsia="Times New Roman" w:hAnsi="Times New Roman"/>
          <w:sz w:val="18"/>
          <w:szCs w:val="18"/>
          <w:i w:val="1"/>
          <w:iCs w:val="1"/>
          <w:color w:val="auto"/>
        </w:rPr>
        <w:t>LEPA v. FERC</w:t>
      </w:r>
      <w:r>
        <w:rPr>
          <w:rFonts w:ascii="Times New Roman" w:cs="Times New Roman" w:eastAsia="Times New Roman" w:hAnsi="Times New Roman"/>
          <w:sz w:val="18"/>
          <w:szCs w:val="18"/>
          <w:color w:val="auto"/>
        </w:rPr>
        <w:t>. On July 26, 2024, the D.C. Circuit issued an order vacating the Revised Index Rate and on September 17, 2024, FERC re-issued the Initial Index Rate for the full period from July 1, 2021 through June 30, 2026.</w:t>
      </w:r>
    </w:p>
    <w:p>
      <w:pPr>
        <w:spacing w:after="0" w:line="21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222222"/>
        </w:rPr>
        <w:t xml:space="preserve">Several shippers filed petitions for review of the September 17, 2024 FERC order as well as several other subsequent FERC orders issued in connection with the </w:t>
      </w:r>
      <w:r>
        <w:rPr>
          <w:rFonts w:ascii="Times New Roman" w:cs="Times New Roman" w:eastAsia="Times New Roman" w:hAnsi="Times New Roman"/>
          <w:sz w:val="18"/>
          <w:szCs w:val="18"/>
          <w:i w:val="1"/>
          <w:iCs w:val="1"/>
          <w:color w:val="222222"/>
        </w:rPr>
        <w:t>LEPA v. FERC</w:t>
      </w:r>
      <w:r>
        <w:rPr>
          <w:rFonts w:ascii="Times New Roman" w:cs="Times New Roman" w:eastAsia="Times New Roman" w:hAnsi="Times New Roman"/>
          <w:sz w:val="18"/>
          <w:szCs w:val="18"/>
          <w:color w:val="222222"/>
        </w:rPr>
        <w:t xml:space="preserve"> lawsuit, including an order allowing pipeline operators to recover rate differences for the period that the Revised Index Rates were in place, all of which are currently pending at the D.C. Circuit. The final resolution of these petitions could have an adverse effect on our cash flows.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Because the indexing methodology for the next five-year indexing period is tied in part to an inflation index and is not based on our specific costs, the indexing methodology could hamper our ability to recover cost increases. The majority of our pipeline profits in the United States are based on rates that are either grandfathered in part or set by agreement with one or more shippers. These rates remain regulated by FERC and are subject to challenge or review and modification by FERC under the ICA. Changes in FERC’s methodologies for approving rates could adversely affect us. In addition, challenges to our regulated rates could be filed with FERC and future decisions by FERC regarding our regulated rates could adversely affect our cash flows.</w:t>
      </w:r>
    </w:p>
    <w:p>
      <w:pPr>
        <w:spacing w:after="0" w:line="19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Energy Policy Act of 2005 authorized FERC to impose civil penalties for violations of the ICA and FERC regulations thereunder, up to a maximum amount that is adjusted annually for inflation, which for 2026 equals approximately $17 thousand per day, per violation. Should we fail to comply with applicable statutes, rules, regulations and orders administered by FERC, we could be subject to substantial penalties and fines.</w:t>
      </w:r>
    </w:p>
    <w:p>
      <w:pPr>
        <w:spacing w:after="0" w:line="201"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Intrastate Regulation in the United States. </w:t>
      </w:r>
      <w:r>
        <w:rPr>
          <w:rFonts w:ascii="Times New Roman" w:cs="Times New Roman" w:eastAsia="Times New Roman" w:hAnsi="Times New Roman"/>
          <w:sz w:val="18"/>
          <w:szCs w:val="18"/>
          <w:color w:val="auto"/>
        </w:rPr>
        <w:t>Our intrastate liquids pipeline transportation activities are subject to various state laws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orders of state regulatory bodies, including the Railroad Commission of Texas and the California Public Utility Commission (“CPUC”). The CPUC prohibits certain of our subsidiaries from acting as guarantors of our senior notes and credit facilities.</w:t>
      </w:r>
    </w:p>
    <w:p>
      <w:pPr>
        <w:spacing w:after="0" w:line="20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Canadian Regulation. </w:t>
      </w:r>
      <w:r>
        <w:rPr>
          <w:rFonts w:ascii="Times New Roman" w:cs="Times New Roman" w:eastAsia="Times New Roman" w:hAnsi="Times New Roman"/>
          <w:sz w:val="18"/>
          <w:szCs w:val="18"/>
          <w:color w:val="auto"/>
        </w:rPr>
        <w:t>Our Canadian pipeline assets are subject to regulation by the CER and by provincial regulators. With respect to pipelines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which it has jurisdiction, the relevant regulatory authority has the power, upon application by a third party, to determine reasonability of the rates we are allowed to charge for transportation on, and set other terms of access to, such pipelines. In such circumstances, if the relevant regulatory authority determines that the applicable terms and conditions of service are not just and reasonable, the regulatory authority can impose conditions it considers appropriate.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Trucking Regulation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Federal Motor Carrier Safety Association of the DOT. These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Railcar Regulation</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own and operate a number of railcar loading and unloading facilities in the United States and Canada. In connection with these operations, we own and lease a significant number of railcars, primarily associated with the Canadian NGL Business. Our railcar operations are subject to the regulatory jurisdiction of the Federal Railroad Administration of the DOT, OSHA, as well as other federal and state regulatory agencies and Canadian regulatory agencies for operations in Canada. From time to time, these regulatory bodies may enact new regulations or revise and update existing regulations related to the transportation of oil and NGL by railcar. For example, PHMSA has issued safety advisory warnings and compliance initiatives to reinforce requirements to properly test, characterize, classify, describe, label and, where appropriate, sufficiently degasify hazardous materials prior to and during transportation. We believe our railcar fleet is in compliance in all material respects with current standards for crude oil moved by rail.</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Indigenous Protections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Part of our operations cross land that has historically been apportioned to various Native American/First Nations tribes (“Indigenous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Transportation Security Administration Security Directives</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response to cybersecurity incidents affecting the pipeline industry, the United States Department of Homeland Security’s Transportation Security Administration has issued comprehensive security directives that include various cybersecurity and reporting requirements for critical infrastructure pipeline owners and/or operators. Compliance with these security directives may have a significant impact on our operations and results of operations.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Cross Border Regulation</w:t>
      </w:r>
    </w:p>
    <w:p>
      <w:pPr>
        <w:spacing w:after="0" w:line="256"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As a result of our cross border activities, including the transportation and importation of crude oil and NGL between the United States and Canada, we are subject to a variety of legal requirements including export license requirements, trade tariffs, Canadian and U.S. customs and taxes, and requirements relating to toxic substances. U.S. legal requirements relating to these activities include the United States-Mexico-Canada Agreement (“USMCA”) and the Toxic Substances Control Act (“TSCA”), as well as presidential permit requirements of the U.S. Department of State. Violations of these licensing, trade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Market Anti-Manipulation Regulation</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Federal Trade Commission (“FTC”) has issued regulations pursuant to the Energy Independence and Security Act of 2007 intended to prohibit market manipulation in the petroleum industry. Violators of the regulations face civil penalties of up to approximately $1.5 million per violation per day, subject to the FTC’s annual inflation adjustment. The Dodd-Frank Act incorporates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CFTC rules subject violators to a civil penalty of up to the greater of approximately $1.5 million, subject to the CFTC’s annual inflation adjustment, or triple the monetary gain to the person for each violation.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Hazards and Insurance</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Consistent with insurance coverage generally available in the industry, in certain circumstances our insurance policies provide limited coverage for losses or liabilities relating to gradual pollution, with broader coverage for sudden and accidental occurrences. We maintain various types and varying levels of insurance coverage to cover our operations and properties, and we self-insure certain risks, including gradual pollution, cybersecurity and named windstorms. To the extent we do maintain insurance coverage, such insurance does not cover every potential risk that might occur in connection with operating pipelines, terminals and other facilities and equipment, including the potential loss of significant revenues and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occurrence of a significant event not fully insured, indemnified or reserved against, or the failure of a party to meet its insurance or indemnification obligations, could materially and adversely affect our operations and financial condition. While we strive to maintain adequate insurance coverage, our actual costs may exceed our coverage levels and insurance will not cover many types of interruptions or losses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or that the insurance companies that currently insure companies in the energy industry will continue to do so. As a result, we may elect to self-insure or utilize higher deductibles in certain other insurance programs. In addition, although we believe that we have established adequate reserves and that we have sufficient liquidity to the extent such risks are not insured, costs incurred in excess of these reserves may be higher or we may not receive insurance proceeds in a timely manner, which may potentially have a material adverse effect on our financial condition, results of operations or cash flows. See Note 19 to our Consolidated Financial Statements for a discussion regarding the Line 901 incident and our related insurance claims.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to Properties and Rights-of-Way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real property holdings generally consist of: (i) parcels of land that we own in fee; (ii) surface leases and underground storage leases; and</w:t>
      </w:r>
    </w:p>
    <w:p>
      <w:pPr>
        <w:spacing w:after="0" w:line="27" w:lineRule="exact"/>
        <w:rPr>
          <w:sz w:val="20"/>
          <w:szCs w:val="20"/>
          <w:color w:val="auto"/>
        </w:rPr>
      </w:pPr>
    </w:p>
    <w:p>
      <w:pPr>
        <w:ind w:right="80" w:firstLine="8"/>
        <w:spacing w:after="0" w:line="253" w:lineRule="auto"/>
        <w:tabs>
          <w:tab w:leader="none" w:pos="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(a) customary liens, restrictions or encumbrances and (b) challenges that we do not regard as material relative to our overall operations. Some of our real property rights may be subject to termination under agreements that provide for one or more of: periodic payments, term periods, renewal rights, abandonment of use, continuous operation requirements, revocation by the licensor or grantor and possible relocation obligations.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primary human capital management objective is to retain, attract and develop a high quality workforce that will enable us to maintain and enhance a culture that is consistent with our Core Values. To support this objective, we seek to reward and support our employees through competitive pay, benefits and other programs; develop employees and encourage internal talent mobility to prepare employees for critical roles and leadership positions for the future; facilitate the development of a workplace culture that is engaging and inclusive; and promote efficiency and a high performance culture by investing in technology and systems and providing tools and resources that enable employees at work.</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limited partnership, we do not directly have officers and employees. Our operations and activities are managed by Plains All American GP LLC (“GP LLC”), which employs our management and operational personnel (other than our Canadian personnel, who are employed by our subsidiary, PMC ULC). As of December 31, 2025, GP LLC and PMC ULC employed approximately 3,900 people in North America, of which approximately 2,800 were employed in the U.S. and approximately 1,100 were employed in Canada. Approximately 70% of our workforce (approximately 2,750 employees) are field employees, which includes approximately 550 employees in our trucking division. Our employees are located in 23 states in the U.S. and in four provinces in Canada. Approximately 200 employees (all of whom are associated with the Canadian NGL Business) are covered by six separate collective bargaining agreements, which are open for renegotiation in 2026 through 2028.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people are our most valuable asset. We prioritize the health and safety of our employees and we are committed to protecting our employees and conducting our operations in a safe, reliable and responsible manner. We support our commitment to health and safety through extensive education and training and investment in necessary equipment, systems, processes and other resources, and we have a number of safety programs and campaigns that are shared across our operations, periodic and situation specific safety stand-downs, lessons learned sharing and stop work authorization for all employees. We also have a number of programs that are focused on employee wellness, including an employee assistance program that provides free mental and behavioral support for employees. In addition, in order to incentivize performance in the areas of safety and environmental responsibility, our performance-based annual bonus program includes a component that is tied to safety and environmental performance targets.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Leadership Development</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committed to providing a professional work environment where all employees are treated with respect and dignity and provided with opportunities for growth and development. To foster the continued development of our people, we provide a comprehensive set of training programs covering subjects such as field operations, health and safety, regulatory compliance, technical training, management and leadership skills, and professional development. We also operate a number of internal development programs at all levels of the workforce that are designed to identify and develop future leaders of the organization. The Board receives reports from senior management on a periodic basis regarding the status of succession plans with respect to executive leadership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compensation and benefits programs are designed to retain, attract and motivate our employees and to reward them for their contributions and success. In addition to providing competitive salaries and other compensation opportunities, we offer comprehensive and competitive benefits to our eligible employees including, depending on location, health (medical, dental and vision) insurance, prescription drug benefits, flexible spending accounts, parental leave, disability coverage, mental and behavioral health resources, paid time off, retirement savings plan, education reimbursement program, a disaster relief fund, life insurance and accidental death and dismemberment insurance.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Tax Considerations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is a brief summary of certain material tax considerations of owning and disposing of common units, however, the tax consequences of the ownership of common units are complex and depend in part on the owner’s individual tax circumstances.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 This summary does not address all aspects of U.S. federal income taxation or the tax considerations arising under the laws of any non-U.S., state, or local jurisdiction, or under U.S. federal estate and gift tax laws. It is the responsibility of each unitholder, either individually or through a tax advisor, to investigate the legal and tax consequences of the unitholder’s investment in us under applicable U.S. federal, state and local law. Further, it is the responsibility of each unitholder to file all U.S. federal, state and local tax returns that may be required of the unitholder. Also see Item 1A. “Risk Factors—Tax Risks to Unitholders” and “Risk Factors—Tax Risks to Common Unitholders</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Status; Cash Distributions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are treated for U.S. federal income tax purposes as a partnership based upon our meeting the “Qualifying Income Exception” imposed by Section 7704 of the Code, which we must meet each year. The owners of our common units are considered partners in the Partnership so long as they do not loan their common units to others to cover short sales or otherwise dispose of those units. Accordingly, subject to taxes assessed at the entity level as a result of audit adjustments by the IRS, we generally are not liable for U.S. federal income taxes, and a common unitholder is required to report on the unitholder’s U.S. federal income tax return the unitholder’s share of our income, gains, losses and deductions. In general, cash distributions to a common unitholder are taxable only if, and to the extent that, they exceed the tax basis in the common units held. In certain cases, we are subject to, or have paid, Canadian income and withholding taxes, including with respect to intercompany interest payments and dividend payments. Unitholders may be eligible for foreign tax credits with respect to allocable Canadian withholding and income taxes paid.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Partnership Allocations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general, our income and loss is allocated to the general partner and the unitholders for each taxable year in accordance with their respective percentage interests in the Partnership, as determined annually and prorated on a monthly basis and subsequently apportioned among the general partner and the unitholders of record as of the opening of the first business day of the month to which they relate, even though unitholders may dispose of their units during the month in question. A unitholder who disposes of common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 In determining a unitholder’s U.S. federal income tax liability, the unitholder is required to take into account the unitholder’s share of income generated by us for each taxable year of the Partnership ending with or within the unitholder’s taxable year, even if cash distributions are not made to the unitholder. As a consequence, a unitholder’s share of our taxable income (and possibly the income tax payable by the unitholder with respect to such income) may exceed the cash actually distributed to the unitholder by 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Common Units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unitholder’s initial tax basis for a common unit is generally the amount paid for the common unit and the unitholder’s share of our nonrecourse liabilities (or liabilities for which no partner bears the economic risk of loss). A unitholder’s basis is generally increased by the unitholder’s share of our income and by any increases in the unitholder’s share of our nonrecourse liabilities. That basis will be decreased, but not below zero, by the unitholder’s share of our losses, the amount of all distributions made to the unitholder (including deemed distributions due to a decrease in the unitholder’s share of our nonrecourse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Deductibility of Partnership Losses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deduction by a unitholder of that unitholder’s allocable share of our losses will be limited to the amount of that unitholder’s tax basis in his or her common units and, in the case of an individual unitholder or a corporate unitholder who is subject to the “at risk” rules (generally, certain closely-held corporations), to the amount for which the unitholder is considered to be “at risk” with respect to our activities, if that is less than the unitholder’s tax basis. A unitholder must recapture losses deducted in previous years to the extent that distributions cause the unitholder’s at risk amount to be less than zero at the end of any taxable year. Losses disallowed to a unitholder or recaptured as a result of these limitations will carry forward and will be allowable as a deduction to the extent that his at risk amount is subsequently increased, provided such losses do not exceed such unitholder’s tax basis in his common units. Upon the taxable disposition of a common unit, any gain recognized by a unitholder can be offset by losses that were previously suspended by the at risk limitation but may not be offset by losses suspended by the basis limitation. Any loss previously suspended by the at risk limitation in excess of that gain could no longer be used.</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basis and at risk limitations described above,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 Consequently, any passive losses we generate will be available to offset only passive income generated by us, and will not be available to offset income from other passive activities or investments, including investments in other publicly traded partnerships or salary, active business or other income.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taxpayers other than corporations,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in each case, increased by the applicable inflation adjustment.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Interest Deductions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common units, this excess business interest may be carried forward and deducted by a unitholder in a future taxable year. Further, a unitholder’s basis in his or her common units will generally be increased by the amount of any excess business interest upon a disposition of such common units.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754 Election</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have made the election provided for by Section 754 of the Code, which will generally result in a unitholder being allocated income and deductions calculated by reference to the portion of the unitholder’s purchase price attributable to each asset of the Partnership.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Common Units</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 unitholder who sells common units will recognize gain or loss equal to the difference between the amount realized and the adjusted tax basis of those common units (taking into account any basis adjustments attributable to previously disallowed interest deductions). A unitholder may not be able to trace basis to particular common units for this purpose. Thus, distributions of cash from us to a unitholder in excess of the income allocated to the unitholder will, in effect, become taxable income if the unitholder sells the common units at a price greater than the unitholder’s adjusted tax basis even if the price is less than the unitholder’s original cost. Moreover, a portion of the amount realized (whether or not representing gain) will be taxed as ordinary income due to potential recapture items, including depreciation recapture. In addition, because the amount realized includes a unitholder’s share of our nonrecourse liabilities, a unitholder may incur a tax liability in excess of the amount of cash the unitholder receives from the sale.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Local and Other Tax Considerations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to U.S. federal income taxes, unitholders will likely be subject to other taxes, including state and local income taxes, unincorporated business taxes, and estate, inheritance or intangible taxes that are imposed by the various jurisdictions in which a unitholder resides or in which we conduct business or own property. We own property and conduct business in most states in the United States as well as several provinces in Canada. A unitholder may also be required to file state income tax returns and to pay taxes in various states, even if they do not live in those jurisdictions. As our entire Canadian source income passes through Canadian taxable entities, our unitholders do not have a separate Canadian tax filing obligation as it relates to this income. Unitholders who are not resident in the United States may have additional tax reporting and payment requirements.</w:t>
      </w:r>
    </w:p>
    <w:p>
      <w:pPr>
        <w:spacing w:after="0" w:line="214"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 unitholder may be subject to interest and penalties for failure to comply with such requirements. In certain states, tax losses may not produce a tax benefit in the year incurred (if, for example, we have no income from sources within that state) and also may not be available to offset income in subsequent taxable years. Some states may require us, or we may elect, to withhold a percentage of income from amounts to be distributed to a unitholder who is not a resident of the state. Withholding, the amount of which may be more or less than a particular unitholder’s income tax liability owed to a particular state, may not relieve the unitholder from the obligation to file an income tax return in that state. Amounts withheld may be treated as if distributed to unitholders for purposes of determining the amounts distributed by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Common Units by Tax-Exempt Organizations and Certain Other Investors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 investment in common units by tax-exempt organizations (including Individual Retirement Accounts (“IRAs”) and other retirement plans) and non-U.S. persons raises issues unique to such persons. Virtually all of our income allocated to a unitholder that is a tax-exempt organization is unrelated business taxable income and, thus, is taxable to such a unitholder. A unitholder who is a nonresident alien, non-U.S. corporation or other non-U.S. person is regarded as being engaged in a trade or business in the United States as a result of ownership of a common unit and, thus, is required to file U.S. federal income tax returns and to pay tax on the unitholder’s share of our taxable income and on gain realized from the sale or disposition of common units to the extent the gain is effectively connected with a U.S. trade or business of the non-U.S. unitholder.</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Under rules applicable to publicly traded partnerships, distributions to non-U.S. persons are subject to withholding at the highest applicable effective tax rate. In addition, distributions to non-U.S. persons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non-U.S. persons will be subject to a combined withholding tax rate equal to the sum of the highest applicable effective tax rate and 10%.</w:t>
      </w:r>
    </w:p>
    <w:p>
      <w:pPr>
        <w:spacing w:after="0" w:line="21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such as our common units,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interests in a publicly traded partnership that is effected through a broker, the obligation to withhold is imposed on the transferor’s broker. Prospective foreign unitholders should consult their tax advisors regarding the impact of these rules on an investment in our common units.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Procedures</w:t>
      </w:r>
    </w:p>
    <w:p>
      <w:pPr>
        <w:spacing w:after="0" w:line="22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Publicly-traded partnerships are treated as entities separate from their owners for purposes of U.S.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on our Internet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our annual reports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Our website includes a significant amount of information about us, including financial, sustainability and other information that could be deemed material to investors. Investors and others are encouraged to review the information posted on our website. The information posted on our website is not incorporated by reference into this Annual Report on Form 10-K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0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Unless the context requires otherwise, references herein to our “facilities” includes all of the pipelines, terminals, storage and other assets owned by us. References to the “PAGP Entities” include PAGP GP, PAGP, Plains All American GP LLC, AAP and PAA GP LLC. References to our “general partner,” as the context requires, include any or all of the PAGP Entities. References to the “Plains Entities” include us, our subsidiaries and the PAGP Entities.</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results of operations, financial condition, cash flows and unit price can be adversely affected by many factors including but not limited to:</w:t>
      </w:r>
    </w:p>
    <w:p>
      <w:pPr>
        <w:spacing w:after="0" w:line="117" w:lineRule="exact"/>
        <w:rPr>
          <w:sz w:val="20"/>
          <w:szCs w:val="20"/>
          <w:color w:val="auto"/>
        </w:rPr>
      </w:pPr>
    </w:p>
    <w:p>
      <w:pPr>
        <w:ind w:left="660" w:right="3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crude oil, natural gas and NGL shipped, processed, purchased, stored, fractionated and/or gathered at or through the use of our pipelines and facilities, which can be negatively impacted by a variety of factors outside of our control;</w:t>
      </w:r>
    </w:p>
    <w:p>
      <w:pPr>
        <w:spacing w:after="0" w:line="1" w:lineRule="exact"/>
        <w:rPr>
          <w:rFonts w:ascii="Times New Roman" w:cs="Times New Roman" w:eastAsia="Times New Roman" w:hAnsi="Times New Roman"/>
          <w:sz w:val="18"/>
          <w:szCs w:val="18"/>
          <w:color w:val="auto"/>
        </w:rPr>
      </w:pPr>
    </w:p>
    <w:p>
      <w:pPr>
        <w:ind w:left="660" w:right="8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including recontracting and other risks associated with the general capacity overbuild of midstream energy infrastructure in some of the areas where we operate;</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supply and demand for the products we handle and the services we provide, which can be caused by a variety of factors outside of our control;</w:t>
      </w:r>
    </w:p>
    <w:p>
      <w:pPr>
        <w:spacing w:after="0" w:line="1" w:lineRule="exact"/>
        <w:rPr>
          <w:rFonts w:ascii="Times New Roman" w:cs="Times New Roman" w:eastAsia="Times New Roman" w:hAnsi="Times New Roman"/>
          <w:sz w:val="18"/>
          <w:szCs w:val="18"/>
          <w:color w:val="auto"/>
        </w:rPr>
      </w:pPr>
    </w:p>
    <w:p>
      <w:pPr>
        <w:ind w:left="660" w:right="5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catastrophes, terrorist attacks (including eco-terrorist attacks), process safety failures, equipment failures or other events, including pipeline or facility accidents;</w:t>
      </w:r>
    </w:p>
    <w:p>
      <w:pPr>
        <w:spacing w:after="0" w:line="1"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or operations technology failures, including cybersecurity attacks, data breaches and other disruptions affecting us, or our service providers;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from climate change, energy conservation measures, or initiatives that stimulate demand for alternative forms of energy;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societal and political pressures from various groups, including opposition to the development or operation of our pipelines and facilities;</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concern by financial stakeholders with respect to our governance structure and the perceived social and environmental cost of our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forward market for crude oil and NGL, and certain market structures, the absence of pricing volatility and other market factors;</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fully implement or realize expected returns or other anticipated benefits associated with acquisitions/divestitures, joint venture and joint ownership arrangements, and other projects;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new businesses in connection with our strategy to participate in emerging energy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investment grade credit rating or a significant reduction in our ability to receive open credit;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 of our customers and other counterparties we transact with in the ordinary course of business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otherwise limit our access to capital;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or non-compliance with, our risk policies;</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coverage may not fully cover our losses and we may in the future encounter increased costs related to, and lack of availability of, insurance;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duties, quotas, inflation, supply disruptions or other factors affecting the commodities and materials we use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epidemics or other public health events;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debt levels, or inability to borrow additional funds or capitalize on business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currency exchange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and retaining our workforce;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long-term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certain assets due to fixed costs incurred to obtain the right to use such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repair and maintain our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own all of the land on which our pipelines and facilities are located, which could result in disruptions to our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pace of development of natural gas infrastructure could have an adverse impact on expected crude oil production growth in the Permian Basin.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business may be adversely impacted by existing or new laws, executive orders and regulations relating to protection of the environment and wildlife, operational safety, cross-border import/export and tax matters, financial and hedging activities, climate change and related matters.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partnership structure carries inherent risks, including but not limited to:</w:t>
      </w:r>
    </w:p>
    <w:p>
      <w:pPr>
        <w:spacing w:after="0" w:line="25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reimbursements due to our general partner may be substantial and will reduce our cash available for distribution to unitholders;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are not guaranteed and may fluctuate with our performance and the establishment of financial reserves;</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preferred units have rights, preferences and privileges that are not the same as, and are preferential to, the rights of holders of our common units;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may not be able to remove our general partner even if they wish to do so;</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common units without unitholder approval, which would dilute a unitholder’s existing ownership interests;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could arise among our general partner and us or our unitholders.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Debt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our debt securities are subject to risks including but not limited to:</w:t>
      </w:r>
    </w:p>
    <w:p>
      <w:pPr>
        <w:spacing w:after="0" w:line="171" w:lineRule="exact"/>
        <w:rPr>
          <w:sz w:val="20"/>
          <w:szCs w:val="20"/>
          <w:color w:val="auto"/>
        </w:rPr>
      </w:pPr>
    </w:p>
    <w:p>
      <w:pPr>
        <w:ind w:left="660" w:right="300" w:hanging="328"/>
        <w:spacing w:after="0" w:line="25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 and</w:t>
      </w:r>
    </w:p>
    <w:p>
      <w:pPr>
        <w:spacing w:after="0" w:line="1" w:lineRule="exact"/>
        <w:rPr>
          <w:rFonts w:ascii="Times New Roman" w:cs="Times New Roman" w:eastAsia="Times New Roman" w:hAnsi="Times New Roman"/>
          <w:sz w:val="18"/>
          <w:szCs w:val="18"/>
          <w:color w:val="auto"/>
        </w:rPr>
      </w:pPr>
    </w:p>
    <w:p>
      <w:pPr>
        <w:ind w:left="660" w:right="660" w:hanging="328"/>
        <w:spacing w:after="0" w:line="26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same flexibility as other types of organizations to accumulate cash, which may limit cash available to service our debt securities or to repay them at maturity.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Common Unitholders and Series B Preferred Unitholders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Units and Series B Preferred Units are subject to tax risks, which may adversely impact the value of or market for our units and may reduce our cash available for distribution or debt service, including but not limited to:</w:t>
      </w:r>
    </w:p>
    <w:p>
      <w:pPr>
        <w:spacing w:after="0" w:line="10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partnership for U.S. federal income tax purposes and not being subject to a material amount of entity-level taxation;</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legislative, judicial or administrative changes or differing interpretations, possibly applied on a retroactive basis, or expiration of existing provisions;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audit adjustments to our income tax returns by the IRS or state tax authorities;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or Canada Revenue Agency (“CRA”) contests to the federal income tax positions or inter-country allocations we take;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may be required to pay taxes on their share of our income even if they do not receive any cash distributions from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and non-U.S. unitholders face unique tax issues from owning our units;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gain or loss on the disposition of our common units could be more or less than expected;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may be subject to limitation on their ability to deduct interest expense incurred by us;</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unitholders will likely be subject to state, local and non-U.S. taxes and return filing requirements in states and jurisdictions where they do not live as a result of investing in our units;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depends on the volume of crude oil, natural gas and NGL shipped, processed, purchased, stored, fractionated and/or gathered at or through the use of our pipelines and facilities, which can be negatively impacted by a variety of factors outside of our control.</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Drilling activity, crude oil production and benchmark crude oil prices can fluctuate significantly over time for a wide variety of reasons, including prevailing economic conditions, geopolitical conflicts or events, reduced demand by consumers for end products made with hydrocarbons, increased competition, adverse weather conditions, public health emergencies, and governmental actions and regulations affecting prices and production levels. Crude oil prices may also decline due to actions of domestic or foreign oil producers—they may take actions that create an over-supply of crude oil, and decrease benchmark crude oil prices. If producers reduce drilling activity in response to future declines in such prices, reduced capital market access, increased capital raising costs or adverse governmental or regulatory action including, for example, federal, state or local laws or regulations that restrict drilling activities for environmental, seismic or other reasons, it could adversely impact current or future production levels. In turn, such developments could lead to reduced throughput on our pipelines and at our other facilities, which, depending on the level of production declines, could have a material adverse effect on our business.</w:t>
      </w:r>
    </w:p>
    <w:p>
      <w:pPr>
        <w:spacing w:after="0" w:line="21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Also, except with respect to some of our more recently constructed long haul pipeline assets, third-party shippers generally do not have long-term contractual commitments to ship crude oil on our pipelines. A decision by a shipper to substantially reduce or cease to ship volumes of crude oil on our pipelines could cause a significant decline in our revenues.</w:t>
      </w:r>
    </w:p>
    <w:p>
      <w:pPr>
        <w:spacing w:after="0" w:line="20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To maintain the volumes of crude oil we purchase in connection with our operations, we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adversely impact our ability to secure additional supplies of crude oil.</w:t>
      </w:r>
    </w:p>
    <w:p>
      <w:pPr>
        <w:spacing w:after="0" w:line="19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profitability can be negatively affected by a variety of factors stemming from competition in our industry, including recontracting and other risks associated with the general capacity overbuild of midstream energy infrastructure in some of the areas where we operate.</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face competition in all aspects of our business and can give no assurances that we will be able to compete effectively against our competitors. In general, competition comes from a wide variety of participants in a wide variety of contexts, including new entrants and existing participants and in connection with day-to-day business, investment capital projects, acquisitions and joint venture activities. Some of our competitors have capital resources many times greater than ours or control greater supplies of crude oil, natural gas or NGL. In addition, other competitors with significant excess capacity and high financial leverage may be motivated to reduce transportation rates to levels approaching variable operating costs, without regard to whether they are generating an acceptable return on their investment. These competitive risks make it more difficult for us to attract new customers and expose us to increased contract renewal and customer retention risk with respect to our existing customers and make recontracting at favorable rates and volumes more challenging, including, for example, with respect to certain of our long-haul Permian pipelines.</w:t>
      </w:r>
    </w:p>
    <w:p>
      <w:pPr>
        <w:spacing w:after="0" w:line="2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driver of competition in some of the markets where we operate (including, for example, the Eagle Ford, Permian Basin, and Rockies/Bakken areas) stems from the rapid development of new midstream energy infrastructure capacity that was driven by the combination of (i) 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us, many of the areas where we operate have become overbuilt, resulting in an excess of midstream energy infrastructure capacity. In addition, as an established participant in some markets, we also face competition from aggressive new entrants to the market who are willing to provide services at a lower rate of return in order to establish relationships and gain a foothold in the market. In addition, our crude oil and NGL merchant activities utilize many of our pipelines and facilities. Competition that impacts our merchant activities could result in a reduction in the use of our transportation and facilities assets. All of these competitive effects put downward pressure on our throughput and margins and, together with other adverse competitive effects, could have a significant adverse impact on our financial position, cash flows and ability to pay or increase distributions to our unitholders.</w:t>
      </w:r>
    </w:p>
    <w:p>
      <w:pPr>
        <w:spacing w:after="0" w:line="22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With respect to our crude oil activities, our competitors include other crude oil pipelines, the major integrated oil companies, their marketing affiliates, refiners, private equity-backed entities, and independent gatherers, brokers and marketers of widely varying sizes, financial resources and experience. We compete against these companies on the basis of many factors, including geographic proximity to production areas, market access, rates, terms of service, connection costs and other factors.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With regard to our NGL operations, we compete with large oil, natural gas and natural gas liquids companies that may, relative to us,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0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supply and demand for the products we handle, which can be caused by a variety of factors outside of our control, can negatively affect our operating results.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Supply and demand for crude oil and other hydrocarbon products we handle can fluctuate based on a variety of factors, including price, current and future economic conditions, geopolitical conflicts or events, fuel conservation measures, alternative fuel adoption, governmental regulation, including climate change regulations, and technological advances in fuel economy and energy generation and storage technologies. For example, legislative, regulatory or executive actions intended to reduce emissions of greenhouse gases could increase the cost of consuming crude oil and other hydrocarbon products or accelerate the adoption of alternative energy technologies, thereby causing a reduction in the demand for such products. Given that crude oil and petroleum products are global commodities, demand can also be significantly influenced by global market conditions, particularly in key consumption markets such as the United States and China, domestic and foreign political conditions and governmental or regulatory actions (including restrictions on the import or export of crude oil or petroleum products). Demand also depends on the ability and willingness of shippers having access to our transportation assets to satisfy their demand by deliveries through those assets. Decreases in demand for the products we handle, whether at a global level or in areas our assets serve, can negatively affect our operating results.</w:t>
      </w:r>
    </w:p>
    <w:p>
      <w:pPr>
        <w:spacing w:after="0" w:line="2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supply of crude oil depends on a variety of global political and economic factors, including the reliance of foreign governments on petroleum revenues. Excess global supply of crude oil may negatively impact our operating results by decreasing the price of crude oil and making production and transportation less profitable in areas we service.</w:t>
      </w:r>
    </w:p>
    <w:p>
      <w:pPr>
        <w:spacing w:after="0" w:line="20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Fluctuations in demand for crude oil, such as those caused by refinery downtime or shutdowns, can have a negative effect on our operating results. Specifically, reduced demand in an area serviced by our transportation systems will negatively affect the throughput on such systems. Although the negative impact may be mitigated or overcome by our ability to capture differentials created by demand fluctuations, this ability is dependent on the availability of certain grades of crude oil at specific locations, and thus is largely unpredictable.</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 particularly propane, or other reasons, could result in a decline in the volume of NGL products we handle or a reduction of the fees we charge for our services or margins we earn. Also, increased supply of NGL products could reduce the value of NGL we handle and reduce the margins realized by us.</w:t>
      </w:r>
    </w:p>
    <w:p>
      <w:pPr>
        <w:spacing w:after="0" w:line="21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NGL and products produced from NGL also compete with products from global markets. Any reduced demand or increased supply for ethane, propane, normal butane, iso-butane or natural gasoline in the markets we access for any of the reasons stated above could adversely affect demand for the services we provide as well as NGL prices, which could negatively impact our operating results.</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Natural disasters, catastrophes, terrorist attacks (including eco-terrorist attacks), process safety failures, equipment failures or other events, including pipeline or facility accidents and cyber or other attacks on our electronic and computer systems, could interrupt our operations, hinder our ability to fulfil our contractual obligations and/or result in severe personal injury, property damage and environmental damage, which could have a material adverse effect on our financial position, results of operations and cash flows.</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Some of our operations involve risks of personal injury, property damage and environmental damage that could curtail our operations and otherwise materially adversely affect our cash flow. Virtually all of our operations are exposed to potential natural disasters or other natural events, including hurricanes, tornadoes, storms, floods, earthquakes, shifting soil and/or landslides. The location of some of our assets and our customers’ assets in the U.S. Gulf Coast region makes them particularly vulnerable to hurricane or tropical storm risk. Our facilities and operations are also vulnerable to accidents caused by process safety failures, equipment failures, or human error. In addition, the U.S. government has previously issued warnings that energy assets, specifically the nation’s pipeline infrastructure, may be targets of terrorist organizations. Terrorists may target our physical facilities and hackers may attack our electronic and computer systems.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one or more of our pipelines or other facilities, including electronic and computer systems, or any facilities or businesses that deliver products, supplies or services to us or that we rely on in order to operate our business, are damaged by severe weather or any other disaster, accident, catastrophe, terrorist attack or event, our operations could be significantly interrupted. In addition, our merchant activities may include purchasing crude oil and NGL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These incidents or interruptions could involve significant damage or injury to people, property or the environment, and repairs could take anywhere from a few days to several months or more depending on the severity and impact of the event. Any such event that interrupts the revenues generated by our operations, hinders our ability to fulfil our contractual obligations or which causes us to make significant expenditures not covered by insurance, could reduce our profitability, cash flows and cash available for paying distributions to our partners and, accordingly, adversely affect our financial condition and the market price of our securities.</w:t>
      </w:r>
    </w:p>
    <w:p>
      <w:pPr>
        <w:spacing w:after="0" w:line="2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our operations and/or make it more difficult for us to obtain the approvals, permits, licenses or real property interests we need in order to operate our assets or complete planned growth projects or other transactions.</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use of information and operations technology systems and the unavailability or ineffectiveness of such systems, whether due to cybersecurity attacks, data breaches, human error or other disruptions affecting us, or our service providers, could materially and adversely affect our business, operations, reputation and financial results.</w:t>
      </w:r>
    </w:p>
    <w:p>
      <w:pPr>
        <w:spacing w:after="0" w:line="20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continuous and uninterrupted operation of the information and operations technology systems and infrastructure we use (collectively, our “IT systems”), which include a broad array of third party and cloud-based software, technologies, tools and security products, is critical to the operation of our business and essential to our ability to perform day-to-day operations. If we are unable to implement, use and maintain effective IT systems, it could have a material adverse effect on our business.</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and certain of our service providers have, from time to time, been subject to cyberattacks. The frequency and magnitude of cyberattacks is expected to increase and attackers are becoming more sophisticated. Infrastructure assets, including pipelines, may be specifically targeted by certain groups, such as “hacktivists,” state-sponsored groups, criminal organizations or private individuals.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21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Any breach or failure of our IT systems, whether due to cyberattacks or other malfeasance, human error, power failures or other disruptions, could result in interruptions to our operations, damage to our assets, safety incidents, damage to the environment and disclosure of sensitive information (including proprietary business information, critical operating information and data, information regarding our customers, suppliers, royalty owners and business partners, and personally identifiable information of our employees). This could in turn cause us to incur significant costs and liabilities, including ransom payments, remediation costs, legal claims, regulatory enforcement actions, violation of privacy or securities laws and regulations and the loss of contracts or the inability to fulfil our contractual obligations. Any of these events could have a material adverse effect on our operations, financial position and results of operations. In addition, we may be required to invest significant additional resources to enhance our information security and controls or to comply with evolving cybersecurity laws or regulations.</w:t>
      </w:r>
    </w:p>
    <w:p>
      <w:pPr>
        <w:spacing w:after="0" w:line="2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emergence of new technologies (including generative artificial intelligence) could increase any of the foregoing risks or create new risks. We or our counterparties may rely upon such technologies for our operations or security, which could make us more vulnerable to technology failures. Our competitors may more effectively implement such technologies in their businesses, and we may be unable to compete as effectively. New technologies are also subject to intentional misuse by criminals, terrorists or other bad actors.</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self-insure and thus do not carry insurance specifically for cybersecurity events; however, certain of our insurance policies may allow for coverage of associated damages resulting from such events. If we were to incur a significant liability for which we were not fully insured, or if we incurred costs in excess of reserves established for uninsured or self-insured risks, it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and our customers’ operations are subject to various risks arising out of the threat of climate change.</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and our customers’ operations are subject to a number of risks arising out of the threat of climate change, including the adoption of energy conservation measures, initiatives that stimulate demand for alternative forms of energy or limit production of petroleum products, or technological advances in fuel economy and energy generation devices. Any of these could result in increased operating costs, limits on the areas in which oil and natural gas production may occur, and reduced demand for our services or the products we handle. Government initiatives or technological advances may also create new competitive conditions that result in reduced demand for the products our customers produce and, in turn, the services we provide. The potential impact of changing demand for crude oil and natural gas services and products may have a material adverse effect on our business, financial condition, results of operations and cash flows. Additionally, the threat of climate change may negatively impact our business if it results in us restricting, delaying or canceling development activities and new projects.</w:t>
      </w:r>
    </w:p>
    <w:p>
      <w:pPr>
        <w:spacing w:after="0" w:line="2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litigation risks related to climate change as investors, landowners, government agencies and other plaintiffs may target companies in the petroleum industry with lawsuits seeking damages allegedly caused by climate change. Should Plains be targeted by any such litigation, we may incur liability, which, to the extent that societal pressures or political or other factors are involved, could be imposed without regard to causation or contribution to the asserted damage, or to other mitigating factors. Involvement in such a case could have adverse reputational impacts and an unfavorable ruling in any such case could adversely impact our operations and financial condition.</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Climate changes that have significant physical effects, such as increased frequency and severity of storms, droughts, floods and other climatic events, as well as shifts in temperature and precipitation patterns have the potential to cause physical damage to our assets or disrupt our supply chains and thus could have an adverse effect on our operations. Our ability to manage the adverse impacts of these events depends in part on the effectiveness our disaster preparedness and response and business continuity planning, which may not have considered or be prepared for every eventuality.</w:t>
      </w:r>
    </w:p>
    <w:p>
      <w:pPr>
        <w:spacing w:after="0" w:line="207"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The full impact of climate change on our business, as well as the businesses of our customers and suppliers is unknown. Any of factors discussed above, or any other unanticipated developments, could have a material adverse effect on our business, results of operations and financial condition.</w:t>
      </w:r>
    </w:p>
    <w:p>
      <w:pPr>
        <w:spacing w:after="0" w:line="16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opposition from various groups to the development or operation of our pipelines and facilities and our business may be subject to societal and political pressures.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may face opposition to the development or operation of our pipelines and facilities from environmental groups, landowners, indigenous groups,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partners and, accordingly, adversely affect our financial condition and the market price of our securities.</w:t>
      </w:r>
    </w:p>
    <w:p>
      <w:pPr>
        <w:spacing w:after="0" w:line="21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plans are based upon the assumption that societal sentiment and applicable laws and regulations will continue to allow and enable the future development, transportation and use of hydrocarbon-based fuels. Policy decisions relating to the production, refining, transportation and marketing of hydrocarbon-based fuels are subject to political pressures, the negative portrayal of the industry in which we operate by the media and others, and the influence and protests of environmental and other special interest groups. Such negative sentiment regarding the hydrocarbon energy industry could influence consumer preferences and government or regulatory actions, which could, in turn,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Activists concerned about the potential effects of climate change have directed their attention towards sources of funding for hydrocarbon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ongoing operations, and consequently could both indirectly affect demand for our services and directly affect our ability to fund construction or other capital projects and our ongoing operations.</w:t>
      </w:r>
    </w:p>
    <w:p>
      <w:pPr>
        <w:spacing w:after="0" w:line="2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scrutiny by financial stakeholders with respect to the perceived social and environmental cost of our industry and our governance structure, which may adversely impact our ability to raise capital from such investors.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financial stakeholders, including certain institutional investors such as public pension funds and banks, have placed importance on the implications and social cost of sustainability matters. Sustainability factors play an important role in the investment decisions made by certain investors and banks, and companies involved in certain industries or with certain governance structures, such as master limited partnerships, are receiving increased scrutiny.</w:t>
      </w:r>
    </w:p>
    <w:p>
      <w:pPr>
        <w:spacing w:after="0" w:line="207"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Financial stakeholders’ focus and activism related to sustainability and similar matters could constrain our ability to raise capital. Any material limitations on our ability to access capital as a result of such scrutiny could limit our ability to</w:t>
      </w:r>
    </w:p>
    <w:p>
      <w:pPr>
        <w:ind w:right="180"/>
        <w:spacing w:after="0" w:line="253" w:lineRule="auto"/>
        <w:rPr>
          <w:sz w:val="20"/>
          <w:szCs w:val="20"/>
          <w:color w:val="auto"/>
        </w:rPr>
      </w:pPr>
      <w:r>
        <w:rPr>
          <w:rFonts w:ascii="Times New Roman" w:cs="Times New Roman" w:eastAsia="Times New Roman" w:hAnsi="Times New Roman"/>
          <w:sz w:val="18"/>
          <w:szCs w:val="18"/>
          <w:color w:val="auto"/>
        </w:rPr>
        <w:t>obtain future financing on favorable terms, or at all, or could result in increased financing costs in the future. Similarly, such activism could negatively impact our unit price or the price of our debt, limiting our ability to raise capital through equity issuances or debt financing, or could negatively affect our ability to engage in, expand or pursue our business activities, and could also prevent us from engaging in certain transactions that might otherwise be considered beneficial to us.</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receive attention from stakeholders related to their sustainability practices. Businesses that do not adapt to or comply with investor or stakeholder expectations and standards, which are continuing to evolve, or businesses that are perceived to have not responded appropriately to concerns related to sustainability matters, regardless of whether there is a legal requirement to do so, may suffer reputational damage and the business, financial condition, and/or equity value of such business entity could be materially and adversely affected. A focus on climate change, societal expectations on companies to address climate change, investor expectations regarding voluntary sustainability-related disclosures, increasing mandatory sustainability disclosures, and consumer demand for alternative forms of energy may result in increased costs, reduced demand for our services or the products we handle, reduced profits, increased legislative and judicial scrutiny, investigations and litigation, reputational damage, and negative impacts on our access to capital markets. We could also be subject to additional governmental investigations, private litigation, or activist campaigns as unitholders may attempt to effect changes to our business or governance practices.</w:t>
      </w:r>
    </w:p>
    <w:p>
      <w:pPr>
        <w:spacing w:after="0" w:line="21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crude oil and NGL merchant activities are influenced by the overall forward market for crude oil and NGL, and certain market structures, the absence of pricing volatility and other market factors may adversely impact our results.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profitability of our crude oil and NGL merchant activities are dependent on a variety of factors affecting the markets for crude oil and NGL, including regional and international supply and demand imbalances, takeaway availability and constraints, transportation costs and the overall forward market for crude oil and NGL products. Periods when differentials are wide or when there is volatility in the forward market structure are generally more favorable for our merchant activities. During periods where midstream infrastructure is over-built and/or there is a lack of volatility in the pricing structure, our results may be negatively impacted. Depending on the overall duration of these transition periods, how we have allocated our assets to particular strategies and the tenor of our crude oil purchase and sale contracts and storage agreements, these periods may have either an adverse or beneficial effect on the profitability of our merchant activities. In the past, the results of such activities have varied significantly based on market conditions and these activities may continue to experience highly variable results as a result of future changes to the markets for crude oil and NGL.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divestitures involve risks that may adversely affect our business.</w:t>
      </w:r>
    </w:p>
    <w:p>
      <w:pPr>
        <w:spacing w:after="0" w:line="25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ability to execute our financial strategy is in part dependent on our ability to complete strategic transactions, including acquisitions, divestitures or sales of interests to strategic partners. If we are unable to successfully complete, integrate or realize the anticipated benefits of our recent or future acquisitions or planned divestitures (due to reduced investment in the energy sector, governmental action, litigation, counterparty non-performance or other factors), including our Canadian NGL Business divestiture, it may be more difficult for us to implement our business strategies, maintain our desired leverage levels, increase returns to equity holders or otherwise accomplish our financial goals. In addition, in connection with our divestitures, we may agree to retain responsibility for certain liabilities that relate to our period of ownership, which could adversely impact our future financial performance.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Acquisitions also involve potential risks, including:</w:t>
      </w:r>
    </w:p>
    <w:p>
      <w:pPr>
        <w:spacing w:after="0" w:line="252"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from the acquired businesses or assets that is below the forecasts we used in evaluating the acquisition;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our indebtedness and working capital requirements;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timely and effectively integrate the operations of recently acquired businesses or assets;</w:t>
      </w:r>
    </w:p>
    <w:p>
      <w:pPr>
        <w:spacing w:after="0" w:line="117"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unforeseen environmental and other liabilities arising out of the acquired businesses or assets for which we are either not fully insured or indemnified, including liabilities arising from the operation of the acquired businesses or assets prior to our acquisition;</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lines of business that are distinct and separate from our historical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key employee loss from the acquired businesses;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other business concerns.</w:t>
      </w:r>
    </w:p>
    <w:p>
      <w:pPr>
        <w:spacing w:after="0" w:line="25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could adversely affect our ability to achieve anticipated levels of cash flows or other benefits from our acquisitions, pay distributions to our partners or meet our debt service requirements.</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Joint ventures, joint ownership arrangements and other capital projects pose unique challenges and we may not be able to fully implement or realize synergies, expected returns or other anticipated benefits associated with such projects.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involved in many strategic joint ventures and other joint ownership arrangements. We may not always be in complete alignment with our joint venture or joint owner counterparties; we may have differing strategic or commercial objectives and may be outvoted by our joint venture partners or we may disagree on governance matters with respect to the joint venture entity or the jointly owned assets. When we enter into joint ventures or joint ownership arrangements we may be subject to the risk that our counterparties do not fund their obligations. In some joint ventures and joint ownership arrangements we may not be responsible for construction or operation of such projects and will rely on our joint venture or joint owner counterparties for such services. Joint ventures and joint ownership arrangements may also require us to expend additional internal resources that could otherwise be directed to other projects. If we are unable to successfully execute and manage our existing and proposed joint venture and joint owner projects, it could adversely impact our financial and operating results.</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currently participate in a number of projects with various counterparties, and may continue to pursue new capital projects in the future. These projects can involve the expansion, modification, divestiture or combination of existing assets or the construction of new midstream energy infrastructure assets and involve numerous regulatory, environmental, commercial, economic, weather-related, political and legal uncertainties that are beyond our control, including the following:</w:t>
      </w:r>
    </w:p>
    <w:p>
      <w:pPr>
        <w:spacing w:after="0" w:line="207" w:lineRule="exact"/>
        <w:rPr>
          <w:sz w:val="20"/>
          <w:szCs w:val="20"/>
          <w:color w:val="auto"/>
        </w:rPr>
      </w:pPr>
    </w:p>
    <w:p>
      <w:pPr>
        <w:ind w:left="980" w:right="32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realize our forecasted commercial, operational or administrative synergies in connection with our joint ventures and joint ownership arrangements, including the Permian JV;</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other joint ownership arrangements may demand substantial internal resources and may divert resources and attention from other areas of our business;</w:t>
      </w:r>
    </w:p>
    <w:p>
      <w:pPr>
        <w:spacing w:after="0" w:line="53" w:lineRule="exact"/>
        <w:rPr>
          <w:rFonts w:ascii="Times New Roman" w:cs="Times New Roman" w:eastAsia="Times New Roman" w:hAnsi="Times New Roman"/>
          <w:sz w:val="18"/>
          <w:szCs w:val="18"/>
          <w:color w:val="auto"/>
        </w:rPr>
      </w:pPr>
    </w:p>
    <w:p>
      <w:pPr>
        <w:ind w:left="980" w:right="900" w:hanging="324"/>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construct pipelines, facilities or other assets in anticipation of market demand that dissipates or market growth that never materializes;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left="980" w:right="8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 fact that we will expend significant amounts of capital during the construction phase of growth or expansion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67"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opposition to our planned projects from environmental groups, landowners, local groups and other advocates, including lawsuits or other actions designed to disrupt or delay our planned projects;</w:t>
      </w:r>
    </w:p>
    <w:p>
      <w:pPr>
        <w:spacing w:after="0" w:line="53" w:lineRule="exact"/>
        <w:rPr>
          <w:rFonts w:ascii="Times New Roman" w:cs="Times New Roman" w:eastAsia="Times New Roman" w:hAnsi="Times New Roman"/>
          <w:sz w:val="18"/>
          <w:szCs w:val="18"/>
          <w:color w:val="auto"/>
        </w:rPr>
      </w:pPr>
    </w:p>
    <w:p>
      <w:pPr>
        <w:ind w:left="980" w:right="40" w:hanging="324"/>
        <w:spacing w:after="0" w:line="312" w:lineRule="auto"/>
        <w:tabs>
          <w:tab w:leader="none" w:pos="9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obtain, or we may be significantly delayed in obtaining, all of the rights of way or other real property interests we need to complete such projects, or the costs we incur in order to obtain such rights of way or other interests may be greater than we anticipated;</w:t>
      </w:r>
    </w:p>
    <w:p>
      <w:pPr>
        <w:spacing w:after="0" w:line="31" w:lineRule="exact"/>
        <w:rPr>
          <w:rFonts w:ascii="Times New Roman" w:cs="Times New Roman" w:eastAsia="Times New Roman" w:hAnsi="Times New Roman"/>
          <w:sz w:val="17"/>
          <w:szCs w:val="17"/>
          <w:color w:val="auto"/>
        </w:rPr>
      </w:pPr>
    </w:p>
    <w:p>
      <w:pPr>
        <w:ind w:left="980" w:hanging="324"/>
        <w:spacing w:after="0" w:line="261"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we budgeted and the time it takes to complete construction of these projects and place them into commercial service could be significantly longer than planned; and</w:t>
      </w:r>
    </w:p>
    <w:p>
      <w:pPr>
        <w:spacing w:after="0" w:line="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or success of our projects may depend on the completion or success of third-party facilities over which we have no control.</w:t>
      </w:r>
    </w:p>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uncertainties, the anticipated benefits associated with our joint ventures, joint ownership arrangements and other capital projects may not be achieved or could be delayed. In turn, this could negatively impact our cash flow and our ability to make or increase cash distributions to our partners.</w:t>
      </w:r>
    </w:p>
    <w:p>
      <w:pPr>
        <w:spacing w:after="0" w:line="19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new businesses in connection with our strategy to participate in emerging energy opportunities. If we are unable to execute on this strategy or operate these new lines of business effectively, our future growth could be limited. These new lines of business may never develop or may present risks that we cannot effectively manage.</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part of our strategy, we intend to evaluate the potential to repurpose certain under-utilized assets for an alternative use in emerging energy opportunities. This may involve entering into new lines of businesses, which present different challenges and risks. We may be unable to execute on our business plans, demand for these new services may not develop on a large or economic scale, or we may fail to operate these businesses effectively. In addition, we may not be able to compete with companies who also plan to enter into these new lines of business, and who may be larger than us and may have greater financial resources to devote to these businesses. These new businesses may also present novel issues in law, taxation, safety or environmental policy, and other areas that we may not be able to manage effectively. Management’s assessment of the risks in these new lines of business may be inexact and not identify or resolve all the problems that we would face. If we are not able to enter into these new lines of business effectively or at all, it could limit our future growth if such emerging energy businesses grow and become a more important part of the energy industry.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the credit risk of our customers and other counterparties we transact with in the ordinary course of our business activities.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Risks of nonpayment and nonperformance by customers or other counterparties are a significant consideration in our business. Although we have credit risk management policies and procedures that are designed to mitigate and limit our exposure in this area, there can be no assurance that we have adequately assessed and managed the creditworthiness of our existing or future counterparties or that there will not be an unanticipated deterioration in their creditworthiness or unexpected instances of nonpayment or nonperformance, all of which could have an adverse impact on our cash flow and our ability to pay or increase our cash distributions to our partners.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have a number of minimum volume commitment contracts that support our pipelines. In addition, certain of the pipelines in which we own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 revenue associated with such deficiency payment may not be recognized until the applicable transportation credit has expired or has been used. Deferred revenue associated with movements by shippers of volumes that are less than minimum volume commitments could be significant and could adversely affect our profitability and earnings.</w:t>
      </w:r>
    </w:p>
    <w:p>
      <w:pPr>
        <w:spacing w:after="0" w:line="21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in those cases in which we provide division order services for crude oil purchased at the wellhead, we may be responsible for distribution of proceeds to all parties. In other cases, we pay all of or a portion of the production proceeds to an operator who distributes these proceeds to the various interest owners. These arrangements expose us to operator credit risk, and there can be no assurance that we will not experience losses in dealings with such operators and other parties.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 to the extent one or more of our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our revenue and cash flows and our ability to make cash distributions to our unitholders.</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231F20"/>
        </w:rPr>
        <w:t>We have also undertaken numerous projects that require cooperation with and performance by joint venture co-owners. In addition, in connection with various acquisition, divestiture, joint venture and other transactions, we often receive indemnifications from various parties for certain risks or liabilities. Nonperformance by any of these parties could result in increased costs or other adverse consequences that could decrease our earnings and returns.</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231F20"/>
        </w:rPr>
        <w:t>We also rely to a significant degree on the banks that lend to us under our revolving credit facility for financial liquidity, and any failure of those banks to perform their obligations to us could significantly impair our liquidity. Furthermore, nonpayment by the counterparties to our interest rate and/or commodity derivatives could expose us to additional interest rate and/or commodity price risk.</w:t>
      </w:r>
    </w:p>
    <w:p>
      <w:pPr>
        <w:spacing w:after="0" w:line="19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Tightened capital markets or other factors that increase our cost of capital or otherwise limit our access to capital could impair our ability to achieve our strategic objectives.</w:t>
      </w:r>
    </w:p>
    <w:p>
      <w:pPr>
        <w:spacing w:after="0" w:line="18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Any limitations on our access to capital or increase in the cost of that capital could significantly impair the implementation of our strategy. Our inability to maintain our targeted credit profile, including maintaining our credit ratings, could adversely affect our cost of capital as well as our ability to execute our strategy. In addition, 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21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Due to these factors, we cannot be certain that funding for our capital needs will be available from bank credit arrangements, capital markets or other sources on acceptable terms. If funding is not available when needed, or is available only on unfavorable terms, we may be unable to implement our development plans, enhance our existing business, complete strategic projects and transactions, take advantage of business opportunities or respond to competitive pressures, any of which could have a material adverse effect on our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policies cannot eliminate all risks and the insufficiency of, or non-compliance with our risk policies could result in significant financial losses.</w:t>
      </w:r>
    </w:p>
    <w:p>
      <w:pPr>
        <w:spacing w:after="0" w:line="25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Generally, it is our policy to establish a margin for crude oil or other products we purchase by selling such products for physical delivery to third-party users, or by entering into futures or derivative contracts that require future delivery or financial settlement, as applicable. Through these transactions, we seek to maintain a position that is substantially balanced between purchases on the one hand, and sales or future delivery obligations on the other hand. Our policy is not to acquire and hold physical inventory or derivative products for the purpose of speculating on commodity price changes. These policies and practices cannot, however, eliminate all risks. For example, any event that disrupts our anticipated physical supply of crude oil or other products could expose us to risk of loss resulting from price changes. We are also exposed to basis risk when crude oil or other products are purchased against one pricing index or benchmark and sold against a different index or benchmark. We may also face disruptions to futures markets for crude oil, NGL and other petroleum products, which may impair our ability to execute our commercial or hedging strategies. Margin requirements due to spikes or crashes in commodity prices may require us to exit hedge strategies at inopportune times. We are also exposed to some risks that are not hedged, including risks on certain of our inventory, such as linefill, which must be maintained in order to transport crude oil on our pipelines. In an effort to maintain a balanced position, specifically authorized personnel can purchase or sell crude oil and NGL, up to predefined limits and authorizations. Although this activity is monitored independently by our risk management function, it exposes us to commodity price risks within these limits.</w:t>
      </w:r>
    </w:p>
    <w:p>
      <w:pPr>
        <w:spacing w:after="0" w:line="21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have taken steps within our organization to implement processes and procedures designed to detect unauthorized trading and non-compliance with our risk policies; however, we can provide no assurance that these steps will detect and prevent all violations of our risk policies and procedures, particularly if deception, collusion or other intentional misconduct is involved.</w:t>
      </w:r>
    </w:p>
    <w:p>
      <w:pPr>
        <w:spacing w:after="0" w:line="19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fully cover our losses and we may in the future encounter increased costs related to, and lack of availability of, insurance.</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While we maintain insurance coverage at levels that we believe to be reasonable and prudent, we can provide no assurance that our current levels of insurance will be sufficient to cover any losses that we have incurred or may incur in the future, whether due to deductibles, coverage challenges or other limitations. In addition, over the last several years, as the scale and scope of our business activities has expanded, the breadth and depth of available insurance markets has contracted. As a result of these factors and other market conditions, as well as the fact that we have experienced several incidents in the past, premiums and deductibles for certain insurance policies have increased substantially. Accordingly, we can give no assurance that we will be able to maintain adequate insurance in the future at rates or on other terms we consider commercially reasonable. In addition, although we believe that we currently maintain adequate insurance coverage, insurance will not cover many types of interruptions or losses that might occur and will not cover all risks associated with our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or denial of, the payment of a major insurance claim, could materially and adversely affect our financial position, results of operations and cash flows.</w:t>
      </w:r>
    </w:p>
    <w:p>
      <w:pPr>
        <w:spacing w:after="0" w:line="21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Trade tariffs, duties, quotas, inflation, supply disruptions or other factors affecting the commodities and materials we use in our business could have a material and adverse impact on our results of operations, financial condition and cash flows.</w:t>
      </w:r>
    </w:p>
    <w:p>
      <w:pPr>
        <w:spacing w:after="0" w:line="186"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Many of the commodities and materials we use in our business are imported and exported. We export crude oil and NGL from Canada into U.S. markets. To the extent these products become subject to import tariffs in the U.S., it could expose us to costs that we cannot recover from our customers. Existing and future trade tariffs, import duties and quotas could also materially increase our costs of procuring the commodities and materials we use and disrupt the markets for the products we handle, which in turn could have a material adverse effect on our financial position, results of operations and cash flows.</w:t>
      </w:r>
    </w:p>
    <w:p>
      <w:pPr>
        <w:spacing w:after="0" w:line="21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business requires access to steel and other materials to construct and maintain new and existing pipelines and facilities. If we experience a shortage in the supply of these materials or are unable to source sufficient quantities of high quality materials at acceptable prices and in a timely manner, it could materially and adversely affect our ability to construct new infrastructure and maintain our existing assets.</w:t>
      </w:r>
    </w:p>
    <w:p>
      <w:pPr>
        <w:spacing w:after="0" w:line="20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business also depends on having access to significant amounts of electricity and other commodities. If we are unable to obtain commodities sufficient to operate and maintain our assets, or only able to do so at commercially unreasonable prices, it could materially and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Supply chain disruptions and inflation of prices for commodities, materials, products and shipping may make it more challenging to obtain sufficient quantities of high quality materials at acceptable prices and in a timely manner. If we are unable to source such materials, it could materially and adversely affect our ability to construct new infrastructure and operate and maintain our existing assets.</w:t>
      </w:r>
    </w:p>
    <w:p>
      <w:pPr>
        <w:spacing w:after="0" w:line="1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financial condition, cash flows and unit price can be adversely affected by pandemics, epidemics or other public health events.</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business, results of operations, financial condition, cash flows and unit price can be adversely affected by pandemics, epidemics or other public health events. Such events may cause widespread economic disruption and result in material reductions in demand for crude oil, NGL and other petroleum products, which in turn may result in significant declines in the volume of crude oil and NGL shipped, processed, purchased, stored, fractionated and/or gathered at or through the use of many of our assets. The effects of a public health event depend on a wide variety of factors that are outside of our control, including the clinical severity and transmissibility of the virus or pathogen; the development, deployment, adoption and effectiveness of treatments and vaccines; the capacity of healthcare systems and public health infrastructure; and the response of public health authorities, governments and individuals in areas impacted by such event.</w:t>
      </w:r>
    </w:p>
    <w:p>
      <w:pPr>
        <w:spacing w:after="0" w:line="2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investment grade credit rating or the ability to receive open credit could negatively affect our borrowing costs, ability to purchase crude oil, NGL and natural gas supplies or to capitalize on market opportunities.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dependent on our ability to maintain an attractive credit rating and continue to receive open credit from our suppliers and trade counterparties. Our senior unsecured debt is currently rated as “investment grade” by Standard &amp; Poor’s, Moody’s Investors Service and Fitch Ratings Inc. A downgrade by such agencies to a level below investment grade could increase our borrowing costs, reduce our borrowing capacity and cause our counterparties to reduce the amount of open credit we receive from them. This could negatively impact our ability to capitalize on market opportunities. For example, our ability to utilize our crude oil storage capacity for merchant activities to capture contango market opportunities is dependent upon having adequate credit facilities, both in terms of the total amount of credit facilities and the cost of such credit facilities, which enables us to finance the storage of the crude oil from the time we complete the purchase of the crude oil until the time we complete the sale of the crude oil. Accordingly, loss of our investment grade credit ratings could adversely impact our cash flows, our ability to make distributions and the value of our outstanding equity and debt securities.</w:t>
      </w:r>
    </w:p>
    <w:p>
      <w:pPr>
        <w:spacing w:after="0" w:line="211"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our indebtedness may limit our ability to borrow additional funds or capitalize on business opportunities. In addition, our current or future debt levels, or inability to borrow additional funds or capitalize on business opportunities, may limit our future financial and operating flexibility.</w:t>
      </w:r>
    </w:p>
    <w:p>
      <w:pPr>
        <w:spacing w:after="0" w:line="20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the face value of our consolidated debt outstanding was approximately $11.3 billion (excluding net unamortized discounts and debt issuance costs of approximately $66 million), consisting of approximately $10.8 billion face value of long-term debt (including senior notes, term loan, commercial paper and finance lease obligations) and approximately $0.6 billion of short-term borrowings. As of December 31, 2025, we had over $2.0 billion of liquidity available, including cash and cash equivalents and available borrowing capacity under our senior unsecured revolving credit facility and our senior secured hedged inventory facility, subject to continued covenant compliance. Lower Adjusted EBITDA could increase our leverage ratios and effectively reduce our ability to incur additional indebtedness.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of our current or future indebtedness could have significant effects on our operations, including, among other things:</w:t>
      </w:r>
    </w:p>
    <w:p>
      <w:pPr>
        <w:spacing w:after="0" w:line="252" w:lineRule="exact"/>
        <w:rPr>
          <w:sz w:val="20"/>
          <w:szCs w:val="20"/>
          <w:color w:val="auto"/>
        </w:rPr>
      </w:pPr>
    </w:p>
    <w:p>
      <w:pPr>
        <w:ind w:left="980" w:right="1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 will be dedicated to the payment of principal and interest on our indebtedness and may not be available for other purposes, including the payment of distributions on our units and capital expenditures;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 agencies may view our debt level negatively;</w:t>
      </w:r>
    </w:p>
    <w:p>
      <w:pPr>
        <w:spacing w:after="0" w:line="117"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contained in our existing debt arrangements will require us to continue to meet financial tests that may adversely affect our flexibility to plan for and react to changes in our business;</w:t>
      </w:r>
    </w:p>
    <w:p>
      <w:pPr>
        <w:spacing w:after="0" w:line="53"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acquisitions and general partnership purposes may be limited;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at a competitive disadvantage relative to similar companies that have less debt;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adverse economic and industry conditions as a result of our significant debt level.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credit agreements prohibit distributions on, or purchases or redemptions of, units if any default or event of default is continuing. In addition, the agreements contain various covenants limiting our ability to, among other things, incur indebtedness if certain financial ratios are not maintained, grant liens, engage in transactions with affiliates, enter into sale-leaseback transactions, and sell substantially all of our assets or enter into a merger or consolidation. Our credit facilities treat a change of control as an event of default and also requires us to maintain a certain debt coverage ratio. Our senior notes do not restrict distributions to unitholders, but a default under our credit agreements will be treated as a default under the senior notes. Please read Item 7. “Management’s Discussion and Analysis of Financial Condition and Results of Operations—Liquidity and Capital Resources—Credit Agreements, Commercial Paper Program, Term Loan and Indentures.”</w:t>
      </w:r>
    </w:p>
    <w:p>
      <w:pPr>
        <w:spacing w:after="0" w:line="21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ability to access capital markets to raise capital on favorable terms will be affected by our debt level, our operating and financial performance, the amount of our current maturities and debt maturing in the next several years, and by prevailing market conditions. In addition, if the rating agencies were to downgrade our credit ratings, then we could experience an increase in our borrowing costs, face difficulty accessing capital markets or incurring additional indebtedness, be unable to receive open credit from our suppliers and trade counterparties, be unable to benefit from swings in market prices and shifts in market structure during periods of volatility in the crude oil market or suffer a reduction in the market price of our common units. If we are unable to access the capital markets on favorable terms at the time a debt obligation becomes due in the future, we might be forced to refinance some of our debt obligations through more expensive and restrictive bank credit, as opposed to long-term public debt securities or equity securities, or the sale of assets. The price and terms upon which we might receive such extensions or additional bank credit, if at all, could be more onerous than those contained in existing debt agreements. Any such arrangements could, in turn, increase the risk that our leverage may adversely affect our future financial and operating flexibility and thereby impact our ability to execute our capital allocation strategies and priorities.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our business and the trading price of our units.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the face value of our consolidated debt was approximately $11.3 billion (excluding net unamortized discounts and debt issuance costs of approximately $66 million), substantially all of which was at fixed interest rates. Significant increases in interest rates above current levels could adversely affect our results of operations, cash flows and financial position due to, among other things:</w:t>
      </w:r>
    </w:p>
    <w:p>
      <w:pPr>
        <w:spacing w:after="0" w:line="203" w:lineRule="exact"/>
        <w:rPr>
          <w:sz w:val="20"/>
          <w:szCs w:val="20"/>
          <w:color w:val="auto"/>
        </w:rPr>
      </w:pPr>
    </w:p>
    <w:p>
      <w:pPr>
        <w:ind w:left="980" w:right="42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market risk due to the short-term nature of our commercial paper borrowings and the floating interest rates on our credit facilities;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refinancing of our indebtedness at rates higher than historical amounts;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costs associated with the storage of hedged crude oil and NGL inventory in our merchant activities; and</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payable on our Series B preferred units, which accumulate for each distribution period at a percentage of the liquidation preference equal to the applicable three-month Secured Overnight Financing Rate (SOFR), plus a credit spread adjustment of 0.26161%, plus 4.11% per annum.</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Further, the trading price of our common units may be sensitive to changes in interest rates and any rise in interest rates could adversely impact such trading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currency exchange rates could adversely affect our operating results.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Because we are a U.S. dollar reporting company and also conduct operations in Canada, we are exposed to currency fluctuations and exchange rate risks that may adversely affect the U.S. dollar value of our earnings, cash flow and partners’ capital under applicable accounting rules. For example, if the U.S. dollar appreciates against the Canadian dollar, the U.S. dollar value of our Canadian dollar denominated earnings is reduced for U.S. reporting purposes.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the retention and recruitment of a skilled workforce, and difficulties retaining and recruiting our workforce could result in a failure to implement our business plans.</w:t>
      </w:r>
    </w:p>
    <w:p>
      <w:pPr>
        <w:spacing w:after="0" w:line="18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management require the retention and recruitment of a skilled workforce, including engineers, technical personnel and other professionals. We and our affiliates compete with other companies both within and outside the energy industry for this skilled workforce, and other employers may be able to offer potential employees higher salaries, more attractive benefits or work arrangements or opportunities to work in industries with greater perceived status or growth potential. If we are unable to (i) retain current employees; and/or (ii) recruit new employees of comparable knowledge and experience, our business could be negatively impacted. In addition, we could experience increased costs to retain current employees and recruit new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impairment of long-term assets could reduce our earnings.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At December 31, 2025, we had approximately $16.9 billion of net property and equipment, $900 million of linefill, $2.8 billion of investments accounted for under the equity method of accounting and approximately $1.8 billion of net intangible assets capitalized on our balance sheet. GAAP requires an assessment for impairment in certain circumstances, including when there is an indication that the carrying value of property and equipment may not be recoverable. If we were to determine that any of our property and equipment, linefill, intangibles or equity method investments was impaired, we could be required to take an immediate charge to earnings, which could adversely impact our operating results, with a corresponding reduction of partners’ capital and increase in balance sheet leverage as measured by debt-to-total capitalization. See Item 7. “Management’s Discussion and Analysis of Financial Condition and Results of Operations—Critical Accounting Policies and Estimates” for additional discussion of our accounting policies and use of estimates associated with impairments.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use or availability of third-party assets for certain of our operations.</w:t>
      </w:r>
    </w:p>
    <w:p>
      <w:pPr>
        <w:spacing w:after="0" w:line="25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of our business activities require the use or availability of third-party assets over which we may have little or no control. If at any time the availability of these assets is limited or denied, and if access to alternative assets cannot be arranged, it could have an adverse effect on our business, results of operations and cash flow.</w:t>
      </w:r>
    </w:p>
    <w:p>
      <w:pPr>
        <w:spacing w:after="0" w:line="19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under-utilization of certain assets could significantly reduce our profitability due to fixed costs incurred to obtain the right to use such assets.</w:t>
      </w:r>
    </w:p>
    <w:p>
      <w:pPr>
        <w:spacing w:after="0" w:line="18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in connection with our business, we may lease or otherwise secure the right to use certain assets (such as railcars, trucks, barges, ships, pipeline capacity, storage capacity and other similar assets) with the expectation that the revenues we generate through the use of such assets will be greater than the fixed costs we incur pursuant to the applicable leases or other arrangements. However, when such assets are not utilized or are under-utilized, our profitability could be negatively impacted because the revenues we earn are either non-existent or reduced, but we remain obligated to continue paying any applicable fixed charges, in addition to the potential of incurring other costs attributable to the non-utilization of such assets (such as maintenance, storage or other costs). Significant under-utilization of assets we lease or otherwise secure the right to use in connection with our business could have a significant negative impact on our profitability and cash flows.</w:t>
      </w:r>
    </w:p>
    <w:p>
      <w:pPr>
        <w:spacing w:after="0" w:line="2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assets have been in service for many years and require significant expenditures to maintain them or remove them from service. As a result, our maintenance, repair or asset retirement costs may increase in the future.</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pipelines, terminals, storage and processing and fractionation assets are generally long-lived assets, and many of them have been in service for many years. The age and condition of our assets could result in increased maintenance, repair or asset retirement expenditures in the future. Any significant increase in these expenditures could adversely affect our results of operations, financial position or cash flows, as well as our ability to make cash distributions to our unitholders.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own all of the land on which our pipelines and facilities are located, which could result in disruptions to our operations.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do not own all of the land on which our pipelines and facilities have been constructed, and therefore are potentially subject to more onerous terms and/or increased costs to retain necessary land use if we do not have valid rights-of-way or if such rights-of-way lapse or terminate. In some instances, we obtain the rights to construct and operate our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Native American landowner bars condemnation of any interest in the allotment. Consequently, the inability to condemn such allotted lands under circumstances where existing pipeline rights-of-way may soon lapse or terminate serves as an additional potential impediment for pipeline operations. Additionally, parts of our operations cross land that has historically been apportioned to various Native American/First Nations tribes, who may exercise significant jurisdiction and sovereignty over their lands. For more information, see our regulatory disclosure entitled “Indigenous Protections.” We cannot guarantee that we will always be able to renew existing rights-of-way or obtain new rights-of-way on favorable terms without experiencing significant delays and costs. Any loss of rights with respect to real property, through our inability to renew right-of-way contracts or otherwise, could have a material adverse effect on our business, results of operations, and financial position.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pace of development of natural gas infrastructure could have an adverse impact on expected crude oil production growth in the Permian Basin.</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certain areas where we operate (e.g., the Permian Basin), development of natural gas infrastructure is or may be required to increase accessible supply in order to meet projected demand. Slowdowns in the development of such natural gas infrastructure, whether due to the regulatory environment, permitting process delays or lower financial investment by producers, could have an adverse impact on expected crude oil production growth. In turn, such limitations could lead to lower volumes of crude oil we purchase in connection with our operations and reduced throughput on our pipelines and at our other facilities, which, depending on the impact to production growth, could have a material adverse effect on our financial position,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5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laws and regulations relating to protection of the environment (people, property and natural resources), operational safety, climate change and related matters that may expose us to significant costs and liabilities. The current laws and regulations affecting our business are subject to change and in the future we may be subject to additional laws, executive orders and regulations, which could adversely impact our business.</w:t>
      </w:r>
    </w:p>
    <w:p>
      <w:pPr>
        <w:spacing w:after="0" w:line="20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operations involving the storage, treatment, processing, and transportation of liquid hydrocarbons, including crude oil, NGL and natural gas, are subject to stringent federal, state, and local laws and regulations governing the discharge of materials into the environment. Our operations are also subject to laws and regulations relating to protection of the environment, natural resources, operational safety, climate change and related matters. Compliance with these laws and regulations may increase our overall cost of doing business, including our capital costs to construct, maintain and upgrade equipment and facilities. Also, new or additional laws and regulations, new interpretations of existing requirements or changes in our operations could trigger new permitting requirements applicable to our operations, which could result in increased costs or delays of, or denial of rights to conduct, our development programs. The failure to comply with any such laws and regulations could result in the assessment of administrative, civil, and criminal penalties, the imposition of investigatory or remedial obligations or the incurrence of capital expenditures, the costs of which may be substantial. Any such failure could also result in the imposition of restrictions, delays or cancellations in the permitting or performance of projects, or the issuance of injunctions that may subject us to additional operational requirements and constraints, or claims of damages to property or persons. The laws and regulations applicable to our operations are subject to change and interpretation by the relevant governmental agency, including the possibility that exemptions we currently qualify for may be modified or changed in ways that require us to incur significant additional compliance costs. Our business and operations may also become subject to new or additional laws or regulations. For example, certain U.S. presidential administrations have pursued regulatory agendas focused on the emission of GHGs or other pollutants that could curtail oil and natural gas production and transportation. Potential examples include laws, rules, executive orders or regulations that limit fracturing of oil and natural gas wells, restrictions on flaring and venting during natural gas production on federal properties, limitations or bans on oil and gas leases on federal lands and offshore waters, increased requirements for construction and permitting of pipeline infrastructure and LNG export facilities, and further restrictions on GHG emissions from oil and gas facilities. Any new laws, executive orders or regulations, or changes to or interpretations of existing laws or regulations, adverse to us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have a history of increasing the miles of pipelines we own, both through acquisitions and investment capital projects. We have also increased our terminal and storage capacity and operate several facilities on or near navigable waters and domestic water supplies. Although we have implemented programs intended to maintain the integrity of our assets (discussed below), as we increase the capacity of our existing assets or acquire additional assets we are at risk for an increase in the number and/or volume of releases of liquid hydrocarbons into the environment. These releases expose us to potentially substantial expense, including clean-up and remediation costs, fines and penalties, and third-party claims for personal injury or property damage related to past or future releases. Some of these expenses could increase by amounts disproportionately higher than the relative increase in pipeline mileage and the increase in revenues associated therewith.</w:t>
      </w:r>
    </w:p>
    <w:p>
      <w:pPr>
        <w:spacing w:after="0" w:line="21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currently devote substantial resources to comply with DOT-mandated pipeline integrity rules. The DOT regulations include requirements for the establishment of pipeline integrity management programs and for protection of HCAs where a pipeline leak or rupture could produce significant adverse consequences. Pipeline safety regulations are revised frequently. For more information, please see our regulatory disclosure entitled “Pipeline Safety/Integrity Management.” The adoption of new regulations requiring more comprehensive or stringent safety standards could require us to install new or modified safety controls, pursue new capital projects, or conduct maintenance programs on an accelerated basis, all of which could require us to incur increased operational costs that could be significant.</w:t>
      </w:r>
    </w:p>
    <w:p>
      <w:pPr>
        <w:spacing w:after="0" w:line="21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Although we continue to focus on pipeline and facility integrity management as a primary operational emphasis, doing so requires substantial time and resources and cannot eliminate all risk of releases. We have an internal review process pursuant to which we examine various aspects of our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we may elect (as a result of our own internal initiatives) to spend substantial sums to enhance the integrity of and upgrade our pipeline systems to maintain environmental compliance and, in some cases, we may take pipelines out of service if we believe the cost of upgrades will exceed the value of the pipelines. We cannot provide any assurance as to the ultimate amount or timing of future pipeline integrity expenditures but any such expenditures could be significant. See “Environmental — General” in Note 19 to our Consolidated Financial Statements. In addition, despite our pipeline and facility integrity management efforts, we can provide no assurance that our pipelines and facilities will not experience leaks or releases or that we will be able to fully comply with all of the federal, state and local laws and regulations applicable to the operation of our pipelines or facilities; any such leaks or releases could be material and could have a significant adverse impact on our reputation, financial position, cash flows and ability to pay or increase distributions to our unitholders.</w:t>
      </w:r>
    </w:p>
    <w:p>
      <w:pPr>
        <w:spacing w:after="0" w:line="21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assets are subject to federal, state and provincial regulation. Rate regulation or a successful challenge to the rates we charge on our U.S. and Canadian pipeline systems may reduce the amount of cash we generate.</w:t>
      </w:r>
    </w:p>
    <w:p>
      <w:pPr>
        <w:spacing w:after="0" w:line="18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Our U.S. interstate common carrier liquids pipelines are subject to regulation by various federal regulatory agencies, including the FERC under the ICA. The ICA requires that tariff rates and terms and conditions of service for liquids pipelines be just and reasonable and not unduly discriminatory. We are also subject to the Pipeline Safety Regulations of the DOT. Our intrastate pipeline transportation activities are subject to various state laws and regulations as well as orders of state regulatory bodies.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our U.S. interstate common carrier liquids pipelines subject to FERC regulation under the ICA, shippers may protest our pipeline tariff filings or file complaints against our existing rates or complaints alleging that we are engaging in discriminatory behavior. The FERC can also investigate on its own initiative. Under certain circumstances, the FERC could limit our ability to set rates based on our costs, or could order us to reduce our rates and could require the payment of reparations to complaining shippers for up to two years prior to the complaint.</w:t>
      </w:r>
    </w:p>
    <w:p>
      <w:pPr>
        <w:spacing w:after="0" w:line="20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we routinely monitor the public filings and proceedings of other parties with the FERC and other regulatory agencies in an effort to identify issues that could potentially impact our business. Under certain circumstances we may choose to intervene in such third-party proceedings in order to express our support for, or our opposition to, various issues raised by the parties to such proceedings. For example, if we believe that a petition filed with, or order issued by, the FERC is improper, overbroad or otherwise flawed, we may attempt to intervene in such proceedings for the purpose of protesting such petition or order and requesting appropriate action such as a clarification, rehearing or other remedy. Despite such efforts, we can provide no assurance that the FERC and other agencies that regulate our business will not issue future orders or declarations that increase our costs or otherwise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us to change our rates, provide access to other shippers, or change our terms of service. A provincial authority could, on the application of a shipper or other interested party, investigate the tariff rates or our terms and conditions of service relating to our provincially-regulated proprietary pipelines. If it found our rates or terms of service to be contrary to statutory requirements, it could impose conditions it considers appropriate. A provincial authority could declare a pipeline to be a common carrier pipeline, and require us to change our rates, provide access to other shippers, or otherwise alter our terms of service. Any reduction in our tariff rates would result in lower revenue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operations cross the U.S./Canada border and are subject to cross-border regulation.</w:t>
      </w:r>
    </w:p>
    <w:p>
      <w:pPr>
        <w:spacing w:after="0" w:line="25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cross border activities subject us to regulatory matters, including import and export licenses, trade tariffs, Canadian and U.S. customs and tax issues and toxic substance certifications. Such regulations include the USMCA and the TSCA. Violations of these licensing, trade tariff and tax reporting requirements could result in the imposition of significant administrative, civil and criminal penalties. Furthermore, Presidential Permits that allow cross-border movements of crude oil may be revoked or terminated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purchases and sales of crude oil, natural gas and NGL, and hedging activities, expose us to potential regulatory risks.</w:t>
      </w:r>
    </w:p>
    <w:p>
      <w:pPr>
        <w:spacing w:after="0" w:line="25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FTC, the FERC and the CFTC hold statutory authority to monitor certain segments of the physical and futures energy commodities markets. These agencies have imposed broad regulations prohibiting fraud and manipulation of such markets. With regard to our physical purchases and sales of crude oil, natural gas or NGL and any related hedging activities that we undertake, we are required to observe the market-related regulations enforced by these agencies, which hold substantial enforcement authority. Our purchases and sales may also be subject to certain reporting and other requirements. Additionally, to the extent that we enter into transportation contracts with pipelines that are subject to FERC regulation, we are subject to FERC requirements related to the use of such capacity. Any failure on our part to comply with the regulations and policies of the FERC, the FTC or the CFTC could result in the imposition of civil and criminal penalties. Failure to comply with such regulations, as interpreted and enforced, could have a material adverse effect on our business, results of operations, financial condition and our ability to make cash distributions to our unitholders.</w:t>
      </w:r>
    </w:p>
    <w:p>
      <w:pPr>
        <w:spacing w:after="0" w:line="21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Existing or future derivatives legislation and regulations could have an adverse impact on our ability to use derivative instruments to reduce the effect of commodity price, interest rate and other risks associated with our business and increase the amount of working capital required to conduct these hedging activities.</w:t>
      </w:r>
    </w:p>
    <w:p>
      <w:pPr>
        <w:spacing w:after="0" w:line="20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established federal oversight and regulation of derivative markets and entities, such as us, that participate in those markets. The CFTC has promulgated implementing regulations with respect to the Dodd-Frank Act.</w:t>
      </w:r>
    </w:p>
    <w:p>
      <w:pPr>
        <w:spacing w:after="0" w:line="20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CFTC has designated certain interest rate swaps and credit default swaps for mandatory clearing, and the associated rules require us, in connection with covered derivative activities, to comply with clearing and trade-execution requirements or take steps to qualify for an exemption from such requirements. We do not utilize credit default swaps, and we qualify for, and expect to continue to qualify for, the end-user exception from the mandatory clearing requirements for swaps entered into to hedge our interest rate risks. Should the CFTC designate commodity derivatives for mandatory clearing, we would expect to qualify for an end-user exception from the mandatory clearing requirements for swaps entered into to hedge our commodity price risk. However, the majority of our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Certain banking regulators and the CFTC have adopted final rules establishing minimum margin requirements for uncleared swaps. Although we qualify for the end-user exception from margin requirements for swaps entered into to hedge commercial risks, if any of our swaps do not qualify for the commercial end-user exception, or if we are otherwise required to post additional cash margin or collateral, it could reduce our ability to execute hedges necessary to reduce commodity price exposures and protect cash flows. Posting of additional cash margin or collateral could affect our liquidity (defined as unrestricted cash on hand plus available capacity under our credit facilities) and reduce our ability to use cash for capital expenditures or other partnership purposes.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Even if we ourselves are not required to post additional cash margin or collateral for our derivative contracts, the banks and other derivatives dealers who are our contractual counterparties will be required to comply with other new requirements under the Dodd-Frank Act and related rules. The costs of such compliance may be passed on to customers such as ourselves, thus decreasing the benefits to us of hedging transactions or reducing our profitability. In addition, implementation of the Dodd- Frank Act and related rules and regulations could reduce the overall liquidity and depth of the markets for financial and other derivatives we utilize in connection with our business, which could expose us to additional risks or limit the opportunities we are able to capture by limiting the extent to which we are able to execute our hedging strategies.</w:t>
      </w:r>
    </w:p>
    <w:p>
      <w:pPr>
        <w:spacing w:after="0" w:line="21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current statutory or regulatory provisions implementing derivatives regulations could be amended, and we cannot predict the impact on our hedging activities of any future amendments. Any such changes could have a material adverse effect on us, our financial condition and our results of operations.</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executive orders and regulatory initiatives relating to climate change could have a material adverse effect on our business, demand for our services, financial condition, results of operations and cash flows.</w:t>
      </w:r>
    </w:p>
    <w:p>
      <w:pPr>
        <w:spacing w:after="0" w:line="1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regional or state legislation, executive actions, regulations or other regulatory and policy initiatives that impose more stringent standards for GHG emissions, restrict the areas in which the oil and gas industry may produce crude oil and natural gas or generate GHG emissions, increase scrutiny of environmental permitting or delay such permitting reviews, require enhanced disclosure of such GHG emission and other climate-related information, or promote and subsidize lower GHG-emitting, alternative energy products, could result in reduced demand for crude oil and natural gas, and thus our services, as well as increase our compliance costs. Although it is not possible at this time to predict how legislation or new regulations that may be adopted to address GHG emissions and climate change could impact our business, any such future laws and regulations could have a material adverse effect on our business, demand for our services, financial condition, results of operations and cash flows.</w:t>
      </w:r>
    </w:p>
    <w:p>
      <w:pPr>
        <w:spacing w:after="0" w:line="21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March 2024, the SEC finalized a set of climate disclosure rules that would mandate extensive disclosure of climate-related risks, including financial impacts, physical and transition risks, climate-related governance and strategy, and GHG emissions, for all U.S.-listed public companies. Several states, including California, have passed or proposed bills requiring similar, or more extensive, climate disclosure rules. These rules have been subject to legal challenges, and in April 2024 and January 2026, the SEC and California, respectively, issued voluntary stays of their respective rules pending resolution of legal challenges. In March 2025, the SEC voted to withdraw its defense of the climate disclosure rules. Although the outcome of pending legal challenges is not yet known and the ultimate impact of these rules on our business is uncertain, compliance with the rules, if implemented, will result in additional legal, accounting and financial compliance costs. In addition, enhanced climate-related disclosure requirements could influence stakeholders and lenders to restrict or seek more stringent conditions with respect to their investments in certain carbon-intensive sectors.</w:t>
      </w:r>
    </w:p>
    <w:p>
      <w:pPr>
        <w:spacing w:after="0" w:line="21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executive orders and regulatory initiatives relating to hydraulic fracturing or other hydrocarbon development activities could reduce domestic production of crude oil and natural gas.</w:t>
      </w:r>
    </w:p>
    <w:p>
      <w:pPr>
        <w:spacing w:after="0" w:line="186"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Hydraulic fracturing is an important and common practice that is used to stimulate production of hydrocarbons from unconventional geological formations. The process involves the injection of water, sand and chemicals under pressure into the formation to fracture the surrounding rock and stimulate production, and it is typically regulated by state and provincial oil and gas commissions. Hydraulic fracturing continues to be a controversial practice, resulting in increased scrutiny and regulation of the hydraulic fracturing process, including by federal and state agencies and local municipalities. We do not perform hydraulic fracturing, but much of the production that flows on our assets was produced with the benefit of hydraulic fracturing. There have been a variety of legislative and regulatory proposals to prohibit, restrict, or more closely regulate various forms of hydraulic fracturing; for example, California’s Department of Conservation’s Geologic Energy Management Division issued a final regulatory statewide ban on hydraulic fracturing in October 2024. Other states require the disclosure of certain chemicals used in hydraulic fracturing and have conducted investigations into connections between hydraulic fracturing and induced seismicity. These actions, as well as any other legislation, executive orders or regulatory initiatives that curtail hydraulic fracturing or otherwise limit producers’ ability to drill or complete wells could reduce the production of crude oil and natural gas in the United States or Canada, and could thereby result in reduced demand for our transportation, terminalling and storage services as well as our merchant activities.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pertaining to the protection of threatened and endangered species or to critical habitat, wetlands and natural resources could delay, restrict or prohibit our and our customers’ operations and cause us or our customers to incur substantial costs that may have a material adverse effect on our results of operations.</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ESA and comparable state laws were established to protect endangered and threatened species. Under the ESA, if a species is listed as threatened or endangered, restrictions may be imposed on activities that have the potential to adversely affect that species’ habitat. Similar protections are given to migratory birds under the Migratory Bird Treaty Act, Canada’s Species at Risk Act, and analogous provincial laws and regulations. Some of our operations are conducted in areas where protected species or their habitats are known to exist, and from time to time our development plans have been impacted in these areas. We may be obligated to develop and implement plans to avoid potential adverse effects to protected species and their habitats, and we may be delayed, restricted or prohibited from conducting operations in certain locations or during certain seasons, such as breeding and nesting seasons, when our operations could have an adverse effect on the species. Additionally, the designation of previously unprotected species or the re-designation of under-protected species as threatened or endangered in areas where we or our customers conduct operations could cause us to incur increased costs arising from species protection measures or could result in delays, restrictions or prohibitions on our customers’ development and production activities that could have a material adverse effect on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an Investment in 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reimbursements due to our general partner may be substantial and will reduce our cash available for distribution to unitholders.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Prior to making any distribution on our common units, we will reimburse our general partner and its affiliates, including officers and directors of the general partner, for all expenses incurred on our behalf. In addition, we are required to pay all direct and indirect expenses of the Plains Entities, other than income taxes of any of the PAGP Entities. The reimbursement of expenses and the payment of fees and expenses could adversely affect our ability to make distributions. The general partner has sole discretion to determine the amount of these expenses. In addition, our general partner and its affiliates may provide us with services for which we will be charged reasonable fees as determined by the general partner.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 are not guaranteed and may fluctuate with our performance and the establishment of financial reserves.</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Because distributions on our common units are dependent on the amount of cash we generate, distributions may fluctuate based on our performance. The actual amount of cash that is available to be distributed each quarter will depend on numerous factors, some of which are beyond our control and the control of the general partner. Cash distributions are dependent primarily on cash flow, levels of financial reserves and working capital borrowings, and not solely on profitability, which is affected by non-cash items.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Therefore, cash distributions might be made during periods when we record losses and might not be made during periods when we record profits.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preferred units have rights, preferences and privileges that are not the same as, and are preferential to, the rights of holders of our common units.</w:t>
      </w:r>
    </w:p>
    <w:p>
      <w:pPr>
        <w:spacing w:after="0" w:line="25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Our Series A preferred units and Series B preferred units (together, our “preferred units”) rank senior to all of our other classes or series of equity securities with respect to distribution rights and rights upon liquidation. These preferences could adversely affect the market price for our common units, or could make it more difficult for us to sell our common units in the future.</w:t>
      </w:r>
    </w:p>
    <w:p>
      <w:pPr>
        <w:spacing w:after="0" w:line="20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distributions on the preferred units accrue and are cumulative, at a fixed rate with respect to our Series A preferred units and at a floating rate with respect to our Series B preferred units. Our Series A preferred units are convertible into common units by the holders of such units or by us in certain circumstances. Our Series B preferred units are not convertible into common units, but are redeemable by us in certain circumstances. Our obligation to pay distributions on our preferred units, or on the common units issued following the conversion of our Series A preferred units, could impact our liquidity and reduce the amount of cash flow available for working capital, capital expenditures, growth opportunities, acquisitions, and other general partnership purposes. Our obligations to the holders of preferred units could also limit our ability to obtain additional financing or increase our borrowing costs, which could have an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not be able to remove our general partner even if they wish to do so.</w:t>
      </w:r>
    </w:p>
    <w:p>
      <w:pPr>
        <w:spacing w:after="0" w:line="256"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Our general partner manages and operates the Partnership. If unitholders are dissatisfied with the performance of our general partner, they currently have little practical ability to remove our general partner. Our general partner may not be removed except upon the vote of the holders of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8"/>
          <w:szCs w:val="18"/>
          <w:color w:val="auto"/>
        </w:rPr>
        <w:t>% of our outstanding units (including units held by our general partner or its affiliates). Because AAP owns approximately 31% of our outstanding Common Unit Equivalents and the owners of our general partner, along with directors and executive officers and their affiliates, own a significant percentage of our outstanding common units, the removal of our general partner would be difficult without the consent of both our general partner and its affiliates.</w:t>
      </w:r>
    </w:p>
    <w:p>
      <w:pPr>
        <w:spacing w:after="0" w:line="22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addition, the following provisions of our partnership agreement may discourage a person or group from attempting to remove our general partner or otherwise change our management:</w:t>
      </w:r>
    </w:p>
    <w:p>
      <w:pPr>
        <w:spacing w:after="0" w:line="189" w:lineRule="exact"/>
        <w:rPr>
          <w:sz w:val="20"/>
          <w:szCs w:val="20"/>
          <w:color w:val="auto"/>
        </w:rPr>
      </w:pPr>
    </w:p>
    <w:p>
      <w:pPr>
        <w:ind w:left="980" w:right="2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if a person acquires 20% or more of any class of units then outstanding other than from our general partner or its affiliates, the units owned by such person cannot be voted on any matter, except that such shares constituting up to 19.9% of the total shares outstanding may be voted in the election of PAGP GP directors;</w:t>
      </w:r>
    </w:p>
    <w:p>
      <w:pPr>
        <w:spacing w:after="0" w:line="6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PAGP GP Board is composed of three classes of directors, which limits our unitholders’ ability to make significant changes to the board in any given year;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upon the ability of unitholders to call meetings or to acquire information about our operations, as well as other limitations upon the unitholders’ ability to influence the manner or direction of management.</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these provisions, the price at which our common units will trade may be lower because of the absence or reduction of a takeover premium in the trading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units without unitholder approval, which would dilute a unitholder’s existing ownership interests.</w:t>
      </w:r>
    </w:p>
    <w:p>
      <w:pPr>
        <w:spacing w:after="0" w:line="256"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Our general partner may cause us to issue an unlimited number of common units without unitholder approval (subject to applicable Nasdaq rules). We may also issue at any time an unlimited number of equity securities ranking junior or senior to the common units without unitholder approval (subject to applicable Nasdaq rules). The issuance of additional common units or other equity securities of equal or senior rank may have the following effects:</w:t>
      </w:r>
    </w:p>
    <w:p>
      <w:pPr>
        <w:spacing w:after="0" w:line="18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unitholder’s proportionate ownership interest in the Partnership will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for distribution on each unit may decrease;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taxable income to distributions may increase;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unit may be diminished;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the common units may decline.</w:t>
      </w:r>
    </w:p>
    <w:p>
      <w:pPr>
        <w:spacing w:after="0" w:line="2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addition, our Series A preferred units are convertible into common units at any time by the holders of such units, or under certain circumstances, at our option. If a substantial portion of the Series A preferred units were converted into common units, common unitholders could experience significant dilution. In addition, if holders of such converted Series A preferred units were to dispose of a substantial portion of these common units in the public market, whether in a single transaction or series of transactions, it could adversely affect the market price for our common units. In addition, these sales, or the possibility that these sales may occur, could make it more difficult for us to sell our common units in the future.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unitholders to sell their units at an undesirable time or price.</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at any time our general partner and its affiliates own 80% or more of the common units, the general partner will have the right, but not the obligation, which it may assign to any of its affiliates, to acquire all, but not less than all, of the remaining common units held by unaffiliated persons at a price generally equal to the then current market price of the common units. As a result, unitholders may be required to sell their common units at a time when they may not desire to sell them and/or at a price that is less than the price they would like to receive. They may also incur a tax liability upon a sale of their common units.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Unitholders may not have limited liability if a court finds that unitholder actions constitute control of our business and unitholders may have liability to repay distributions under certain circumstances.</w:t>
      </w:r>
    </w:p>
    <w:p>
      <w:pPr>
        <w:spacing w:after="0" w:line="18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Under Delaware law, a unitholder could be held liable for our obligations to the same extent as a general partner if a court determined that the right of unitholders to remove our general partner or to take other action under our partnership agreement constituted participation in the “control” of our business.</w:t>
      </w:r>
    </w:p>
    <w:p>
      <w:pPr>
        <w:spacing w:after="0" w:line="20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general partner generally has unlimited liability for our obligations, such as our debts and environmental liabilities, except for those contractual obligations that are expressly made without recourse to our general partner. Our partnership agreement allows the general partner to incur obligations on our behalf that are expressly non-recourse to the general partner. The general partner has entered into such limited recourse obligations in most instances involving payment liability and intends to do so in the future.</w:t>
      </w:r>
    </w:p>
    <w:p>
      <w:pPr>
        <w:spacing w:after="0" w:line="20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Furthermore, under Section 17-607 of the Delaware Revised Uniform Limited Partnership Act we may not make a distribution to our unitholders if the distribution would cause our liabilities to exceed the fair value of our assets. Liabilities to partners on account of their partnership interests and liabilities that are non-recourse to the partnership are not counted for purposes of determining whether a distribution is permitted. Delaware law provides that for a period of three years from the date of an impermissible distribution, limited partners who received the distribution and who knew at the time of the distribution that it violated Delaware law will be liable to the limited partnership for the distribution amount.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among our general partner and us or the unitholders.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conflicts may include the following:</w:t>
      </w:r>
    </w:p>
    <w:p>
      <w:pPr>
        <w:spacing w:after="0" w:line="25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partnership agreement, we reimburse the general partner for the costs of managing and for operating the partnership;</w:t>
      </w:r>
    </w:p>
    <w:p>
      <w:pPr>
        <w:spacing w:after="0" w:line="117" w:lineRule="exact"/>
        <w:rPr>
          <w:rFonts w:ascii="Times New Roman" w:cs="Times New Roman" w:eastAsia="Times New Roman" w:hAnsi="Times New Roman"/>
          <w:sz w:val="18"/>
          <w:szCs w:val="18"/>
          <w:color w:val="auto"/>
        </w:rPr>
      </w:pPr>
    </w:p>
    <w:p>
      <w:pPr>
        <w:ind w:left="980" w:right="8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expenditures, borrowings and reserves in any quarter may affect available cash to pay quarterly distributions to unitholders;</w:t>
      </w:r>
    </w:p>
    <w:p>
      <w:pPr>
        <w:spacing w:after="0" w:line="53" w:lineRule="exact"/>
        <w:rPr>
          <w:rFonts w:ascii="Times New Roman" w:cs="Times New Roman" w:eastAsia="Times New Roman" w:hAnsi="Times New Roman"/>
          <w:sz w:val="18"/>
          <w:szCs w:val="18"/>
          <w:color w:val="auto"/>
        </w:rPr>
      </w:pPr>
    </w:p>
    <w:p>
      <w:pPr>
        <w:ind w:left="980" w:hanging="324"/>
        <w:spacing w:after="0" w:line="25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tries to avoid being liable for partnership obligations. The general partner is permitted to protect its assets in this manner by our partnership agreement. Under our partnership agreement the general partner would not breach its fiduciary duty by avoiding liability for partnership obligations even if we can obtain more favorable terms without limiting the general partner’s liability; under our partnership agreement, the general partner may pay its affiliates for any services rendered on terms fair and reasonable to us. The general partner may also enter into additional contracts with any of its affiliates on behalf of us. Agreements or contracts between us and our general partner (and its affiliates) are not necessarily the result of arms length negotiations; and</w:t>
      </w:r>
    </w:p>
    <w:p>
      <w:pPr>
        <w:spacing w:after="0" w:line="79"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would not breach our partnership agreement by exercising its call rights to purchase limited partnership interests or by assigning its call rights to one of its affiliates or to us.</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 A change of control may result in defaults under certain of our debt instruments and the triggering of payment obligations under compensation arrangements.</w:t>
      </w:r>
    </w:p>
    <w:p>
      <w:pPr>
        <w:spacing w:after="0" w:line="18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our unitholders. Furthermore, there is no restriction in our partnership agreement on the ability of the ultimate owners of our general partner to directly or indirectly transfer their ownership interest in our general partner to a third party. Any new owner of our general partner would, subject to obtaining any approvals or consents required under the applicable governing documents for the PAGP entities, be able to replace the board of directors and officers with its own choices and to control their decisions and actions.</w:t>
      </w:r>
    </w:p>
    <w:p>
      <w:pPr>
        <w:spacing w:after="0" w:line="21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a change of control would constitute an event of default under our revolving credit agreements. During the continuance of an event of default under our revolving credit agreements, the administrative agent may terminate any outstanding commitments of the lenders to extend credit to us under our revolving credit facility and/or declare all amounts payable by us under our revolving credit facility immediately due and payable. A change of control also may trigger payment obligations under various compensation arrangements with our officers.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Debt Securities</w:t>
      </w:r>
    </w:p>
    <w:p>
      <w:pPr>
        <w:spacing w:after="0" w:line="25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right to receive payments on our outstanding debt securities is unsecured and will be effectively subordinated to our existing and future secured indebtedness and will be structurally subordinated as to any existing and future indebtedness and other obligations of our subsidiaries, other than subsidiaries that may guarantee our debt securities in the future.</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debt securities are effectively subordinated to claims of our secured creditors and to any existing and future indebtedness and other obligations of our subsidiaries, including trade payables, other than subsidiaries that may guarantee our debt securities in the future. In the event of the insolvency, bankruptcy, liquidation, reorganization, dissolution or winding up of the business of a subsidiary, other than a subsidiary that may guarantee our debt securities in the future, creditors of that subsidiary would generally have the right to be paid in full before any distribution is made to us or the holders of our debt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leverage may limit our ability to borrow additional funds, comply with the terms of our indebtedness or capitalize on business opportunities.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leverage is significant in relation to our partners’ capital. At December 31, 2025, the face value of our total outstanding long-term debt was approximately $10.8 billion, and the face value of our total outstanding short-term debt was approximately $0.6 billion. We will be prohibited from making cash distributions during an event of default under any of our indebtedness.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21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leverage could have important consequences to investors in our debt securities. We will require substantial cash flow to meet our principal and interest obligations with respect to our debt securities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facilities to service our indebtedness, although the principal amount of our debt securities will likely need to be refinanced at or prior to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215"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ability to transfer our debt securities may be limited by the absence of an organized trading market.</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debt securities are not listed for trading on any securities exchange or stock market and we do not currently intend to apply for any such listing. The liquidity of any market for our debt securities will depend on the number of holders of those debt securities, the interest of securities dealers in making a market in those debt securities and other factors. Accordingly, we can give no assurance as to the development, continuation or liquidity of any market for the debt securities.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holding company structure in which our subsidiaries conduct our operations and own our operating assets, which may restrict our ability to receive funds from such subsidiaries and make payments on our debt securities.</w:t>
      </w:r>
    </w:p>
    <w:p>
      <w:pPr>
        <w:spacing w:after="0" w:line="18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our debt securities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our debt securities, or to repurchase our debt securities upon the occurrence of a change of control, we may be required to adopt one or more alternatives, such as a refinancing of our debt securities. We can give no assurance that we would be able to refinance our debt securities.</w:t>
      </w: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the same flexibility as other types of organizations to accumulate cash, which may limit cash available to service our debt securities or to repay them at maturity.</w:t>
      </w:r>
    </w:p>
    <w:p>
      <w:pPr>
        <w:spacing w:after="0" w:line="186"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Unlike a corporation, our partnership agreement requires us to distribute, on a quarterly basis, 100% of our available cash to our unitholders of record. Available cash is generally defined as all of our cash receipts and cash equivalents on hand at the end of each quarter less reserves established in the discretion of our general partner for future requirements. Our available cash also includes cash on hand resulting from borrowings made after the end of the quarter.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95" w:lineRule="exact"/>
        <w:rPr>
          <w:sz w:val="20"/>
          <w:szCs w:val="20"/>
          <w:color w:val="auto"/>
        </w:rPr>
      </w:pPr>
    </w:p>
    <w:p>
      <w:pPr>
        <w:ind w:left="980" w:right="58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applicable law or any loan agreement, security agreement, mortgage, debt instrument or other agreement or obligation;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to make payments on the preferred unitholders;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funds for distributions to our common unitholders for any one or more of the next four calendar quarters.</w:t>
      </w:r>
    </w:p>
    <w:p>
      <w:pPr>
        <w:spacing w:after="0" w:line="11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Although our payment obligations to our unitholders are subordinate to our payment obligations to debtholders, the value of our units may decrease in direct correlation with decreases in the amount we distribute per unit. Accordingly, if we experience a liquidity problem in the future, we may not be able to issue equity to recapitalize.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Unitholders</w:t>
      </w:r>
    </w:p>
    <w:p>
      <w:pPr>
        <w:spacing w:after="0" w:line="252"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tax treatment depends on our status as a partnership for U.S. federal income tax purposes and not being subject to a material amount of entity-level taxation by individual states or foreign jurisdictions. If the IRS were to treat us as a corporation for U.S. federal income tax purposes, or if we become subject to a material amount of entity-level or other form of taxation for state or foreign tax purposes, our cash available for distributions to our unitholders would be substantially reduced.</w:t>
      </w:r>
    </w:p>
    <w:p>
      <w:pPr>
        <w:spacing w:after="0" w:line="20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anticipated after-tax economic benefit of an investment in our units depends largely on our being treated as a partnership for U.S. federal income tax purposes. A publicly traded partnership such as us may be treated as a corporation for U.S. federal income tax purposes unless it satisfies a “qualifying income” requirement, as defined in Section 7704 of the Code. Based upon our current operations and current U.S.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21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we were treated as a corporation for U.S. federal income tax purposes, we would pay U.S. federal income tax on our taxable income at the corporate tax rate, and would likely pay state income taxes at varying rates. Distributions to our unitholders would generally be taxed again as corporate distributions, and no income, gains, losses or deductions would flow through to our unitholders. Because a tax would be imposed upon us as a corporation, the cash available for distributions to our unitholders would be substantially reduced. Therefore, treatment of us as a corporation would result in a material reduction in cash flow and after-tax return to our unitholders, likely causing a substantial reduction in the value of our units.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several states impose and others have been evaluating ways to subject partnerships to entity-level taxation through the imposition of state income, franchise and other forms of taxation. For example, we are subject to entity-level tax on the portion of our income apportioned to Texas. Imposition of any similar taxes by individual states or additional federal or foreign taxes on us could substantially reduce our cash available for distribution to our unitholders.</w:t>
      </w:r>
    </w:p>
    <w:p>
      <w:pPr>
        <w:spacing w:after="0" w:line="203"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treatment of publicly traded partnerships or an investment in our units could be subject to potential legislative, judicial or administrative changes or differing interpretations, possibly applied on a retroactive basis.</w:t>
      </w:r>
    </w:p>
    <w:p>
      <w:pPr>
        <w:spacing w:after="0" w:line="18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present U.S. federal income tax treatment of publicly traded partnerships, including us, or an investment in our units may be modified by administrative, legislative or judicial changes or differing interpretations at any time. Members of Congress have proposed and considered substantive changes to the existing U.S. federal income tax laws that would affect publicly 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203" w:lineRule="exact"/>
        <w:rPr>
          <w:sz w:val="20"/>
          <w:szCs w:val="20"/>
          <w:color w:val="auto"/>
        </w:rPr>
      </w:pPr>
    </w:p>
    <w:p>
      <w:pPr>
        <w:ind w:right="40" w:firstLine="729"/>
        <w:spacing w:after="0" w:line="258" w:lineRule="auto"/>
        <w:rPr>
          <w:sz w:val="20"/>
          <w:szCs w:val="20"/>
          <w:color w:val="auto"/>
        </w:rPr>
      </w:pPr>
      <w:r>
        <w:rPr>
          <w:rFonts w:ascii="Times New Roman" w:cs="Times New Roman" w:eastAsia="Times New Roman" w:hAnsi="Times New Roman"/>
          <w:sz w:val="18"/>
          <w:szCs w:val="18"/>
          <w:color w:val="auto"/>
        </w:rPr>
        <w:t>Any modification to the U.S. federal income tax laws and interpretations thereof may or may not be retroactively applied and could make it more difficult or impossible for us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an investment in our units. You are urged to consult with your own tax advisor with respect to the status of regulatory or administrative developments and proposals and their potential effect on your investment in our units.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unitholders will be subject to U.S. taxes and withholding with respect to their income and gain from owning our units.</w:t>
      </w:r>
    </w:p>
    <w:p>
      <w:pPr>
        <w:spacing w:after="0" w:line="25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Non-U.S. unitholders are generally taxed and subject to income tax filing requirements by the United States on income effectively connected with a U.S. trade or business (“effectively connected income”).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 to the extent the gain is effectively connected with a U.S. trade or business of the non-U.S. unitholder. In addition to the withholding tax imposed on distributions of effectively connected income, distributions to a non-U.S. unitholder will also be subject to a 10% withholding tax on the amount of any distribution in excess of our cumulative net income. As we do not compute our cumulative net income for such purposes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2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 traded partnership will generally be the amount of gross proceeds paid to the broker effecting the applicable transfer on behalf of the transferor, and thus will be determined without regard to any decrease in that partner’s share of a publicly traded partnership’s liabilities. For a transfer of interest in a publicly traded partnership that is effected through a broker, the obligation to withhold is imposed on the transferor’s broker. Current and prospective foreign unitholders should consult their tax advisors regarding the impact of these rules on an investment in our units.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Common Unitholders</w:t>
      </w:r>
    </w:p>
    <w:p>
      <w:pPr>
        <w:spacing w:after="0" w:line="25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w:t>
      </w:r>
    </w:p>
    <w:p>
      <w:pPr>
        <w:spacing w:after="0" w:line="20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w:t>
      </w:r>
    </w:p>
    <w:p>
      <w:pPr>
        <w:spacing w:after="0" w:line="21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IRS or CRA contests the federal income tax positions or inter-country allocations we take, the market for our common units may be adversely impacted and the cost of any IRS or CRA contest or incremental taxes paid will reduce our cash available for distribution or debt service.</w:t>
      </w:r>
    </w:p>
    <w:p>
      <w:pPr>
        <w:spacing w:after="0" w:line="18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IRS has made no determination as to our status as a partnership for U.S. federal income tax purposes or as to any other matter affecting us. The IRS or CRA may adopt positions that differ from the positions we take or challenge the inter-country allocations we make. It may be necessary to resort to administrative or court proceedings to sustain some or all of the positions we take. A court may not agree with some or all of the positions we take. Any contest with the IRS or CRA may materially and adversely impact the market for our common units and the price at which they trade. In addition, our costs of any contest with the IRS or CRA and any incremental taxes required to be paid will be borne indirectly by our unitholders and our general partner because the costs will reduce our cash available for distribution or debt service. See Note 15 to our Consolidated Financial Statements for additional information regarding CRA challenge of intercompany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unitholders may be required to pay taxes on their share of our income even if they do not receive any cash distributions from us.</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Because our unitholders will be treated as partners to whom we will allocate taxable income, including gains and losses resulting from the sale of assets, that could be different in amount than the cash we distribute, they will be required to pay any U.S. federal income taxes and, in some cases, state and local income taxes on their share of our taxable income even if they receive no cash distributions from us. Unitholders may not receive cash distributions from us equal to their share of our taxable income or even equal to the actual tax liability that results from that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gain or loss on the disposition of our common units could be more or less than expected.</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If a unitholder sells common units, the unitholder will recognize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be subject to limitation on their ability to deduct interest expense incurred by us.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w:t>
      </w:r>
    </w:p>
    <w:p>
      <w:pPr>
        <w:spacing w:after="0" w:line="20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Tax-exempt entities face unique tax issues from owning our common units that may result in adverse tax consequences to them.</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Investments in our common units by tax-exempt entities, such as employee benefit plans and individual retirement accounts (known as IRAs) raise issues unique to them. For example, virtually all of our income allocated to organizations that are exempt from U.S. federal income tax, including IRAs and other retirement plans, will be unrelated business taxable income and will be taxable to them. Additionally, all or part of any gain recognized by such tax-exempt organization upon a sale or other disposition of our common units may be unrelated business taxable income and may be taxable to them. Tax-exempt entities should consult a tax advisor before investing in our common units.</w:t>
      </w:r>
    </w:p>
    <w:p>
      <w:pPr>
        <w:spacing w:after="0" w:line="20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18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the sale of common units and could have a negative impact on the value of our common units or result in audit adjustments to our unitholders’ tax returns.</w:t>
      </w:r>
    </w:p>
    <w:p>
      <w:pPr>
        <w:spacing w:after="0" w:line="20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unitholders will likely be subject to state, local and non-U.S. taxes and return filing requirements in states and jurisdictions where they do not live as a result of investing in our units.</w:t>
      </w:r>
    </w:p>
    <w:p>
      <w:pPr>
        <w:spacing w:after="0" w:line="18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to U.S. federal income taxes, our unitholders will likely be subject to other taxes, including foreign, state and local taxes, unincorporated business taxes and estate, inheritance or intangible taxes that are imposed by the various jurisdictions in which we conduct business or own property now or in the future, even if our unitholders do not live in any of those jurisdictions. Our unitholders will likely be required to file state and local income tax returns and pay state and local income taxes in some or all of these various jurisdictions. Further, our unitholders may be subject to penalties for failure to comply with those requirements. We currently own property and conduct business in multiple states that currently impose a personal income tax on individuals and an income tax on corporations and other entities. It is our unitholders’ responsibility to file all U.S. federal, state, local and non-U.S. tax returns, as applicable, and pay any taxes due in these jurisdictions. Unitholders should consult with their own tax advisors regarding the filing of such tax returns, the payment of such taxes, and the deductibility of any taxes paid.</w:t>
      </w:r>
    </w:p>
    <w:p>
      <w:pPr>
        <w:spacing w:after="0" w:line="21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186" w:lineRule="exact"/>
        <w:rPr>
          <w:sz w:val="20"/>
          <w:szCs w:val="20"/>
          <w:color w:val="auto"/>
        </w:rPr>
      </w:pPr>
    </w:p>
    <w:p>
      <w:pPr>
        <w:ind w:right="140" w:firstLine="729"/>
        <w:spacing w:after="0" w:line="261" w:lineRule="auto"/>
        <w:rPr>
          <w:sz w:val="20"/>
          <w:szCs w:val="20"/>
          <w:color w:val="auto"/>
        </w:rPr>
      </w:pPr>
      <w:r>
        <w:rPr>
          <w:rFonts w:ascii="Times New Roman" w:cs="Times New Roman" w:eastAsia="Times New Roman" w:hAnsi="Times New Roman"/>
          <w:sz w:val="18"/>
          <w:szCs w:val="18"/>
          <w:color w:val="auto"/>
        </w:rPr>
        <w:t>In determining the items of income, gain, loss and deduction allocable to our unitholders, we must routinely determine the fair market value of our respective assets. Although we may from time to time consult with professional appraisers regarding valuation matters, we make many fair market value estimates using a methodology based on the market value of our common units as a means to measure the fair market value of our respective assets. The IRS may challenge these valuation methods and the resulting allocations of income, gain, loss and deduction.</w:t>
      </w:r>
    </w:p>
    <w:p>
      <w:pPr>
        <w:spacing w:after="0" w:line="20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 successful IRS challenge to these methods or allocations could adversely affect the amount, character, and timing of taxable income or loss being allocated to our unitholders. It also could affect the amount of gain from our unitholders’ sale of common units and could have a negative impact on the value of the common units or result in audit adjustments to our unitholders’ tax returns without the benefit of additional deductions.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unitholder whose common units are the subject of a securities loan (e.g., a loan to a “short seller” to cover a short sale of common units) may be considered to have disposed of those common units. If so, such unitholder would no longer be treated for tax purposes as a partner with respect to those common units during the period of the loan and may recognize gain or loss from the disposition.</w:t>
      </w:r>
    </w:p>
    <w:p>
      <w:pPr>
        <w:spacing w:after="0" w:line="202"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Because there are no specific rules governing the U.S. federal income tax consequences of loaning a partnership interest, a unitholder whose common units are the subject of a securities loan may be considered to have disposed of the loaned units. In that case, the unitholder may no longer be treated for tax purposes as a partner with respect to those common units during the period of the loan to the short seller and the unitholder may recognize gain or loss from such disposition. Moreover, during the period of the loan, any of our income, gain, loss or deduction with respect to those common units may not be reportable by the unitholder and any cash distributions received by the unitholder as to those common units may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common units.</w:t>
      </w:r>
    </w:p>
    <w:p>
      <w:pPr>
        <w:spacing w:after="0" w:line="19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20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and amortization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Taxable income from our non-U.S. businesses is not eligible for the 20% deduction for qualified publicly traded partnership income.</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An individual unitholder is generally allowed a deduction equal to 20% of our “qualified publicly traded partnership income” that is allocated to such unitholder. For purposes of the deduction, the term qualified publicly traded partnership income includes the net amount of such unitholder’s allocable share of our income that is effectively connected to our U.S. trade or business activities. Because our non-U.S. business operations earn income that is not effectively connected with a U.S. trade or business, unitholders may not apply the 20% deduction for qualified publicly traded partnership income to that portion of our 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Risks to Series B Preferred Unitholders</w:t>
      </w:r>
    </w:p>
    <w:p>
      <w:pPr>
        <w:spacing w:after="0" w:line="252"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Treatment of income attributable to distributions on our Series B Preferred Units as guaranteed payments for the use of capital creates a different tax treatment for the holders of our Series B Preferred Units than the holders of our common units and such income is not eligible for the 20% deduction for qualified publicly traded partnership income.</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tax treatment of distributions on our Series B Preferred Units is uncertain. We will treat the holders of Series B Preferred Units as partners for tax purposes and will treat distributions on the Series B Preferred Units as guaranteed payments for the use of capital that will generally be taxable to the holders of Series B Preferred Units as ordinary income. A holder of our Series B Preferred Units could recognize taxable income from the accrual of such income even in the absence of a contemporaneous cash distribution. We anticipate accruing and making quarterly guaranteed payment distributions on February 15th, May 15th, August 15th and November 15th of each year. Because the guaranteed payment for each unit must accrue as income to a holder during the taxable year of the accrual, the guaranteed payment attributable to the period beginning November 15th and ending December 31st will accrue to the holder of record of a Series B Preferred Unit on December 31st for such period. If you are a taxpayer reporting your income using the accrual method, or using a taxable year other than the calendar year, you should consult your tax advisor with respect to the consequences of our guaranteed payment distribution accrual and reporting convention. Otherwise, the holders of Series B Preferred Units are generally not anticipated to share in the partnership’s items of income, gain, loss or deduction, except to the extent necessary to (i) achieve parity with the Series A Preferred Units or (ii) provide, to the extent possible, the Series B Preferred Units with the benefit of the liquidation preference. The Partnership will not allocate any share of our nonrecourse liabilities to the holders of Series B Preferred Units. If the Series B Preferred Units were treated as indebtedness for tax purposes, rather than as guaranteed payments for the use of capital, distributions likely would be treated as payments of interest by us to the holders of Series B Preferred Units.</w:t>
      </w:r>
    </w:p>
    <w:p>
      <w:pPr>
        <w:spacing w:after="0" w:line="21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Although we expect that a substantial portion of the income we earn will be eligible for the 20% deduction for qualified publicly traded partnership income, Treasury Regulations provide that income attributable to a guaranteed payment for the use of capital is not eligible for the 20% deduction for qualified business income. As a result, income attributable to a guaranteed payment for use of capital recognized by holders of our Series B Preferred Units is not eligible for the 20% deduction for qualified business income.</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 holder of Series B Preferred Units will be required to recognize gain or loss on a sale of Series B Units equal to the difference between the amount realized by such holder and such holder’s tax basis in the Series B Preferred Units. The amount realized generally will equal the sum of the cash and the fair market value of other property such holder receives in exchange for such Series B Preferred Units. Subject to general rules requiring a blended basis among multiple partnership interests, the tax basis of a Series B Preferred Unit will generally be equal to the sum of the cash and the fair market value of other property paid by the holder to acquire such Series B Preferred Unit. Gain or loss recognized by a holder on the sale or exchange of a Series B Preferred Unit held for more than one year generally will be taxable as long-term capital gain or loss. Because holders of Series B Preferred Units will generally not be allocated a share of our items of depreciation, depletion or amortization, it is not anticipated that such holders would be required to recharacterize any portion of their gain as ordinary income as a result of the recapture rules.</w:t>
      </w:r>
    </w:p>
    <w:p>
      <w:pPr>
        <w:spacing w:after="0" w:line="2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Investment in the Series B Preferred Units by tax-exempt investors, such as employee benefit plans and individual retirement accounts, and non-U.S. persons raises issues unique to them. The treatment of guaranteed payments for the use of capital to tax-exempt investors is not certain and such payments may be treated as unrelated business taxable income for U.S. federal income tax purposes. Although the issue is not free from doubt, we will treat a substantial portion of our distributions to non-U.S. holders of the Series B Preferred Units as “effectively connected income” (which will subject holders to U.S. net income taxation and possibly the branch profits tax) that is subject to withholding taxes imposed at the highest effective tax rate applicable to such non-U.S. holders. If the amount of withholding exceeds the amount of U.S. federal income tax actually due, non-U.S. holders may be required to file U.S. federal income tax returns in order to seek a refund of such excess.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holders of our Series B Preferred Units are urged to consult a tax advisor with respect to the consequences of owning our Series B Preferred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Cybersecurity Risk Management and Strategy</w:t>
      </w:r>
    </w:p>
    <w:p>
      <w:pPr>
        <w:spacing w:after="0" w:line="25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To assess, identify and manage material cybersecurity risks, we have endeavored to implement policies, standards and technical controls with the aim of protecting our information technology (“IT”) and operational technology (“OT”) systems (collectively, our “IT systems”). These standards are guided, in part, by the relevant National Institute of Standards and Technology and American Petroleum Institute frameworks. We use various internal and third-party tools, security measures and technologies to aid in seeking to protect our network perimeter and internal systems from unauthorized access, intrusion or disruption. Regular assessments are conducted across our systems, networks and data infrastructure to identify potential cybersecurity threats and vulnerabilities. In addition, a monitoring and detection system has been implemented to help identify cybersecurity threats and incidents. Our cybersecurity program also focuses on providing training and awareness to our employees and contractors on cybersecurity best practices.</w:t>
      </w:r>
    </w:p>
    <w:p>
      <w:pPr>
        <w:spacing w:after="0" w:line="216"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We engage assessors, consultants, auditors and other third parties in connection with the above processes. We recognize that third-party service providers may introduce cybersecurity risks. In an effort to mitigate these risks, we have established a process to assess and oversee the cybersecurity practices of our vendors. Before engaging with third-party service providers, we conduct due diligence to evaluate their cybersecurity capabilities and potential vulnerabilities. Additionally, we endeavor to include cybersecurity requirements in our contracts with these providers, including adherence to specific security practices and protocols.</w:t>
      </w:r>
    </w:p>
    <w:p>
      <w:pPr>
        <w:spacing w:after="0" w:line="21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above cybersecurity risk management processes are integrated into our overall risk management program. Cybersecurity threats are understood to be dynamic and to intersect with various other enterprise risks. As such, cybersecurity is considered an integral component of our enterprise-wide risk management approach. As of the date of this Report, we are not aware of any previous cybersecurity threats that have materially affected or are reasonably likely to materially affect the Partnership.</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Despite the implementation of our cybersecurity programs, our security measures cannot guarantee that a significant cyberattack will not occur. A successful attack on our IT systems or those of our vendors could have significant consequences to our business. While we devote resources to our security measures to protect our systems and information, these measures cannot provide absolute security. See “Item 1A. Risk Factors” for additional information about the risks to our business associated with a breach or compromise to our IT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 Governance</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cybersecurity program is led by our Vice President of Information Services, North America, who reports directly to our CFO and oversees the dedicated team responsible for executing our cybersecurity strategy, including the primary assessment and management of cybersecurity risks. Our cybersecurity leadership team also includes our Senior Director, Enterprise Technology, our Director, Cybersecurity and Technology Risk, and other senior leaders from our Information Services team. The Board receives quarterly updates on material security incidents (if applicable), detection, monitoring, and other key initiatives and notable events from our Vice President of Information Services – North America.</w:t>
      </w:r>
    </w:p>
    <w:p>
      <w:pPr>
        <w:spacing w:after="0" w:line="21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To facilitate effective management, our cybersecurity leadership team holds regular discussions with our dedicated cybersecurity team on cybersecurity risks, threat intelligence, incident trends, security audits, and the effectiveness of our training and testing. Our cybersecurity leadership team convenes regularly to review and monitor programs designed to prevent and detect cybersecurity threats and mitigate and remediate cybersecurity incidents. Our cybersecurity leadership team also receives comprehensive reports on security incidents, threat intelligence, and vulnerability assessments from our cybersecurity team.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cybersecurity leadership team is made up of highly experienced professionals with extensive backgrounds in information security, risk management, and incident response, including our Vice President of Information Services – North America, our Senior Director, Enterprise Technology and our Director, Cybersecurity and Technology Risk. Our Vice President of Information Services – North America has been with Plains for over 15 years and has over 25 years’ experience in technology infrastructure and security including senior management level oversight of cybersecurity for organizations in both the health care and oil and gas industries. Our Senior Director, Enterprise Technology reports to the Vice President, Information Services – North America and has accountability for core enterprise technology platforms, including hosting, networks, data platforms, and cybersecurity programs. This individual has over 20 years of experience in the information services industry, including experience with cyber incident detection and response. The Director, Cybersecurity and Technology Risk has responsibility for oversight of cybersecurity strategy across IT and OT environments, implementation of programs aligned with recognized frameworks, and implementation of key security controls. This individual has more than 20 years of experience in enterprise cybersecurity, OT security, and critical infrastructure risk management at publicly traded companies and holds multiple industry-recognized certifications in information security, audit, privacy, and enterprise IT governance. In addition to having the requisite training, knowledge, skills and abilities required for their respective positions, the cybersecurity leadership team collectively holds various relevant U.S. and Canadian information security certifications. The cybersecurity leadership team is supported by a dedicated team of skilled cybersecurity professionals, each bringing diverse expertise in areas such as network security, data protection, and threat intelligence.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included in Note 19 to our Consolidated Financial Statements,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30"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Units, Related Unitholder Matters and Issuer 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Holders and Distributions</w:t>
      </w:r>
    </w:p>
    <w:p>
      <w:pPr>
        <w:spacing w:after="0" w:line="24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Our common units are listed and traded on Nasdaq under the symbol “PAA.” As of February 20, 2026, there were 705,531,683 common units outstanding and approximately 117,900 record holders and beneficial owners (held in street name).</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cash distributions per common unit pertaining to the quarter presented, which were declared and paid in the following calendar quarter (see the “Cash Distribution Policy” section below for a discussion of our policy regarding distribution payments):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20" w:type="dxa"/>
            <w:vAlign w:val="bottom"/>
          </w:tcPr>
          <w:p>
            <w:pPr>
              <w:spacing w:after="0"/>
              <w:rPr>
                <w:sz w:val="16"/>
                <w:szCs w:val="16"/>
                <w:color w:val="auto"/>
              </w:rPr>
            </w:pPr>
          </w:p>
        </w:tc>
        <w:tc>
          <w:tcPr>
            <w:tcW w:w="14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3"/>
        </w:trPr>
        <w:tc>
          <w:tcPr>
            <w:tcW w:w="4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260" w:type="dxa"/>
            <w:vAlign w:val="bottom"/>
            <w:shd w:val="clear" w:color="auto" w:fill="CCEEFF"/>
          </w:tcPr>
          <w:p>
            <w:pPr>
              <w:jc w:val="right"/>
              <w:ind w:right="38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0.4175</w:t>
            </w:r>
          </w:p>
        </w:tc>
      </w:tr>
      <w:tr>
        <w:trPr>
          <w:trHeight w:val="238"/>
        </w:trPr>
        <w:tc>
          <w:tcPr>
            <w:tcW w:w="4260" w:type="dxa"/>
            <w:vAlign w:val="bottom"/>
          </w:tcPr>
          <w:p>
            <w:pPr>
              <w:jc w:val="right"/>
              <w:ind w:right="38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0.3800</w:t>
            </w:r>
          </w:p>
        </w:tc>
      </w:tr>
    </w:tbl>
    <w:p>
      <w:pPr>
        <w:spacing w:after="0" w:line="31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units are also used as a form of compensation to our employees. See Note 18 to our Consolidated Financial Statements for additional information regarding our equity-indexed compensation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total unitholder return performance of our common units with the performance of: (i) the Standard &amp; Poor’s 500 Stock Index (“S&amp;P 500”) and (ii) the Alerian Midstream Energy Index (“AMNA”). The AMNA is a broad-based composite of North American energy infrastructure companies that provides investors with a comprehensive benchmark for this asset class. The graph assumes that $100 was invested in our common units and each comparison index beginning on December 31, 2020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142875</wp:posOffset>
            </wp:positionV>
            <wp:extent cx="5846445" cy="29146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12/31/2025</w:t>
            </w:r>
          </w:p>
        </w:tc>
      </w:tr>
      <w:tr>
        <w:trPr>
          <w:trHeight w:val="24"/>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320.92</w:t>
            </w: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195.98</w:t>
            </w:r>
          </w:p>
        </w:tc>
      </w:tr>
      <w:tr>
        <w:trPr>
          <w:trHeight w:val="22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AMNA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291.01</w:t>
            </w: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 Policy</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for any quarter ending prior to liquidation, all of our cash and cash equivalents on hand at the end of each quarter less reserves established in the reasonable discretion of our general partner to:</w:t>
      </w:r>
    </w:p>
    <w:p>
      <w:pPr>
        <w:spacing w:after="0" w:line="207" w:lineRule="exact"/>
        <w:rPr>
          <w:sz w:val="20"/>
          <w:szCs w:val="20"/>
          <w:color w:val="auto"/>
        </w:rPr>
      </w:pPr>
    </w:p>
    <w:p>
      <w:pPr>
        <w:ind w:left="980" w:right="8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proper conduct of our business and the business of our operating partnerships (including reserves for future capital expenditures and for our anticipated future credit needs);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 or any loan agreement, security agreement, mortgage, debt instrument or other agreement or obligation; or</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funds for future distributions to our Series A and Series B preferred unitholders or distributions to our common unitholders for any one or more of the next four calendar quarters.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available cash also includes cash on hand resulting from borrowings made after the end of the quarter.</w:t>
      </w:r>
    </w:p>
    <w:p>
      <w:pPr>
        <w:spacing w:after="0" w:line="25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governing our debt, we are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Term Loan and Indentures.”</w:t>
      </w:r>
    </w:p>
    <w:p>
      <w:pPr>
        <w:spacing w:after="0" w:line="20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Under the terms of our partnership agreement, our Series A preferred units and our Series B preferred units rank senior to all classes or series of equity securities in us with respect to distribution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5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 comparative discussion of our 2024 to 2023 operating results and performance measures can be found in Item 7. “Management’s Discussion and Analysis of Financial Condition and Results of Operations—Results of Operations” included in our Annual Report on Form 10-K for the year ended December 31, 2024 filed with the SEC on February 28,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5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to a lesser extent, NGL.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PMC ULC, our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assets that we will retain are located in the United States. This transaction is expected to close around the end of the first quarter of 2026, subject to the satisfaction or waiver of customary closing conditions, including receipt of regulatory approvals.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3 to our Consolidated Financial Statements for additional information.</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discussion below relates to our continuing operations and excludes amounts related to discontinued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Overview and Outlook</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Crude oil and other petroleum liquids are supplied to the global market by producers around the world, with the majority coming from the Organization of Petroleum Exporting Countries (“OPEC”), North American producers and the Russian Federation, among others. The chart below depicts the relationship between global supply of crude oil and other petroleum liquids and demand since the beginning of 2021 and the U.S. Energy Information Administration’s (“EIA”) Short-Term Energy Outlook as of January 2026:</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World Liquid Fuels Production and Consumption Balance </w:t>
      </w:r>
      <w:r>
        <w:rPr>
          <w:rFonts w:ascii="Times New Roman" w:cs="Times New Roman" w:eastAsia="Times New Roman" w:hAnsi="Times New Roman"/>
          <w:sz w:val="23"/>
          <w:szCs w:val="23"/>
          <w:b w:val="1"/>
          <w:bCs w:val="1"/>
          <w:color w:val="auto"/>
          <w:vertAlign w:val="superscript"/>
        </w:rPr>
        <w:t>(1)</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035040" cy="32404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504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Barrels produced and consumed per quarter.</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combination of population growth and progressively improving living standards for non-OECD (Organization for Economic Cooperation and Development) countries underpins increasing energy demand globally for decades to come. We believe reliable, affordable, and responsible energy resources are all critical components to maintain energy security and global stability, requiring all sources of energy including both hydrocarbons and renewables.</w:t>
      </w:r>
    </w:p>
    <w:p>
      <w:pPr>
        <w:spacing w:after="0" w:line="20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depicted in EIA’s Short-Term Energy Outlook (chart above), we expect crude oil demand to continue increasing, driven largely by our view that hydrocarbon-based fuels are the most efficient fuels for the transportation of people and goods, and hydrocarbon-based products provide the building blocks for modern civilization such as fertilizers, plastics and cement. While the market is well supplied near-term, we believe geopolitical risk and uncertainty around OPEC’s ability to continue increasing production may present a more constructive outlook for global supply/demand compared to the current EIA forecast into 2027.</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North America has proven to be an essential and reliable source of crude oil and NGL production growth for the global market. This is driven by the lifting of the U.S. crude oil export ban, infrastructure debottlenecking in both the U.S. and Canada, and world-class geological formations unlocked through technological improvements and techniques.</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Permian Basin continues to be one of the most prolific basins in the world and was the predominant driver of U.S. production growth in 2025. We expect the Permian Basin to be a key contributor to global supply for years to come, based on strong economics and the recent wave of consolidation leading to more stable activity levels over a wide range of commodity price environments.</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It is against this macro energy market backdrop that we expect to generate significant positive free cash flow on a multi-year basis, supported by our existing asset base and integrated business model. Our financial strategy and long-term capital allocation framework is focused on generating meaningful multi-year free cash flow and improving shareholder returns by (i) increasing returns of capital to equity holders, primarily through increased distributions, (ii) making disciplined accretive investments and (iii) maintaining an investment grade credit profile and ensuring balance sheet flexibility.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recognized net income attributable to PAA of $1.435 billion for the year ended December 31, 2025 compared to net income attributable to PAA of $772 million for the year ended December 31, 2024. See the “—Results of Operations” section below for discussion of significant drivers of our results from continuing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5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8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29"/>
        </w:trPr>
        <w:tc>
          <w:tcPr>
            <w:tcW w:w="54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54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5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54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from discontinued operations, net of tax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5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r>
      <w:tr>
        <w:trPr>
          <w:trHeight w:val="230"/>
        </w:trPr>
        <w:tc>
          <w:tcPr>
            <w:tcW w:w="5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3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175"/>
        </w:trPr>
        <w:tc>
          <w:tcPr>
            <w:tcW w:w="3880" w:type="dxa"/>
            <w:vAlign w:val="bottom"/>
            <w:tcBorders>
              <w:bottom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71" w:lineRule="exact"/>
        <w:rPr>
          <w:sz w:val="20"/>
          <w:szCs w:val="20"/>
          <w:color w:val="auto"/>
        </w:rPr>
      </w:pPr>
    </w:p>
    <w:p>
      <w:pPr>
        <w:ind w:left="660" w:right="840" w:hanging="652"/>
        <w:spacing w:after="0" w:line="229" w:lineRule="auto"/>
        <w:tabs>
          <w:tab w:leader="none" w:pos="32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expense, net” and “Other income, net” each include $87 million and $48 million for the years ended December 31, 2025 and 2024, respectively, related to interest on promissory notes by and among us and certain Plains entities.</w:t>
      </w:r>
    </w:p>
    <w:p>
      <w:pPr>
        <w:spacing w:after="0" w:line="60"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3 to our Consolidated Financial Statements for a reconciliation of the line items comprising income from discontinued operations, net of tax.</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discussion of our results of operations focuses on our continuing operations.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During the Year Ended December 31,</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98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29"/>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and purchases decreased for the year ended December 31, 2025 compared to the year ended December 31, 2024 primarily due to lower commodity prices in 2025, partially offset by higher crude oil sales volumes in 2025.</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Revenues from services increased for the year ended December 31, 2025 compared to the year ended December 31, 2024 primarily due to higher pipeline volumes and tariff escalations, as well as the impact of recently completed acquisitions, partially offset by the impact from lower commodity prices in 2025 and the impact from certain Permian long-haul pipeline contract rates resetting to market in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net revenues (revenues less purchases and related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year ended December 31, 2025 compared to the year ended December 31, 2024 was primarily due to transaction costs associated with our recent acquisitions, partially offset by lower information systems costs due to the completion of certain systems conversion and integration work.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for the year ended December 31, 2025 compared to the year ended December 31, 2024 was largely driven by recently completed acquisitions. See Note 8 to our Consolidated Financial Statements for additional information regarding our acquisitions.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Gains/(Losses) on Asset Sales, Asset Impairments and Other, Net</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net gain on asset sales, asset impairments and other, net for the year ended December 31, 2025 was primarily due to gains recognized during the year on various asset divestitures. In addition, in connection with the pending sale of the Canadian NGL Business, we entered into a deal-contingent forward currency instrument to hedge the currency exchange risk associated with the sale in CAD. The year ended December 31, 2025 was impacted by the mark-to-market of this instrument. See Note 13 to our Consolidated Financial Statements for additional information regarding this instrument and our derivatives and hedging activities. See Note 1 to our Consolidated Financial Statements for additional information regarding the pending sale of the Canadian NGL Business.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net loss on asset sales, asset impairments and other, net for the year ended December 31, 2024 was primarily due to non-cash charges related to the write-down of certain of our long-lived U.S. terminal assets included in our NGL segment due to asset impairments and accelerated depreciation in the fourth quarter of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and Note 8 to our Consolidated Financial Statements for additional information regarding our asset sales and asset impairments.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 in Unconsolidated Entities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2025, we recognized a gain of $31 million related to our acquisition of the remaining 50% interest in Cheyenne Pipeline LLC through a non-monetary transaction.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fourth quarter of 2024, we recognized a gain of $15 million related to our acquisition of the remaining 50% interest in Midway Pipeline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Consolidated Financial Statements for additional information regarding these transactions.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 and Other Income/(Expense), Net</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 See Note 17 to our Consolidated Financial Statements for additional information on our related party notes.</w:t>
      </w:r>
    </w:p>
    <w:p>
      <w:pPr>
        <w:spacing w:after="0" w:line="21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See Note 11 to our Consolidated Financial Statements for additional information regarding our debt and related activities during the periods presented.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3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85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third-party borrowings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8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on related party promissory notes </w:t>
            </w:r>
            <w:r>
              <w:rPr>
                <w:rFonts w:ascii="Times New Roman" w:cs="Times New Roman" w:eastAsia="Times New Roman" w:hAnsi="Times New Roman"/>
                <w:sz w:val="23"/>
                <w:szCs w:val="23"/>
                <w:color w:val="auto"/>
                <w:vertAlign w:val="superscript"/>
              </w:rPr>
              <w:t>(2)</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38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38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171" w:lineRule="exact"/>
        <w:rPr>
          <w:sz w:val="20"/>
          <w:szCs w:val="20"/>
          <w:color w:val="auto"/>
        </w:rPr>
      </w:pPr>
    </w:p>
    <w:p>
      <w:pPr>
        <w:ind w:left="660" w:right="80" w:hanging="652"/>
        <w:spacing w:after="0" w:line="241"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interest expense for the year ended December 31, 2025 compared to 2024 was primarily driven by (i) the issuance of an aggregate of $3.0 billion of senior notes during 2025 and (ii) higher commercial paper and term loan borrowings in 2025, primarily related to the funding of the EPIC acquisition, partially offset by (iii) the repayment of $1.0 billion of senior notes in October 2025. See Note 11 to our Consolidated Financial Statements for additional information regarding our debt and related activities during the periods presented. See Note 8 to our Consolidated Financial Statements for additional information regarding the EPIC acquisition.</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associated with promissory notes by and among us and certain Plains entities, as described above.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Other income, net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3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r>
      <w:tr>
        <w:trPr>
          <w:trHeight w:val="229"/>
        </w:trPr>
        <w:tc>
          <w:tcPr>
            <w:tcW w:w="850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income on related party promissory notes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from other sources</w:t>
            </w: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interest income associated with promissory notes by and among us and certain Plains entities, as described above.</w:t>
      </w:r>
    </w:p>
    <w:p>
      <w:pPr>
        <w:spacing w:after="0" w:line="117" w:lineRule="exact"/>
        <w:rPr>
          <w:sz w:val="20"/>
          <w:szCs w:val="20"/>
          <w:color w:val="auto"/>
        </w:rPr>
      </w:pPr>
    </w:p>
    <w:p>
      <w:pPr>
        <w:ind w:left="20" w:right="120" w:hanging="11"/>
        <w:spacing w:after="0" w:line="282"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from Continuing Operations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6"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net favorable income tax expense from continuing operations variance for the year ended December 31, 2025 compared to the year ended December 31, 2024 was primarily due to higher income tax expense in 2024 associated with Canadian withholding tax on intercompany dividends from our Canadian entity driven by timing of dividend payments, including proceeds from asset divestitures.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64"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Consolidated Financial Statements and accompanying notes. See “— Liquidity and Capital Resources—Non-GAAP Financial Liquidity Measures” for additional information regarding Adjusted Free Cash Flow and Adjusted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140" w:firstLine="8"/>
        <w:spacing w:after="0" w:line="255"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Management believes that the presentation of certain Non-GAAP financial performance measures, such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Adjusted EBITDA attributable to PAA, Implied DCF,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around the end of the first quarter of 2026, management continues to view the Canadian NGL Business as a component of our overall company performance and ability to fund distributions to our unitholders in the near term.</w:t>
      </w:r>
    </w:p>
    <w:p>
      <w:pPr>
        <w:spacing w:after="0" w:line="21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from Net Income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82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1,769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(2)</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from discontinued operations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from continuing operations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from discontinued operations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75"/>
        </w:trPr>
        <w:tc>
          <w:tcPr>
            <w:tcW w:w="54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(Gains)/losses on asset sales, asset impairments and other, net from</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continuing operations</w:t>
            </w: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75"/>
        </w:trPr>
        <w:tc>
          <w:tcPr>
            <w:tcW w:w="54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Losses on asset sales, asset impairments and other, net from</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discontinued operations </w:t>
            </w:r>
            <w:r>
              <w:rPr>
                <w:rFonts w:ascii="Times New Roman" w:cs="Times New Roman" w:eastAsia="Times New Roman" w:hAnsi="Times New Roman"/>
                <w:sz w:val="23"/>
                <w:szCs w:val="23"/>
                <w:color w:val="auto"/>
                <w:vertAlign w:val="superscript"/>
              </w:rPr>
              <w:t>(3)</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(4)</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Rail fleet amortization expense related to discontinued operations </w:t>
            </w:r>
            <w:r>
              <w:rPr>
                <w:rFonts w:ascii="Times New Roman" w:cs="Times New Roman" w:eastAsia="Times New Roman" w:hAnsi="Times New Roman"/>
                <w:sz w:val="23"/>
                <w:szCs w:val="23"/>
                <w:color w:val="auto"/>
                <w:vertAlign w:val="superscript"/>
              </w:rPr>
              <w:t>(5)</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8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4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Selected Items Impacting Comparability - Segment Adjusted EBITDA </w:t>
            </w:r>
            <w:r>
              <w:rPr>
                <w:rFonts w:ascii="Times New Roman" w:cs="Times New Roman" w:eastAsia="Times New Roman" w:hAnsi="Times New Roman"/>
                <w:sz w:val="18"/>
                <w:szCs w:val="18"/>
                <w:color w:val="auto"/>
                <w:vertAlign w:val="superscript"/>
              </w:rPr>
              <w:t>(1)</w:t>
            </w:r>
          </w:p>
        </w:tc>
        <w:tc>
          <w:tcPr>
            <w:tcW w:w="8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4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(6)</w:t>
            </w:r>
          </w:p>
        </w:tc>
        <w:tc>
          <w:tcPr>
            <w:tcW w:w="8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(1) (8)</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(8)</w:t>
            </w:r>
          </w:p>
        </w:tc>
        <w:tc>
          <w:tcPr>
            <w:tcW w:w="820" w:type="dxa"/>
            <w:vAlign w:val="bottom"/>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3,326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(9)</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shd w:val="clear" w:color="auto" w:fill="CCEEFF"/>
          </w:tcPr>
          <w:p>
            <w:pPr>
              <w:jc w:val="right"/>
              <w:ind w:right="6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48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(8) (10)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54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non-cash and other items </w:t>
            </w:r>
            <w:r>
              <w:rPr>
                <w:rFonts w:ascii="Times New Roman" w:cs="Times New Roman" w:eastAsia="Times New Roman" w:hAnsi="Times New Roman"/>
                <w:sz w:val="23"/>
                <w:szCs w:val="23"/>
                <w:color w:val="auto"/>
                <w:vertAlign w:val="superscript"/>
              </w:rPr>
              <w:t>(11)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from continuing operations </w:t>
            </w:r>
            <w:r>
              <w:rPr>
                <w:rFonts w:ascii="Times New Roman" w:cs="Times New Roman" w:eastAsia="Times New Roman" w:hAnsi="Times New Roman"/>
                <w:sz w:val="23"/>
                <w:szCs w:val="23"/>
                <w:color w:val="auto"/>
                <w:vertAlign w:val="superscript"/>
              </w:rPr>
              <w:t>(12)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54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from discontinued operations </w:t>
            </w:r>
            <w:r>
              <w:rPr>
                <w:rFonts w:ascii="Times New Roman" w:cs="Times New Roman" w:eastAsia="Times New Roman" w:hAnsi="Times New Roman"/>
                <w:sz w:val="23"/>
                <w:szCs w:val="23"/>
                <w:color w:val="auto"/>
                <w:vertAlign w:val="superscript"/>
              </w:rPr>
              <w:t>(12)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Investment capital of noncontrolling interests </w:t>
            </w:r>
            <w:r>
              <w:rPr>
                <w:rFonts w:ascii="Times New Roman" w:cs="Times New Roman" w:eastAsia="Times New Roman" w:hAnsi="Times New Roman"/>
                <w:sz w:val="23"/>
                <w:szCs w:val="23"/>
                <w:color w:val="auto"/>
                <w:vertAlign w:val="superscript"/>
              </w:rPr>
              <w:t>(13)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income tax expense from continuing 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9"/>
        </w:trPr>
        <w:tc>
          <w:tcPr>
            <w:tcW w:w="5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Current income tax expense from discontinued operations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176"/>
        </w:trPr>
        <w:tc>
          <w:tcPr>
            <w:tcW w:w="54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 excess of/(less than)</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5480" w:type="dxa"/>
            <w:vAlign w:val="bottom"/>
            <w:gridSpan w:val="2"/>
          </w:tcPr>
          <w:p>
            <w:pPr>
              <w:ind w:left="300"/>
              <w:spacing w:after="0" w:line="243" w:lineRule="exact"/>
              <w:rPr>
                <w:sz w:val="20"/>
                <w:szCs w:val="20"/>
                <w:color w:val="auto"/>
              </w:rPr>
            </w:pPr>
            <w:r>
              <w:rPr>
                <w:rFonts w:ascii="Times New Roman" w:cs="Times New Roman" w:eastAsia="Times New Roman" w:hAnsi="Times New Roman"/>
                <w:sz w:val="18"/>
                <w:szCs w:val="18"/>
                <w:color w:val="auto"/>
              </w:rPr>
              <w:t xml:space="preserve">adjusted equity earnings </w:t>
            </w:r>
            <w:r>
              <w:rPr>
                <w:rFonts w:ascii="Times New Roman" w:cs="Times New Roman" w:eastAsia="Times New Roman" w:hAnsi="Times New Roman"/>
                <w:sz w:val="23"/>
                <w:szCs w:val="23"/>
                <w:color w:val="auto"/>
                <w:vertAlign w:val="superscript"/>
              </w:rPr>
              <w:t>(14)</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4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4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54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Available to Common Unitholders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23"/>
        </w:trPr>
        <w:tc>
          <w:tcPr>
            <w:tcW w:w="548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54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 (16)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6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ectPr>
          <w:pgSz w:w="11900" w:h="16838" w:orient="portrait"/>
          <w:cols w:equalWidth="0" w:num="1">
            <w:col w:w="11240"/>
          </w:cols>
          <w:pgMar w:left="320" w:top="126" w:right="339"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results from continuing operations and discontinued operations.</w:t>
      </w:r>
    </w:p>
    <w:p>
      <w:pPr>
        <w:spacing w:after="0" w:line="117" w:lineRule="exact"/>
        <w:rPr>
          <w:sz w:val="20"/>
          <w:szCs w:val="20"/>
          <w:color w:val="auto"/>
        </w:rPr>
      </w:pPr>
    </w:p>
    <w:p>
      <w:pPr>
        <w:ind w:left="20" w:right="260" w:hanging="11"/>
        <w:spacing w:after="0" w:line="282" w:lineRule="auto"/>
        <w:rPr>
          <w:sz w:val="20"/>
          <w:szCs w:val="20"/>
          <w:color w:val="auto"/>
        </w:rPr>
      </w:pPr>
      <w:r>
        <w:rPr>
          <w:rFonts w:ascii="Times New Roman" w:cs="Times New Roman" w:eastAsia="Times New Roman" w:hAnsi="Times New Roman"/>
          <w:sz w:val="18"/>
          <w:szCs w:val="18"/>
          <w:color w:val="auto"/>
        </w:rPr>
        <w:t>Represents “Interest expense, net” as reported on our Consolidated Statements of Operations, net of interest income associated with promissory notes by and among us and certain Plains entities.</w:t>
      </w:r>
    </w:p>
    <w:p>
      <w:pPr>
        <w:spacing w:after="0" w:line="54"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Note 3 to our Consolidated Financial Statements for additional information.</w:t>
      </w:r>
    </w:p>
    <w:p>
      <w:pPr>
        <w:spacing w:after="0" w:line="117" w:lineRule="exact"/>
        <w:rPr>
          <w:sz w:val="20"/>
          <w:szCs w:val="20"/>
          <w:color w:val="auto"/>
        </w:rPr>
      </w:pPr>
    </w:p>
    <w:p>
      <w:pPr>
        <w:ind w:left="20" w:right="66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ind w:left="660" w:right="20" w:hanging="652"/>
        <w:spacing w:after="0" w:line="244" w:lineRule="auto"/>
        <w:tabs>
          <w:tab w:leader="none" w:pos="64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Consolidated Financial Statements for additional information regarding the pending sale of the Canadian NGL Business. Also see the “—Non-GAAP Financial Measures” section above.</w:t>
      </w:r>
    </w:p>
    <w:p>
      <w:pPr>
        <w:sectPr>
          <w:pgSz w:w="11900" w:h="16838" w:orient="portrait"/>
          <w:cols w:equalWidth="0" w:num="1">
            <w:col w:w="11240"/>
          </w:cols>
          <w:pgMar w:left="320" w:top="126" w:right="3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60" w:hanging="11"/>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these selected items impacting comparability, see the footnotes to the segment financial data tables in Note 20 to our Consolidated Financial Statements.</w:t>
      </w:r>
    </w:p>
    <w:p>
      <w:pPr>
        <w:spacing w:after="0" w:line="54" w:lineRule="exact"/>
        <w:rPr>
          <w:sz w:val="20"/>
          <w:szCs w:val="20"/>
          <w:color w:val="auto"/>
        </w:rPr>
      </w:pPr>
    </w:p>
    <w:p>
      <w:pPr>
        <w:ind w:right="20" w:hanging="11"/>
        <w:spacing w:after="0" w:line="266" w:lineRule="auto"/>
        <w:rPr>
          <w:sz w:val="20"/>
          <w:szCs w:val="20"/>
          <w:color w:val="auto"/>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68"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left="660" w:right="120" w:hanging="652"/>
        <w:spacing w:after="0" w:line="235"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income, net” on our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82" w:lineRule="exact"/>
        <w:rPr>
          <w:rFonts w:ascii="Times New Roman" w:cs="Times New Roman" w:eastAsia="Times New Roman" w:hAnsi="Times New Roman"/>
          <w:sz w:val="23"/>
          <w:szCs w:val="23"/>
          <w:color w:val="auto"/>
          <w:vertAlign w:val="superscript"/>
        </w:rPr>
      </w:pPr>
    </w:p>
    <w:p>
      <w:pPr>
        <w:ind w:left="640" w:hanging="632"/>
        <w:spacing w:after="0" w:line="219" w:lineRule="auto"/>
        <w:tabs>
          <w:tab w:leader="none" w:pos="64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table above for a reconciliation from Net Income to Adjusted EBITDA.</w:t>
      </w:r>
    </w:p>
    <w:p>
      <w:pPr>
        <w:spacing w:after="0" w:line="90" w:lineRule="exact"/>
        <w:rPr>
          <w:rFonts w:ascii="Times New Roman" w:cs="Times New Roman" w:eastAsia="Times New Roman" w:hAnsi="Times New Roman"/>
          <w:sz w:val="23"/>
          <w:szCs w:val="23"/>
          <w:color w:val="auto"/>
          <w:vertAlign w:val="superscript"/>
        </w:rPr>
      </w:pPr>
    </w:p>
    <w:p>
      <w:pPr>
        <w:ind w:left="660" w:right="80" w:hanging="652"/>
        <w:spacing w:after="0" w:line="229" w:lineRule="auto"/>
        <w:tabs>
          <w:tab w:leader="none" w:pos="648"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excludes certain non-cash items impacting interest expense such as amortization of debt issuance costs and terminated interest rate swaps and is net of interest income associated with promissory notes by and among us and certain Plains entities.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82" w:lineRule="exact"/>
        <w:rPr>
          <w:sz w:val="20"/>
          <w:szCs w:val="20"/>
          <w:color w:val="auto"/>
        </w:rPr>
      </w:pPr>
    </w:p>
    <w:p>
      <w:pPr>
        <w:ind w:left="660" w:right="340" w:hanging="652"/>
        <w:spacing w:after="0" w:line="229" w:lineRule="auto"/>
        <w:tabs>
          <w:tab w:leader="none" w:pos="652"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860" w:hanging="652"/>
        <w:spacing w:after="0" w:line="235" w:lineRule="auto"/>
        <w:tabs>
          <w:tab w:leader="none" w:pos="652"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80" w:hanging="652"/>
        <w:spacing w:after="0" w:line="229" w:lineRule="auto"/>
        <w:tabs>
          <w:tab w:leader="none" w:pos="652"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5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Chief Operating Decision Maker (“CODM”) (our Chief Executive Officer) evaluates segment performance based on measures including Segment Adjusted EBITDA.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define Segment Adjusted EBITDA as revenues and equity earnings in unconsolidated entities less (a) significant segment expenses including:</w:t>
      </w:r>
    </w:p>
    <w:p>
      <w:pPr>
        <w:spacing w:after="0" w:line="27" w:lineRule="exact"/>
        <w:rPr>
          <w:sz w:val="20"/>
          <w:szCs w:val="20"/>
          <w:color w:val="auto"/>
        </w:rPr>
      </w:pPr>
    </w:p>
    <w:p>
      <w:pPr>
        <w:ind w:firstLine="8"/>
        <w:spacing w:after="0" w:line="251" w:lineRule="auto"/>
        <w:tabs>
          <w:tab w:leader="none" w:pos="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 See Note 20 to our Consolidated Financial Statements for a reconciliation of Segment Adjusted EBITDA to Income from Continuing Operations, Net of Tax.</w:t>
      </w:r>
    </w:p>
    <w:p>
      <w:pPr>
        <w:spacing w:after="0" w:line="22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merchant activities, our Crude Oil and NGL segments may enter into intersegment transactions for the purchase or sale of products, along with services such as the transportation, terminalling or storage of products. Intersegment transactions are conducted at rates similar to those charged to third parties or rates that we believe approximate market.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1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and expenses from our Canadian based subsidiaries, which use CAD as their functional currency, are translated at the prevailing average exchange rates for the month.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8"/>
                <w:szCs w:val="18"/>
                <w:color w:val="auto"/>
              </w:rPr>
            </w:pPr>
          </w:p>
        </w:tc>
        <w:tc>
          <w:tcPr>
            <w:tcW w:w="26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8"/>
                <w:szCs w:val="18"/>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54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Line 901 incident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Segment amounts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4"/>
                <w:szCs w:val="24"/>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360" w:type="dxa"/>
            <w:vAlign w:val="bottom"/>
            <w:tcBorders>
              <w:top w:val="single" w:sz="8" w:color="auto"/>
            </w:tcBorders>
            <w:gridSpan w:val="2"/>
            <w:shd w:val="clear" w:color="auto" w:fill="CCEEFF"/>
          </w:tcPr>
          <w:p>
            <w:pPr>
              <w:ind w:left="4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(5) (6)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5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4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3"/>
        </w:trPr>
        <w:tc>
          <w:tcPr>
            <w:tcW w:w="5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Indicates that variance as a percentage is not meaningful.</w:t>
      </w:r>
    </w:p>
    <w:p>
      <w:pPr>
        <w:sectPr>
          <w:pgSz w:w="11900" w:h="16838" w:orient="portrait"/>
          <w:cols w:equalWidth="0" w:num="1">
            <w:col w:w="11240"/>
          </w:cols>
          <w:pgMar w:left="320" w:top="126" w:right="33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components of significant segment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proportional allocations by segment require judgment by management and are based on the business activities that exist during each period.</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left="20" w:right="420" w:hanging="11"/>
        <w:spacing w:after="0" w:line="282" w:lineRule="auto"/>
        <w:rPr>
          <w:sz w:val="20"/>
          <w:szCs w:val="20"/>
          <w:color w:val="auto"/>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20 to our Consolidated Financial Statements for additional discussion of such adjustments.</w:t>
      </w:r>
    </w:p>
    <w:p>
      <w:pPr>
        <w:spacing w:after="0" w:line="54" w:lineRule="exact"/>
        <w:rPr>
          <w:sz w:val="20"/>
          <w:szCs w:val="20"/>
          <w:color w:val="auto"/>
        </w:rPr>
      </w:pPr>
    </w:p>
    <w:p>
      <w:pPr>
        <w:ind w:left="20" w:right="260" w:hanging="11"/>
        <w:spacing w:after="0" w:line="266" w:lineRule="auto"/>
        <w:rPr>
          <w:sz w:val="20"/>
          <w:szCs w:val="20"/>
          <w:color w:val="auto"/>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UJIs) for the year divided by the number of days in the year. Volumes associated with acquisitions represent total volumes for the number of days we actually owned the assets divided by the number of days in the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540"/>
          </w:cols>
          <w:pgMar w:left="320" w:top="126" w:right="399" w:bottom="1440" w:gutter="0" w:footer="0" w:header="0"/>
          <w:type w:val="continuous"/>
        </w:sectPr>
      </w:pPr>
    </w:p>
    <w:p>
      <w:pPr>
        <w:spacing w:after="0" w:line="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increased for the year ended December 31, 2025 compared to the year ended December 31, 2024 primarily due to higher tariff volumes on our pipelines, contributions from acquisitions and the benefit of tariff escalations, partially offset by fewer market-based opportunities and the impact from certain contract rates resetting to market.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periods indicated.</w:t>
      </w:r>
    </w:p>
    <w:p>
      <w:pPr>
        <w:spacing w:after="0" w:line="25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increased for the year ended December 31, 2025 compared to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results from (i) volume growth across our pipeline systems largely driven by increased production in the Permian Basin region, (ii) contributions from recently completed acquisitions in the Permian Basin and South Texas regions, including our Cactus III pipeline acquisition, and (iii) the benefit of tariff escalations were partially offset by (iv) fewer market-based opportunities, (v) lower commodity prices, which resulted in lower revenues from pipeline loss allowance in the 2025 periods, and (vi) the impact from certain Permian long-haul contract rates resetting to market in 2025.</w:t>
      </w:r>
    </w:p>
    <w:p>
      <w:pPr>
        <w:spacing w:after="0" w:line="212"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addition, equity earnings in the 2024 period includes the benefit of the recognition of deferred revenue associated with certain of our joint venture pipelines, a majority of which is excluded from Segment Adjusted EBITDA in “Other segment items” in the table above.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The decrease in field operating costs for the year ended December 31, 2025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was primarily due to the recognition in 2024 of costs associated with settlements related to the Line 901 incident that occurred in May 2015 (which impact field operating costs, but are excluded from Segment Adjusted EBITDA, and thus are reflected in “Other segment items” in the table above). This was partially offset by higher expenses in the 2025 period resulting from (i) acquisitions, (ii) higher volumes and (iii) property taxes.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Maintenance capital consists of capital expenditures for the replacement and/or refurbishment of partially or fully depreciated assets in order to maintain the operating and/or earnings capacity of our existing assets. The decrease in maintenance capital spending for the year ended December 31, 2025 compared to the same period in 2024 was primarily due to lower costs resulting from timing of certain pipeline integrity activities.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NGL assets primarily located in the Southwestern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from our NGL segment: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26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960" w:type="dxa"/>
            <w:vAlign w:val="bottom"/>
            <w:tcBorders>
              <w:bottom w:val="single" w:sz="8" w:color="auto"/>
            </w:tcBorders>
          </w:tcPr>
          <w:p>
            <w:pPr>
              <w:spacing w:after="0"/>
              <w:rPr>
                <w:sz w:val="18"/>
                <w:szCs w:val="18"/>
                <w:color w:val="auto"/>
              </w:rPr>
            </w:pPr>
          </w:p>
        </w:tc>
      </w:tr>
      <w:tr>
        <w:trPr>
          <w:trHeight w:val="191"/>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546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(2)</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54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546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 (4)</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8"/>
        </w:trPr>
        <w:tc>
          <w:tcPr>
            <w:tcW w:w="5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5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84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components of significant segment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w:t>
      </w:r>
    </w:p>
    <w:p>
      <w:pPr>
        <w:spacing w:after="0" w:line="117" w:lineRule="exact"/>
        <w:rPr>
          <w:sz w:val="20"/>
          <w:szCs w:val="20"/>
          <w:color w:val="auto"/>
        </w:rPr>
      </w:pPr>
    </w:p>
    <w:p>
      <w:pPr>
        <w:ind w:left="20" w:right="380" w:hanging="11"/>
        <w:spacing w:after="0" w:line="266" w:lineRule="auto"/>
        <w:rPr>
          <w:sz w:val="20"/>
          <w:szCs w:val="20"/>
          <w:color w:val="auto"/>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Segment Adjusted EBITDA</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4"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NGL Segment Adjusted EBITDA loss for the years ended December 31, 2025 and 2024 was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60" w:firstLine="8"/>
        <w:spacing w:after="0" w:line="253"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although we had a working capital deficit of $198 million, we had over $2.0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30" w:lineRule="exact"/>
        <w:rPr>
          <w:sz w:val="20"/>
          <w:szCs w:val="20"/>
          <w:color w:val="auto"/>
        </w:rPr>
      </w:pPr>
    </w:p>
    <w:p>
      <w:pPr>
        <w:ind w:left="1149" w:hanging="1149"/>
        <w:spacing w:after="0"/>
        <w:tabs>
          <w:tab w:leader="none" w:pos="11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11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1,298</w:t>
      </w:r>
    </w:p>
    <w:p>
      <w:pPr>
        <w:spacing w:after="0" w:line="22" w:lineRule="exact"/>
        <w:rPr>
          <w:rFonts w:ascii="Times New Roman" w:cs="Times New Roman" w:eastAsia="Times New Roman" w:hAnsi="Times New Roman"/>
          <w:sz w:val="18"/>
          <w:szCs w:val="18"/>
          <w:color w:val="auto"/>
        </w:rPr>
      </w:pPr>
    </w:p>
    <w:p>
      <w:pPr>
        <w:ind w:left="12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w:t>
      </w:r>
    </w:p>
    <w:p>
      <w:pPr>
        <w:spacing w:after="0" w:line="22" w:lineRule="exact"/>
        <w:rPr>
          <w:sz w:val="20"/>
          <w:szCs w:val="20"/>
          <w:color w:val="auto"/>
        </w:rPr>
      </w:pPr>
    </w:p>
    <w:p>
      <w:pPr>
        <w:sectPr>
          <w:pgSz w:w="11900" w:h="16838" w:orient="portrait"/>
          <w:cols w:equalWidth="0" w:num="2">
            <w:col w:w="8891" w:space="720"/>
            <w:col w:w="1629"/>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9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3"/>
        </w:trPr>
        <w:tc>
          <w:tcPr>
            <w:tcW w:w="9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1"/>
        </w:trPr>
        <w:tc>
          <w:tcPr>
            <w:tcW w:w="38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5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the facilities.</w:t>
      </w:r>
    </w:p>
    <w:p>
      <w:pPr>
        <w:spacing w:after="0" w:line="54" w:lineRule="exact"/>
        <w:rPr>
          <w:sz w:val="20"/>
          <w:szCs w:val="20"/>
          <w:color w:val="auto"/>
        </w:rPr>
      </w:pPr>
    </w:p>
    <w:p>
      <w:pPr>
        <w:ind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$52 million, respectively.</w:t>
      </w:r>
    </w:p>
    <w:p>
      <w:pPr>
        <w:spacing w:after="0" w:line="189"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Usage of our credit facilities, which provide the financial backstop for our commercial paper program, is subject to ongoing compliance with covenants, as discussed further below. Our borrowing capacity and borrowing costs are also impacted by our credit rating. See Item 1A. “Risk Factors— Risks Related to Our Business—Loss of our investment grade credit rating or the ability to receive open credit could negatively affect our borrowing costs, ability to purchase crude oil, NGL and natural gas supplies or to capitalize on market opportunities.”</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OPEC. A prolonged material decrease in our cash flows would likely produce an adverse effect on our borrowing capacity and cost of borrowing. See Item 1A. “Risk Factors” for further discussion regarding risks that may impact our liquidity and capital resources.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Credit Agreements, Commercial Paper Program, Term Loan and Indentures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three primary credit arrangements, which we use to meet our short-term cash needs. These include our $1.35 billion senior unsecured revolving credit facility maturing in 2029 (excluding a commitment of $64 million, which matures in 2027), $1.35 billion senior secured hedged inventory facility maturing in 2027 (excluding a commitment of $64 million, which matures in 2026) and $2.7 billion unsecured commercial paper program that is backstopped by our revolving credit facility and our hedged inventory facility. The credit agreements for our revolving credit facilities (which impact our ability to access our commercial paper program because they provide the financial backstop that supports our short-term credit ratings), the term loan and the indentures governing our senior notes contain cross-default provisions. A default under our credit agreements, term loan or indentures would permit the lenders to accelerate the maturity of the outstanding debt. As long as we are in compliance with the provisions in our credit agreements and term loan agreement, our ability to make distributions of available cash is not restricted. We were in compliance with the covenants contained in our credit agreements, term loan and indentures as of December 31,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net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1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and includes results from continuing operations and discontinued operations for all periods presented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84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30"/>
        </w:trPr>
        <w:tc>
          <w:tcPr>
            <w:tcW w:w="84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48"/>
        </w:trPr>
        <w:tc>
          <w:tcPr>
            <w:tcW w:w="84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459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20" w:right="20" w:hanging="11"/>
        <w:spacing w:after="0" w:line="289" w:lineRule="auto"/>
        <w:rPr>
          <w:sz w:val="20"/>
          <w:szCs w:val="20"/>
          <w:color w:val="auto"/>
        </w:rPr>
      </w:pPr>
      <w:r>
        <w:rPr>
          <w:rFonts w:ascii="Times New Roman" w:cs="Times New Roman" w:eastAsia="Times New Roman" w:hAnsi="Times New Roman"/>
          <w:sz w:val="17"/>
          <w:szCs w:val="17"/>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17 to our Consolidated Financial Statements for additional information on our related party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117" w:lineRule="exact"/>
        <w:rPr>
          <w:sz w:val="20"/>
          <w:szCs w:val="20"/>
          <w:color w:val="auto"/>
        </w:rPr>
      </w:pPr>
    </w:p>
    <w:p>
      <w:pPr>
        <w:ind w:left="20" w:right="240" w:hanging="11"/>
        <w:spacing w:after="0" w:line="266" w:lineRule="auto"/>
        <w:rPr>
          <w:sz w:val="20"/>
          <w:szCs w:val="20"/>
          <w:color w:val="auto"/>
        </w:rPr>
      </w:pPr>
      <w:r>
        <w:rPr>
          <w:rFonts w:ascii="Times New Roman" w:cs="Times New Roman" w:eastAsia="Times New Roman" w:hAnsi="Times New Roman"/>
          <w:sz w:val="18"/>
          <w:szCs w:val="18"/>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199"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our credit facilities or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periods when the market is not in contango, we typically sell our crude oil during the same month in which we purchase it and we do not rely on borrowings under our credit facilities or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our credit facilities or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21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years ended December 31, 2025 and 2024 was approximately $2.5 billion and $2.2 billion, respectively, and primarily resulted from earnings from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w w:val="95"/>
              </w:rPr>
              <w:t xml:space="preserve">Net to PAA </w:t>
            </w:r>
            <w:r>
              <w:rPr>
                <w:rFonts w:ascii="Times New Roman" w:cs="Times New Roman" w:eastAsia="Times New Roman" w:hAnsi="Times New Roman"/>
                <w:sz w:val="18"/>
                <w:szCs w:val="18"/>
                <w:b w:val="1"/>
                <w:bCs w:val="1"/>
                <w:color w:val="auto"/>
                <w:w w:val="95"/>
                <w:vertAlign w:val="superscript"/>
              </w:rPr>
              <w:t>(1) (2)</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w w:val="97"/>
              </w:rPr>
              <w:t xml:space="preserve">Consolidated </w:t>
            </w:r>
            <w:r>
              <w:rPr>
                <w:rFonts w:ascii="Times New Roman" w:cs="Times New Roman" w:eastAsia="Times New Roman" w:hAnsi="Times New Roman"/>
                <w:sz w:val="18"/>
                <w:szCs w:val="18"/>
                <w:b w:val="1"/>
                <w:bCs w:val="1"/>
                <w:color w:val="auto"/>
                <w:w w:val="97"/>
                <w:vertAlign w:val="superscript"/>
              </w:rPr>
              <w:t>(2)</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6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24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Capital Expenditures </w:t>
            </w:r>
            <w:r>
              <w:rPr>
                <w:rFonts w:ascii="Times New Roman" w:cs="Times New Roman" w:eastAsia="Times New Roman" w:hAnsi="Times New Roman"/>
                <w:sz w:val="18"/>
                <w:szCs w:val="18"/>
                <w:color w:val="auto"/>
                <w:vertAlign w:val="superscript"/>
              </w:rPr>
              <w:t>(3) (4)</w:t>
            </w: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280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Acquisition capital </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63"/>
        </w:trPr>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143"/>
        </w:trPr>
        <w:tc>
          <w:tcPr>
            <w:tcW w:w="2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180"/>
          </w:cols>
          <w:pgMar w:left="320" w:top="126" w:right="39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680" w:hanging="11"/>
        <w:spacing w:after="0" w:line="282" w:lineRule="auto"/>
        <w:rPr>
          <w:sz w:val="20"/>
          <w:szCs w:val="20"/>
          <w:color w:val="auto"/>
        </w:rPr>
      </w:pPr>
      <w:r>
        <w:rPr>
          <w:rFonts w:ascii="Times New Roman" w:cs="Times New Roman" w:eastAsia="Times New Roman" w:hAnsi="Times New Roman"/>
          <w:sz w:val="18"/>
          <w:szCs w:val="18"/>
          <w:color w:val="auto"/>
        </w:rPr>
        <w:t>Excludes expenditures attributable to noncontrolling interests, which primarily relate to the Permian JV. Includes results from continuing operations and discontinued operations for all periods presented.</w:t>
      </w:r>
    </w:p>
    <w:p>
      <w:pPr>
        <w:spacing w:after="0" w:line="54" w:lineRule="exact"/>
        <w:rPr>
          <w:sz w:val="20"/>
          <w:szCs w:val="20"/>
          <w:color w:val="auto"/>
        </w:rPr>
      </w:pPr>
    </w:p>
    <w:p>
      <w:pPr>
        <w:ind w:right="80" w:hanging="11"/>
        <w:spacing w:after="0" w:line="261" w:lineRule="auto"/>
        <w:rPr>
          <w:sz w:val="20"/>
          <w:szCs w:val="20"/>
          <w:color w:val="auto"/>
        </w:rPr>
      </w:pPr>
      <w:r>
        <w:rPr>
          <w:rFonts w:ascii="Times New Roman" w:cs="Times New Roman" w:eastAsia="Times New Roman" w:hAnsi="Times New Roman"/>
          <w:sz w:val="18"/>
          <w:szCs w:val="18"/>
          <w:color w:val="auto"/>
        </w:rPr>
        <w:t>Includes results from continuing operations and discontinued operations for all periods presented. Capital expenditures related to discontinued operations were $99 million and $70 million for investment and maintenance capital for the year ended December 31, 2025, respectively. Capital expenditures for investment and maintenance capital related to discontinued operations were $115 million and $74 million for the year ended December 31, 2024, respectively. There was no acquisition capital related to discontinued operations for any period presented.</w:t>
      </w:r>
    </w:p>
    <w:p>
      <w:pPr>
        <w:spacing w:after="0" w:line="72" w:lineRule="exact"/>
        <w:rPr>
          <w:sz w:val="20"/>
          <w:szCs w:val="20"/>
          <w:color w:val="auto"/>
        </w:rPr>
      </w:pPr>
    </w:p>
    <w:p>
      <w:pPr>
        <w:jc w:val="both"/>
        <w:ind w:right="20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20"/>
          </w:cols>
          <w:pgMar w:left="320" w:top="126" w:right="399" w:bottom="1440" w:gutter="0" w:footer="0" w:header="0"/>
          <w:type w:val="continuous"/>
        </w:sect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ind w:right="280" w:hanging="11"/>
        <w:spacing w:after="0" w:line="266" w:lineRule="auto"/>
        <w:rPr>
          <w:sz w:val="20"/>
          <w:szCs w:val="20"/>
          <w:color w:val="auto"/>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68" w:lineRule="exact"/>
        <w:rPr>
          <w:sz w:val="20"/>
          <w:szCs w:val="20"/>
          <w:color w:val="auto"/>
        </w:rPr>
      </w:pPr>
    </w:p>
    <w:p>
      <w:pPr>
        <w:ind w:right="260" w:hanging="11"/>
        <w:spacing w:after="0" w:line="258" w:lineRule="auto"/>
        <w:rPr>
          <w:sz w:val="20"/>
          <w:szCs w:val="20"/>
          <w:color w:val="auto"/>
        </w:rPr>
      </w:pPr>
      <w:r>
        <w:rPr>
          <w:rFonts w:ascii="Times New Roman" w:cs="Times New Roman" w:eastAsia="Times New Roman" w:hAnsi="Times New Roman"/>
          <w:sz w:val="18"/>
          <w:szCs w:val="18"/>
          <w:color w:val="auto"/>
        </w:rPr>
        <w:t>Acquisition capital for 2025 primarily includes the acquisitions of (i) EPIC (Cactus III), (ii) Ironwood Midstream, (iii) EMG Medallion 2 Holdings, LLC and its subsidiaries by the Permian JV, (iv) Black Knight Midstream, LLC by the Permian JV, (v) the remaining 50% interest in Cheyenne Pipeline LLC through a non-cash transaction, and (vi) an additional 20% interest in BridgeTex Pipeline. Acquisition capital for 2024 primarily includes the acquisitions of additional ownership interests in equity method investees. See Note 8 and Note 9 to our Consolidated Financial Statements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Projects</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Our investment capital programs consist of investments in midstream infrastructure projects that build upon our core assets and operations. The majority of this investment capital consists of highly-contracted projects that complement our broader system capabilities and support the long-term needs of the upstream and downstream sectors of the industry value chain. The following table summarizes our investment in capital projects related to continuing operations and discontinued operations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50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00" w:type="dxa"/>
            <w:vAlign w:val="bottom"/>
            <w:tcBorders>
              <w:top w:val="single" w:sz="8" w:color="auto"/>
            </w:tcBorders>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Complementary Permian Basin Projects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8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Permian Basin Takeaway Pipeline Projects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Projects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8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Projects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8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projects associated with assets included in the Permian JV.</w:t>
      </w:r>
    </w:p>
    <w:p>
      <w:pPr>
        <w:spacing w:after="0" w:line="22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Projected 2026 Capital Expenditures. </w:t>
      </w:r>
      <w:r>
        <w:rPr>
          <w:rFonts w:ascii="Times New Roman" w:cs="Times New Roman" w:eastAsia="Times New Roman" w:hAnsi="Times New Roman"/>
          <w:sz w:val="18"/>
          <w:szCs w:val="18"/>
          <w:color w:val="auto"/>
        </w:rPr>
        <w:t>Total investment capital for the year ending December 31, 2026 is currently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$440 million ($350 million net to our interest), which includes approximately $15 million related to discontinued operations. Approximately half of our projected investment capital expenditures are expected to be invested in the Permian JV assets. Additionally, maintenance capital for 2026 is currently projected to be approximately $185 million ($165 million net to our interest), which includes approximately $15 million related to discontinued operations. We expect to fund our 2026 investment and maintenance capital expenditures primarily with retained cash flow.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February 2025 and July 2024, promissory notes with a face value of CAD$473 million (approximately $330 million) and CAD$865 million (approximately $629 million), respectively, were issued by and among us and certain Plains entities. The cash outflow associated with our investment in promissory notes issued by PAGP to us has an equal and offsetting cash inflow associated with proceeds from the issuance by our consolidated subsidiary of promissory notes to PAGP for the same face value amount, which is included as a component of financing activities. See Note 17 to our Consolidated Financial Statements for additional information on our related party promissory notes.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Pending Sale of Canadian NGL Business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PMC ULC, our wholly-owned subsidiary that owns substantially all of the Canadian NGL Business. This transaction is expected to close around the end of the first quarter of 2026, subject to the satisfaction or waiver of customary closing conditions, including receipt of regulatory approvals. We expect to receive net proceeds from the sale of approximately $3.2 billion, after taxes, expenses and a potential special one-time distribution that is subject to approval by the board of directors of PAGP GP. Any proceeds from the pending sale of the Canadian NGL Business will be used to reduce leverage. See Note 1 to our Consolidated Financial Statements for additional information regarding the pending sale of the Canadian NGL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 and Term Loans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had net borrowings under our commercial paper program of $577 million. The net borrowings resulted primarily from funding needs for EPIC acquisition. See Note 8 to our Consolidated Financial Statements for additional information regarding this acquisition.</w:t>
      </w:r>
    </w:p>
    <w:p>
      <w:pPr>
        <w:spacing w:after="0" w:line="20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we had net repayments under our commercial paper program of $40 million. The net repayments resulted primarily from cash flow from operating activities and proceeds from the issuance of $650 million, 5.70% senior notes in June 2024, which offset borrowings during the year related to funding needs for capital investments, inventory purchases, repayment of $750 million, 3.60% senior notes due November 2024, and other general partnership purposes.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EPIC acquisition completed in November 2025, we assumed the EPIC credit agreement, which provided for a $1.2 billion term loan (the “EPIC term loan”) and a $125 million revolving credit facility. In November 2025, we entered into a term loan agreement that provides for a $1.1 billion senior unsecured term loan. On December 1, 2025, we used the proceeds from this term loan to repay the $1.1 billion of borrowings outstanding under the EPIC term loan and terminated the EPIC credit agreement. The closing of the Canadian NGL Business divestiture will trigger mandatory prepayment of all amounts outstanding under the term loan agreement within seven business days of the closing of such divestiture. We intend to use a portion of the proceeds from the pending sale of the Canadian NGL Business to repay the borrowings outstanding under the term loan. See Note 11 for additional information regarding the EPIC credit agreement and the term loan agreement.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Issuances of Senior Notes. </w:t>
      </w:r>
      <w:r>
        <w:rPr>
          <w:rFonts w:ascii="Times New Roman" w:cs="Times New Roman" w:eastAsia="Times New Roman" w:hAnsi="Times New Roman"/>
          <w:sz w:val="18"/>
          <w:szCs w:val="18"/>
          <w:color w:val="auto"/>
        </w:rPr>
        <w:t>During 2025 and 2024, we issued senior unsecured notes as summarized in the table below (in millions):</w:t>
      </w:r>
    </w:p>
    <w:p>
      <w:pPr>
        <w:spacing w:after="0" w:line="37" w:lineRule="exact"/>
        <w:rPr>
          <w:sz w:val="20"/>
          <w:szCs w:val="20"/>
          <w:color w:val="auto"/>
        </w:rPr>
      </w:pPr>
    </w:p>
    <w:p>
      <w:pPr>
        <w:ind w:left="9180"/>
        <w:spacing w:after="0"/>
        <w:tabs>
          <w:tab w:leader="none" w:pos="10280" w:val="left"/>
        </w:tabs>
        <w:rPr>
          <w:sz w:val="20"/>
          <w:szCs w:val="20"/>
          <w:color w:val="auto"/>
        </w:rPr>
      </w:pPr>
      <w:r>
        <w:rPr>
          <w:rFonts w:ascii="Times New Roman" w:cs="Times New Roman" w:eastAsia="Times New Roman" w:hAnsi="Times New Roman"/>
          <w:sz w:val="14"/>
          <w:szCs w:val="14"/>
          <w:b w:val="1"/>
          <w:bCs w:val="1"/>
          <w:color w:val="auto"/>
        </w:rPr>
        <w:t>Gross</w:t>
      </w:r>
      <w:r>
        <w:rPr>
          <w:sz w:val="20"/>
          <w:szCs w:val="20"/>
          <w:color w:val="auto"/>
        </w:rPr>
        <w:tab/>
      </w:r>
      <w:r>
        <w:rPr>
          <w:rFonts w:ascii="Times New Roman" w:cs="Times New Roman" w:eastAsia="Times New Roman" w:hAnsi="Times New Roman"/>
          <w:sz w:val="14"/>
          <w:szCs w:val="14"/>
          <w:b w:val="1"/>
          <w:bCs w:val="1"/>
          <w:color w:val="auto"/>
        </w:rPr>
        <w:t>Net</w:t>
      </w:r>
    </w:p>
    <w:p>
      <w:pPr>
        <w:ind w:left="540"/>
        <w:spacing w:after="0"/>
        <w:tabs>
          <w:tab w:leader="none" w:pos="3620" w:val="left"/>
          <w:tab w:leader="none" w:pos="6580" w:val="left"/>
          <w:tab w:leader="none" w:pos="7940" w:val="left"/>
          <w:tab w:leader="none" w:pos="9000" w:val="left"/>
          <w:tab w:leader="none" w:pos="10060" w:val="left"/>
        </w:tabs>
        <w:rPr>
          <w:sz w:val="20"/>
          <w:szCs w:val="20"/>
          <w:color w:val="auto"/>
        </w:rPr>
      </w:pPr>
      <w:r>
        <w:rPr>
          <w:rFonts w:ascii="Times New Roman" w:cs="Times New Roman" w:eastAsia="Times New Roman" w:hAnsi="Times New Roman"/>
          <w:sz w:val="14"/>
          <w:szCs w:val="14"/>
          <w:b w:val="1"/>
          <w:bCs w:val="1"/>
          <w:color w:val="auto"/>
        </w:rPr>
        <w:t>Issuance Date</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Maturity</w:t>
      </w:r>
      <w:r>
        <w:rPr>
          <w:sz w:val="20"/>
          <w:szCs w:val="20"/>
          <w:color w:val="auto"/>
        </w:rPr>
        <w:tab/>
      </w:r>
      <w:r>
        <w:rPr>
          <w:rFonts w:ascii="Times New Roman" w:cs="Times New Roman" w:eastAsia="Times New Roman" w:hAnsi="Times New Roman"/>
          <w:sz w:val="14"/>
          <w:szCs w:val="14"/>
          <w:b w:val="1"/>
          <w:bCs w:val="1"/>
          <w:color w:val="auto"/>
        </w:rPr>
        <w:t>Face Value</w:t>
      </w:r>
      <w:r>
        <w:rPr>
          <w:sz w:val="20"/>
          <w:szCs w:val="20"/>
          <w:color w:val="auto"/>
        </w:rPr>
        <w:tab/>
      </w: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18"/>
          <w:szCs w:val="18"/>
          <w:b w:val="1"/>
          <w:bCs w:val="1"/>
          <w:color w:val="auto"/>
          <w:vertAlign w:val="superscript"/>
        </w:rPr>
        <w:t>(1)</w:t>
      </w:r>
      <w:r>
        <w:rPr>
          <w:sz w:val="20"/>
          <w:szCs w:val="20"/>
          <w:color w:val="auto"/>
        </w:rPr>
        <w:tab/>
      </w:r>
      <w:r>
        <w:rPr>
          <w:rFonts w:ascii="Times New Roman" w:cs="Times New Roman" w:eastAsia="Times New Roman" w:hAnsi="Times New Roman"/>
          <w:sz w:val="13"/>
          <w:szCs w:val="13"/>
          <w:b w:val="1"/>
          <w:bCs w:val="1"/>
          <w:color w:val="auto"/>
        </w:rPr>
        <w:t>Proceeds</w:t>
      </w:r>
      <w:r>
        <w:rPr>
          <w:rFonts w:ascii="Times New Roman" w:cs="Times New Roman" w:eastAsia="Times New Roman" w:hAnsi="Times New Roman"/>
          <w:sz w:val="16"/>
          <w:szCs w:val="16"/>
          <w:b w:val="1"/>
          <w:bCs w:val="1"/>
          <w:color w:val="auto"/>
          <w:vertAlign w:val="superscript"/>
        </w:rPr>
        <w:t>(2)</w:t>
      </w:r>
    </w:p>
    <w:p>
      <w:pPr>
        <w:sectPr>
          <w:pgSz w:w="11900" w:h="16838" w:orient="portrait"/>
          <w:cols w:equalWidth="0" w:num="1">
            <w:col w:w="11200"/>
          </w:cols>
          <w:pgMar w:left="320" w:top="126" w:right="37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4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rPr>
              <w:t>November 14, 2025</w:t>
            </w:r>
          </w:p>
        </w:tc>
        <w:tc>
          <w:tcPr>
            <w:tcW w:w="100" w:type="dxa"/>
            <w:vAlign w:val="bottom"/>
          </w:tcPr>
          <w:p>
            <w:pPr>
              <w:spacing w:after="0"/>
              <w:rPr>
                <w:sz w:val="15"/>
                <w:szCs w:val="15"/>
                <w:color w:val="auto"/>
              </w:rPr>
            </w:pPr>
          </w:p>
        </w:tc>
        <w:tc>
          <w:tcPr>
            <w:tcW w:w="392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rPr>
              <w:t>4.70% senior notes issued at 99.872%</w:t>
            </w:r>
          </w:p>
        </w:tc>
        <w:tc>
          <w:tcPr>
            <w:tcW w:w="100" w:type="dxa"/>
            <w:vAlign w:val="bottom"/>
          </w:tcPr>
          <w:p>
            <w:pPr>
              <w:spacing w:after="0"/>
              <w:rPr>
                <w:sz w:val="15"/>
                <w:szCs w:val="15"/>
                <w:color w:val="auto"/>
              </w:rPr>
            </w:pPr>
          </w:p>
        </w:tc>
        <w:tc>
          <w:tcPr>
            <w:tcW w:w="164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8"/>
                <w:szCs w:val="18"/>
                <w:color w:val="auto"/>
                <w:w w:val="99"/>
              </w:rPr>
              <w:t>January 2031</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10"/>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5"/>
                <w:szCs w:val="15"/>
                <w:color w:val="auto"/>
              </w:rPr>
            </w:pPr>
          </w:p>
        </w:tc>
        <w:tc>
          <w:tcPr>
            <w:tcW w:w="340" w:type="dxa"/>
            <w:vAlign w:val="bottom"/>
            <w:tcBorders>
              <w:top w:val="single" w:sz="8" w:color="auto"/>
            </w:tcBorders>
          </w:tcPr>
          <w:p>
            <w:pPr>
              <w:jc w:val="right"/>
              <w:ind w:right="150"/>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5"/>
                <w:szCs w:val="15"/>
                <w:color w:val="auto"/>
              </w:rPr>
            </w:pPr>
          </w:p>
        </w:tc>
        <w:tc>
          <w:tcPr>
            <w:tcW w:w="360" w:type="dxa"/>
            <w:vAlign w:val="bottom"/>
            <w:tcBorders>
              <w:top w:val="single" w:sz="8" w:color="auto"/>
            </w:tcBorders>
          </w:tcPr>
          <w:p>
            <w:pPr>
              <w:jc w:val="right"/>
              <w:ind w:right="170"/>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297</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20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November 14, 2025</w:t>
            </w:r>
          </w:p>
        </w:tc>
        <w:tc>
          <w:tcPr>
            <w:tcW w:w="40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5.60% senior notes issued at 100.518%</w:t>
            </w: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January 2036</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6"/>
                <w:szCs w:val="16"/>
                <w:color w:val="auto"/>
              </w:rPr>
            </w:pPr>
          </w:p>
        </w:tc>
        <w:tc>
          <w:tcPr>
            <w:tcW w:w="34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16"/>
                <w:szCs w:val="16"/>
                <w:color w:val="auto"/>
              </w:rPr>
            </w:pPr>
          </w:p>
        </w:tc>
        <w:tc>
          <w:tcPr>
            <w:tcW w:w="36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448</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20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September 8, 2025</w:t>
            </w:r>
          </w:p>
        </w:tc>
        <w:tc>
          <w:tcPr>
            <w:tcW w:w="40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4.70% senior notes issued at 99.865%</w:t>
            </w: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January 2031</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6"/>
                <w:szCs w:val="16"/>
                <w:color w:val="auto"/>
              </w:rPr>
            </w:pPr>
          </w:p>
        </w:tc>
        <w:tc>
          <w:tcPr>
            <w:tcW w:w="34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6"/>
                <w:szCs w:val="16"/>
                <w:color w:val="auto"/>
              </w:rPr>
            </w:pPr>
          </w:p>
        </w:tc>
        <w:tc>
          <w:tcPr>
            <w:tcW w:w="36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693</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20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September 8, 2025</w:t>
            </w:r>
          </w:p>
        </w:tc>
        <w:tc>
          <w:tcPr>
            <w:tcW w:w="40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5.60% senior notes issued at 99.798%</w:t>
            </w: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January 2036</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6"/>
                <w:szCs w:val="16"/>
                <w:color w:val="auto"/>
              </w:rPr>
            </w:pPr>
          </w:p>
        </w:tc>
        <w:tc>
          <w:tcPr>
            <w:tcW w:w="34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6"/>
                <w:szCs w:val="16"/>
                <w:color w:val="auto"/>
              </w:rPr>
            </w:pPr>
          </w:p>
        </w:tc>
        <w:tc>
          <w:tcPr>
            <w:tcW w:w="36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544</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20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January 15, 2025</w:t>
            </w:r>
          </w:p>
        </w:tc>
        <w:tc>
          <w:tcPr>
            <w:tcW w:w="40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5.95% senior notes issued at 99.761%</w:t>
            </w:r>
          </w:p>
        </w:tc>
        <w:tc>
          <w:tcPr>
            <w:tcW w:w="17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June 2035</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6"/>
                <w:szCs w:val="16"/>
                <w:color w:val="auto"/>
              </w:rPr>
            </w:pPr>
          </w:p>
        </w:tc>
        <w:tc>
          <w:tcPr>
            <w:tcW w:w="34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16"/>
                <w:szCs w:val="16"/>
                <w:color w:val="auto"/>
              </w:rPr>
            </w:pPr>
          </w:p>
        </w:tc>
        <w:tc>
          <w:tcPr>
            <w:tcW w:w="36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988</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184"/>
        </w:trPr>
        <w:tc>
          <w:tcPr>
            <w:tcW w:w="20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June 27, 2024</w:t>
            </w:r>
          </w:p>
        </w:tc>
        <w:tc>
          <w:tcPr>
            <w:tcW w:w="40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5.70% senior notes issued at 99.953%</w:t>
            </w:r>
          </w:p>
        </w:tc>
        <w:tc>
          <w:tcPr>
            <w:tcW w:w="17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September 2034</w:t>
            </w:r>
          </w:p>
        </w:tc>
        <w:tc>
          <w:tcPr>
            <w:tcW w:w="30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6"/>
                <w:szCs w:val="16"/>
                <w:color w:val="auto"/>
              </w:rPr>
            </w:pPr>
          </w:p>
        </w:tc>
        <w:tc>
          <w:tcPr>
            <w:tcW w:w="340" w:type="dxa"/>
            <w:vAlign w:val="bottom"/>
          </w:tcPr>
          <w:p>
            <w:pPr>
              <w:jc w:val="right"/>
              <w:ind w:right="15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16"/>
                <w:szCs w:val="16"/>
                <w:color w:val="auto"/>
              </w:rPr>
            </w:pPr>
          </w:p>
        </w:tc>
        <w:tc>
          <w:tcPr>
            <w:tcW w:w="36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643</w:t>
            </w:r>
          </w:p>
        </w:tc>
      </w:tr>
      <w:tr>
        <w:trPr>
          <w:trHeight w:val="234"/>
        </w:trPr>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face value</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-1597025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-1056640</wp:posOffset>
            </wp:positionV>
            <wp:extent cx="7132320"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4599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493" w:lineRule="exact"/>
        <w:rPr>
          <w:sz w:val="20"/>
          <w:szCs w:val="20"/>
          <w:color w:val="auto"/>
        </w:rPr>
      </w:pPr>
    </w:p>
    <w:p>
      <w:pPr>
        <w:sectPr>
          <w:pgSz w:w="11900" w:h="16838" w:orient="portrait"/>
          <w:cols w:equalWidth="0" w:num="2">
            <w:col w:w="10880" w:space="20"/>
            <w:col w:w="300"/>
          </w:cols>
          <w:pgMar w:left="320" w:top="126" w:right="37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Face value of notes less the applicable premium or discount (before deducting for initial purchaser discounts, commissions and offering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value of notes less the applicable premium or discount, initial purchaser discounts, commissions and offering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net proceeds from these offerings for general partnership purposes.</w:t>
      </w:r>
    </w:p>
    <w:p>
      <w:pPr>
        <w:spacing w:after="0" w:line="117" w:lineRule="exact"/>
        <w:rPr>
          <w:sz w:val="20"/>
          <w:szCs w:val="20"/>
          <w:color w:val="auto"/>
        </w:rPr>
      </w:pPr>
    </w:p>
    <w:p>
      <w:pPr>
        <w:ind w:left="20" w:right="60" w:hanging="11"/>
        <w:spacing w:after="0" w:line="266" w:lineRule="auto"/>
        <w:rPr>
          <w:sz w:val="20"/>
          <w:szCs w:val="20"/>
          <w:color w:val="auto"/>
        </w:rPr>
      </w:pPr>
      <w:r>
        <w:rPr>
          <w:rFonts w:ascii="Times New Roman" w:cs="Times New Roman" w:eastAsia="Times New Roman" w:hAnsi="Times New Roman"/>
          <w:sz w:val="18"/>
          <w:szCs w:val="18"/>
          <w:color w:val="auto"/>
        </w:rPr>
        <w:t>We used the net proceeds from these offerings to (i) redeem on October 3, 2025 the principal amount of our $1.0 billion, 4.65% senior notes due October 2025 and (ii) fund a portion of the purchase price for the EPIC Pipeline acquisition. See Note 8 to our Consolidated Financial Statements for additional information regarding this acquisition.</w:t>
      </w:r>
    </w:p>
    <w:p>
      <w:pPr>
        <w:spacing w:after="0" w:line="68" w:lineRule="exact"/>
        <w:rPr>
          <w:sz w:val="20"/>
          <w:szCs w:val="20"/>
          <w:color w:val="auto"/>
        </w:rPr>
      </w:pPr>
    </w:p>
    <w:p>
      <w:pPr>
        <w:sectPr>
          <w:pgSz w:w="11900" w:h="16838" w:orient="portrait"/>
          <w:cols w:equalWidth="0" w:num="2">
            <w:col w:w="140" w:space="500"/>
            <w:col w:w="10560"/>
          </w:cols>
          <w:pgMar w:left="320" w:top="126" w:right="37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ind w:hanging="11"/>
        <w:spacing w:after="0" w:line="258" w:lineRule="auto"/>
        <w:rPr>
          <w:sz w:val="20"/>
          <w:szCs w:val="20"/>
          <w:color w:val="auto"/>
        </w:rPr>
      </w:pPr>
      <w:r>
        <w:rPr>
          <w:rFonts w:ascii="Times New Roman" w:cs="Times New Roman" w:eastAsia="Times New Roman" w:hAnsi="Times New Roman"/>
          <w:sz w:val="18"/>
          <w:szCs w:val="18"/>
          <w:color w:val="auto"/>
        </w:rPr>
        <w:t>We used the net proceeds from this offering to (i) fund the acquisitions completed during the first quarter of 2025, (ii) fund the repurchase in January 2025 of 12.7 million Series A preferred units, including accrued and unpaid distributions and (iii) repay outstanding borrowings under our credit facilities and commercial paper program, and, pending such uses, for general partnership purposes. See Note 8 and Note 12 to our Consolidated Financial Statements for additional information regarding our recently completed acquisitions and our Series A preferred units, respectively.</w:t>
      </w:r>
    </w:p>
    <w:p>
      <w:pPr>
        <w:spacing w:after="0" w:line="75" w:lineRule="exact"/>
        <w:rPr>
          <w:sz w:val="20"/>
          <w:szCs w:val="20"/>
          <w:color w:val="auto"/>
        </w:rPr>
      </w:pPr>
    </w:p>
    <w:p>
      <w:pPr>
        <w:jc w:val="both"/>
        <w:ind w:right="500" w:hanging="11"/>
        <w:spacing w:after="0" w:line="266" w:lineRule="auto"/>
        <w:rPr>
          <w:sz w:val="20"/>
          <w:szCs w:val="20"/>
          <w:color w:val="auto"/>
        </w:rPr>
      </w:pPr>
      <w:r>
        <w:rPr>
          <w:rFonts w:ascii="Times New Roman" w:cs="Times New Roman" w:eastAsia="Times New Roman" w:hAnsi="Times New Roman"/>
          <w:sz w:val="18"/>
          <w:szCs w:val="18"/>
          <w:color w:val="auto"/>
        </w:rPr>
        <w:t>We used the net proceeds from the offering, along with other cash on hand, to repay on November 1, 2024 the principal amount of our $750 million, 3.60% senior notes due November 2024. Prior to such repayment, we used a portion of the net proceeds from the offering to repay outstanding borrowings under our commercial paper program and for general partnership purposes.</w:t>
      </w:r>
    </w:p>
    <w:p>
      <w:pPr>
        <w:spacing w:after="0" w:line="200" w:lineRule="exact"/>
        <w:rPr>
          <w:sz w:val="20"/>
          <w:szCs w:val="20"/>
          <w:color w:val="auto"/>
        </w:rPr>
      </w:pPr>
    </w:p>
    <w:p>
      <w:pPr>
        <w:sectPr>
          <w:pgSz w:w="11900" w:h="16838" w:orient="portrait"/>
          <w:cols w:equalWidth="0" w:num="2">
            <w:col w:w="140" w:space="520"/>
            <w:col w:w="10540"/>
          </w:cols>
          <w:pgMar w:left="320" w:top="126" w:right="379" w:bottom="1440" w:gutter="0" w:footer="0" w:header="0"/>
          <w:type w:val="continuous"/>
        </w:sectPr>
      </w:pP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Repayments of Senior Notes. </w:t>
      </w:r>
      <w:r>
        <w:rPr>
          <w:rFonts w:ascii="Times New Roman" w:cs="Times New Roman" w:eastAsia="Times New Roman" w:hAnsi="Times New Roman"/>
          <w:sz w:val="18"/>
          <w:szCs w:val="18"/>
          <w:color w:val="auto"/>
        </w:rPr>
        <w:t>During 2025 and 2024, we repaid the following senior unsecured notes in full (in millions):</w:t>
      </w:r>
    </w:p>
    <w:p>
      <w:pPr>
        <w:spacing w:after="0" w:line="288" w:lineRule="exact"/>
        <w:rPr>
          <w:sz w:val="20"/>
          <w:szCs w:val="20"/>
          <w:color w:val="auto"/>
        </w:rPr>
      </w:pPr>
    </w:p>
    <w:p>
      <w:pPr>
        <w:ind w:left="640"/>
        <w:spacing w:after="0"/>
        <w:tabs>
          <w:tab w:leader="none" w:pos="4720" w:val="left"/>
          <w:tab w:leader="none" w:pos="8940" w:val="left"/>
        </w:tabs>
        <w:rPr>
          <w:sz w:val="20"/>
          <w:szCs w:val="20"/>
          <w:color w:val="auto"/>
        </w:rPr>
      </w:pPr>
      <w:r>
        <w:rPr>
          <w:rFonts w:ascii="Times New Roman" w:cs="Times New Roman" w:eastAsia="Times New Roman" w:hAnsi="Times New Roman"/>
          <w:sz w:val="14"/>
          <w:szCs w:val="14"/>
          <w:b w:val="1"/>
          <w:bCs w:val="1"/>
          <w:color w:val="auto"/>
        </w:rPr>
        <w:t>Repayment Date</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Maturity</w:t>
      </w:r>
    </w:p>
    <w:p>
      <w:pPr>
        <w:sectPr>
          <w:pgSz w:w="11900" w:h="16838" w:orient="portrait"/>
          <w:cols w:equalWidth="0" w:num="1">
            <w:col w:w="11200"/>
          </w:cols>
          <w:pgMar w:left="320" w:top="126" w:right="379" w:bottom="1440" w:gutter="0" w:footer="0" w:header="0"/>
          <w:type w:val="continuous"/>
        </w:sectPr>
      </w:pP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3, 2025</w:t>
            </w:r>
          </w:p>
        </w:tc>
        <w:tc>
          <w:tcPr>
            <w:tcW w:w="120" w:type="dxa"/>
            <w:vAlign w:val="bottom"/>
          </w:tcPr>
          <w:p>
            <w:pPr>
              <w:spacing w:after="0"/>
              <w:rPr>
                <w:sz w:val="20"/>
                <w:szCs w:val="20"/>
                <w:color w:val="auto"/>
              </w:rPr>
            </w:pPr>
          </w:p>
        </w:tc>
        <w:tc>
          <w:tcPr>
            <w:tcW w:w="5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million 4.65% senior notes</w:t>
            </w:r>
          </w:p>
        </w:tc>
        <w:tc>
          <w:tcPr>
            <w:tcW w:w="10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r>
      <w:tr>
        <w:trPr>
          <w:trHeight w:val="234"/>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1, 2024</w:t>
            </w:r>
          </w:p>
        </w:tc>
        <w:tc>
          <w:tcPr>
            <w:tcW w:w="5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$750 million 3.60% senior notes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-299720</wp:posOffset>
            </wp:positionV>
            <wp:extent cx="710628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(2)</w:t>
      </w:r>
    </w:p>
    <w:p>
      <w:pPr>
        <w:spacing w:after="0" w:line="347" w:lineRule="exact"/>
        <w:rPr>
          <w:sz w:val="20"/>
          <w:szCs w:val="20"/>
          <w:color w:val="auto"/>
        </w:rPr>
      </w:pPr>
    </w:p>
    <w:p>
      <w:pPr>
        <w:sectPr>
          <w:pgSz w:w="11900" w:h="16838" w:orient="portrait"/>
          <w:cols w:equalWidth="0" w:num="2">
            <w:col w:w="10600" w:space="120"/>
            <w:col w:w="480"/>
          </w:cols>
          <w:pgMar w:left="320" w:top="126" w:right="37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40" w:hanging="11"/>
        <w:spacing w:after="0" w:line="282" w:lineRule="auto"/>
        <w:rPr>
          <w:sz w:val="20"/>
          <w:szCs w:val="20"/>
          <w:color w:val="auto"/>
        </w:rPr>
      </w:pPr>
      <w:r>
        <w:rPr>
          <w:rFonts w:ascii="Times New Roman" w:cs="Times New Roman" w:eastAsia="Times New Roman" w:hAnsi="Times New Roman"/>
          <w:sz w:val="18"/>
          <w:szCs w:val="18"/>
          <w:color w:val="auto"/>
        </w:rPr>
        <w:t>We repaid these senior notes with a combination of proceeds from our senior notes issued in September 2025, cash on hand and borrowings under our commercial paper program.</w:t>
      </w:r>
    </w:p>
    <w:p>
      <w:pPr>
        <w:spacing w:after="0" w:line="54" w:lineRule="exact"/>
        <w:rPr>
          <w:sz w:val="20"/>
          <w:szCs w:val="20"/>
          <w:color w:val="auto"/>
        </w:rPr>
      </w:pPr>
    </w:p>
    <w:p>
      <w:pPr>
        <w:ind w:right="200" w:hanging="11"/>
        <w:spacing w:after="0" w:line="282" w:lineRule="auto"/>
        <w:rPr>
          <w:sz w:val="20"/>
          <w:szCs w:val="20"/>
          <w:color w:val="auto"/>
        </w:rPr>
      </w:pPr>
      <w:r>
        <w:rPr>
          <w:rFonts w:ascii="Times New Roman" w:cs="Times New Roman" w:eastAsia="Times New Roman" w:hAnsi="Times New Roman"/>
          <w:sz w:val="18"/>
          <w:szCs w:val="18"/>
          <w:color w:val="auto"/>
        </w:rPr>
        <w:t>We repaid these senior notes with a combination of proceeds from our senior notes issued in June 2024, cash on hand and borrowings under our commercial paper program.</w:t>
      </w:r>
    </w:p>
    <w:p>
      <w:pPr>
        <w:spacing w:after="0" w:line="200" w:lineRule="exact"/>
        <w:rPr>
          <w:sz w:val="20"/>
          <w:szCs w:val="20"/>
          <w:color w:val="auto"/>
        </w:rPr>
      </w:pPr>
    </w:p>
    <w:p>
      <w:pPr>
        <w:sectPr>
          <w:pgSz w:w="11900" w:h="16838" w:orient="portrait"/>
          <w:cols w:equalWidth="0" w:num="2">
            <w:col w:w="140" w:space="520"/>
            <w:col w:w="10540"/>
          </w:cols>
          <w:pgMar w:left="320" w:top="126" w:right="37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December 31, 2025. We did not conduct any offerings under our Traditional Shelf during the year 2025. We also have access to a universal shelf registration statement (“WKSI Shelf”), which provides us with the ability to offer and sell an unlimited amount of debt and equity securities, subject to market conditions and our capital needs. The offerings of our senior notes during 2025 were conducted under our WKSI Shelf.</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ind w:right="180" w:firstLine="648"/>
        <w:spacing w:after="0" w:line="272" w:lineRule="auto"/>
        <w:rPr>
          <w:sz w:val="20"/>
          <w:szCs w:val="20"/>
          <w:color w:val="auto"/>
        </w:rPr>
      </w:pPr>
      <w:r>
        <w:rPr>
          <w:rFonts w:ascii="Times New Roman" w:cs="Times New Roman" w:eastAsia="Times New Roman" w:hAnsi="Times New Roman"/>
          <w:sz w:val="17"/>
          <w:szCs w:val="17"/>
          <w:color w:val="auto"/>
        </w:rPr>
        <w:t>In November 2020, the board of directors of PAGP GP approved a $500 million common equity repurchase 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Ultimately, the amount, timing and pace of potential repurchase activity will be determined by a number of factors, including market conditions, our financial performance and flexibility, actual and expected free cash flow after distributions, the absolute and relative equity prices of our common units and PAGP Class A shares, and the extent to which we are positioned to achieve and maintain our targeted leverage ratio.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w:t>
      </w:r>
    </w:p>
    <w:p>
      <w:pPr>
        <w:spacing w:after="0" w:line="19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repurchased approximately 0.5 million common units under the Program during the year ended December 31, 2025 for a total purchase price of $8 million, including commissions and fees. There were no repurchases under the Program during the year ended December 31, 2024. The remaining available capacity under the Program as of December 31, 2025 was $190 million.</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Unit Repurchase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31, 2025, we repurchased approximately 12.7 million units, or 18%, of our outstanding Series A preferred units at the issue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$26.25 per unit for a purchase price of approximately $333 million, plus accrued and unpaid distributions through January 30, 2025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We used a portion of the net proceeds from our January 2025 senior notes offering to fund this repurchase. See Note 12 to our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for more information regarding our Series A preferred units.</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our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legal or contractual obligations and funding of future distributions to our Series A and Series B preferred unitholders. Our available cash also includes cash on hand resulting from borrowings made after the end of the quarter. See Item 5. “Market for Registrant’s Common Units, Related Unitholder Matters and Issuer Purchases of Equity Securities—Cash Distribution Policy” for additional discussion regarding distributions.</w:t>
      </w:r>
    </w:p>
    <w:p>
      <w:pPr>
        <w:spacing w:after="0" w:line="217"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Distributions to our Series A preferred unitholders. </w:t>
      </w:r>
      <w:r>
        <w:rPr>
          <w:rFonts w:ascii="Times New Roman" w:cs="Times New Roman" w:eastAsia="Times New Roman" w:hAnsi="Times New Roman"/>
          <w:sz w:val="18"/>
          <w:szCs w:val="18"/>
          <w:color w:val="auto"/>
        </w:rPr>
        <w:t>Holders of our Series A preferred units are entitled to receive quarterly distributions,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anti-dilution adjustments, of $0.615 per unit ($2.46 per unit annualized).</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Distributions to our Series B preferred unitholders. </w:t>
      </w:r>
      <w:r>
        <w:rPr>
          <w:rFonts w:ascii="Times New Roman" w:cs="Times New Roman" w:eastAsia="Times New Roman" w:hAnsi="Times New Roman"/>
          <w:sz w:val="18"/>
          <w:szCs w:val="18"/>
          <w:color w:val="auto"/>
        </w:rPr>
        <w:t>Holders of our Series B preferred units are entitled to receive, when, as and if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out of legally available funds for such purpose, cumulative cash distributions, as applicable. Distributions on the Series B preferred units accumulate based on the applicable three-month SOFR, plus a credit spread adjustment of 0.26161%, plus 4.11% per annum. The distribution rate for the quarterly distribution paid on February 17, 2026 was 8.22342% per annum ($21.02 per Series B preferred unit).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our common unitholders. </w:t>
      </w:r>
      <w:r>
        <w:rPr>
          <w:rFonts w:ascii="Times New Roman" w:cs="Times New Roman" w:eastAsia="Times New Roman" w:hAnsi="Times New Roman"/>
          <w:sz w:val="18"/>
          <w:szCs w:val="18"/>
          <w:color w:val="auto"/>
        </w:rPr>
        <w:t>On February 13, 2026, we paid a quarterly distribution of $0.4175 per common unit ($1.67 per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on an annualized basis). The total distribution of $295 million was paid to common unitholders of record as of January 30, 2026, with respect to the quarter ended December 31, 2025.</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12 to our Consolidated Financial Statements for details of distributions paid during the three years ended December 31, 2025.</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December 31, 2025, noncontrolling interests in our subsidiaries consisted of (i) a 35% interest in the Permian JV, (ii) a 30% interest in Cactus II and (iii) a 33% interest in Red River. See Note 12 to our Consolidated Financial Statements for details of distributions paid to noncontrolling interests during the three years ended December 31,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Related Party Promissory Notes</w:t>
      </w:r>
    </w:p>
    <w:p>
      <w:pPr>
        <w:spacing w:after="0" w:line="25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In February 2025 and July 2024, promissory notes with a face value of CAD$473 million (approximately $330 million) and CAD$865 million (approximately $629 million), respectively, were issued by and among us and certain Plains entities. The cash inflow associated with proceeds from the issuance by our consolidated subsidiary of promissory notes to PAGP has an equal and offsetting cash outflow associated with our investment in promissory notes issued by PAGP to us for the same face value amount, which is included as a component of investing activities. See Note 17 to our Consolidated Financial Statements for additional information on our related party promissory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19 to our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See Note 11 to our Consolidated Financial Statements for information regarding our debt obligations and Note 19 for information regarding our leases and other commitments.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December 31, 2025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2031 and</w:t>
            </w: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and other purchases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22,806</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459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660" w:right="120" w:hanging="652"/>
        <w:spacing w:after="0" w:line="235" w:lineRule="auto"/>
        <w:tabs>
          <w:tab w:leader="none" w:pos="648" w:val="left"/>
        </w:tabs>
        <w:numPr>
          <w:ilvl w:val="0"/>
          <w:numId w:val="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December 2025.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2025 and 2024, we had outstanding letters of credit of approximately $95 million and $90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25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have invested in entities that are not consolidated in our financial statements. None of these entities had debt outstanding as of December 31, 2025. We may elect at any time to make additional capital contributions to any of these entities. The following table sets forth selected information regarding these entities as of December 31, 2025 (unaudited,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Our</w:t>
            </w:r>
          </w:p>
        </w:tc>
        <w:tc>
          <w:tcPr>
            <w:tcW w:w="260" w:type="dxa"/>
            <w:vAlign w:val="bottom"/>
          </w:tcPr>
          <w:p>
            <w:pPr>
              <w:spacing w:after="0"/>
              <w:rPr>
                <w:sz w:val="13"/>
                <w:szCs w:val="1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16"/>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60" w:type="dxa"/>
            <w:vAlign w:val="bottom"/>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180" w:type="dxa"/>
            <w:vAlign w:val="bottom"/>
          </w:tcPr>
          <w:p>
            <w:pPr>
              <w:spacing w:after="0"/>
              <w:rPr>
                <w:sz w:val="12"/>
                <w:szCs w:val="12"/>
                <w:color w:val="auto"/>
              </w:rPr>
            </w:pPr>
          </w:p>
        </w:tc>
        <w:tc>
          <w:tcPr>
            <w:tcW w:w="10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7"/>
                <w:szCs w:val="17"/>
                <w:color w:val="auto"/>
              </w:rPr>
            </w:pPr>
          </w:p>
        </w:tc>
        <w:tc>
          <w:tcPr>
            <w:tcW w:w="10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BridgeTex Pipeline Company, LLC</w:t>
            </w:r>
          </w:p>
        </w:tc>
        <w:tc>
          <w:tcPr>
            <w:tcW w:w="10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Pipeline LLC</w:t>
            </w:r>
          </w:p>
        </w:tc>
        <w:tc>
          <w:tcPr>
            <w:tcW w:w="3400" w:type="dxa"/>
            <w:vAlign w:val="bottom"/>
            <w:gridSpan w:val="2"/>
            <w:shd w:val="clear" w:color="auto" w:fill="CCEEFF"/>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Eagle Ford Pipeline LLC</w:t>
            </w:r>
          </w:p>
        </w:tc>
        <w:tc>
          <w:tcPr>
            <w:tcW w:w="3400" w:type="dxa"/>
            <w:vAlign w:val="bottom"/>
            <w:gridSpan w:val="2"/>
          </w:tcPr>
          <w:p>
            <w:pPr>
              <w:jc w:val="center"/>
              <w:ind w:right="10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Pipeline </w:t>
            </w:r>
            <w:r>
              <w:rPr>
                <w:rFonts w:ascii="Times New Roman" w:cs="Times New Roman" w:eastAsia="Times New Roman" w:hAnsi="Times New Roman"/>
                <w:sz w:val="23"/>
                <w:szCs w:val="23"/>
                <w:color w:val="auto"/>
                <w:w w:val="97"/>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3400" w:type="dxa"/>
            <w:vAlign w:val="bottom"/>
            <w:gridSpan w:val="2"/>
            <w:shd w:val="clear" w:color="auto" w:fill="CCEEFF"/>
          </w:tcPr>
          <w:p>
            <w:pPr>
              <w:jc w:val="center"/>
              <w:ind w:right="120"/>
              <w:spacing w:after="0" w:line="230" w:lineRule="exact"/>
              <w:rPr>
                <w:sz w:val="20"/>
                <w:szCs w:val="20"/>
                <w:color w:val="auto"/>
              </w:rPr>
            </w:pPr>
            <w:r>
              <w:rPr>
                <w:rFonts w:ascii="Times New Roman" w:cs="Times New Roman" w:eastAsia="Times New Roman" w:hAnsi="Times New Roman"/>
                <w:sz w:val="18"/>
                <w:szCs w:val="18"/>
                <w:color w:val="auto"/>
                <w:w w:val="97"/>
              </w:rPr>
              <w:t xml:space="preserve">Crude Oil Terminal and Dock </w:t>
            </w:r>
            <w:r>
              <w:rPr>
                <w:rFonts w:ascii="Times New Roman" w:cs="Times New Roman" w:eastAsia="Times New Roman" w:hAnsi="Times New Roman"/>
                <w:sz w:val="23"/>
                <w:szCs w:val="23"/>
                <w:color w:val="auto"/>
                <w:w w:val="97"/>
                <w:vertAlign w:val="superscript"/>
              </w:rPr>
              <w:t>(1)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Saddlehorn Pipeline Company, LLC</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 Cliffs Pipeline, L.L.C.</w:t>
            </w:r>
          </w:p>
        </w:tc>
        <w:tc>
          <w:tcPr>
            <w:tcW w:w="3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Wink to Webster Pipeline LLC</w:t>
            </w:r>
          </w:p>
        </w:tc>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Crude Oil Pipeline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5"/>
        </w:trPr>
        <w:tc>
          <w:tcPr>
            <w:tcW w:w="540" w:type="dxa"/>
            <w:vAlign w:val="bottom"/>
            <w:tcBorders>
              <w:bottom w:val="single" w:sz="8" w:color="auto"/>
            </w:tcBorders>
            <w:gridSpan w:val="2"/>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540" w:type="dxa"/>
            <w:vAlign w:val="bottom"/>
            <w:gridSpan w:val="2"/>
          </w:tcPr>
          <w:p>
            <w:pPr>
              <w:jc w:val="right"/>
              <w:ind w:right="312"/>
              <w:spacing w:after="0"/>
              <w:rPr>
                <w:sz w:val="20"/>
                <w:szCs w:val="20"/>
                <w:color w:val="auto"/>
              </w:rPr>
            </w:pPr>
            <w:r>
              <w:rPr>
                <w:rFonts w:ascii="Times New Roman" w:cs="Times New Roman" w:eastAsia="Times New Roman" w:hAnsi="Times New Roman"/>
                <w:sz w:val="12"/>
                <w:szCs w:val="12"/>
                <w:color w:val="auto"/>
                <w:w w:val="85"/>
              </w:rPr>
              <w:t>(1)</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 serve as operator of the asset.</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the assumptions, judgments and estimates involved in the accounting for our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below. For further information on all of our significant accounting policies, see Note 2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Assets and Liabilities Acquired and Identification of Associated Goodwill and Intangible Assets. </w:t>
      </w:r>
      <w:r>
        <w:rPr>
          <w:rFonts w:ascii="Times New Roman" w:cs="Times New Roman" w:eastAsia="Times New Roman" w:hAnsi="Times New Roman"/>
          <w:sz w:val="18"/>
          <w:szCs w:val="18"/>
          <w:color w:val="auto"/>
        </w:rPr>
        <w:t>In accordance with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(“FASB”) guidance regarding business combinations, with each acquisition, we allocate the cost of the acquired entity to the assets acquired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third-party assessments.</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Through two separate transactions completed in the fourth quarter of 2025, we acquired 100% of the entity that owns EPIC Crude Oil Pipeline for aggregate consideration of approximately $2.9 billion, inclusive of approximately $1.1 billion of debt assumed. We also agreed to aggregate potential earnout payments of up to approximately $350 million.</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On January 31, 2025, we acquired Ironwood Midstream Energy Partners II, LLC (“Ironwood Midstream”), which owns a gathering system in the Eagle Ford Basin, for approximately $481 million in cash.</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See Note 8 to our Consolidated Financial Statements for discussion of the methods, assumptions and estimates used in the determination of the fair value of the assets and liabilities acquired and identification of associated intangible assets for these transactions.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Derivatives. </w:t>
      </w:r>
      <w:r>
        <w:rPr>
          <w:rFonts w:ascii="Times New Roman" w:cs="Times New Roman" w:eastAsia="Times New Roman" w:hAnsi="Times New Roman"/>
          <w:sz w:val="18"/>
          <w:szCs w:val="18"/>
          <w:color w:val="auto"/>
        </w:rPr>
        <w:t>The fair value of a derivative at a particular period end does not reflect the end results of a particular transaction,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most likely not reflect the gain or loss at the conclusion of a transaction. We reflect estimates for these items based on our internal records and information from third parties. We have commodity, interest rate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1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0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Accruals and Contingent Liabilities. </w:t>
      </w:r>
      <w:r>
        <w:rPr>
          <w:rFonts w:ascii="Times New Roman" w:cs="Times New Roman" w:eastAsia="Times New Roman" w:hAnsi="Times New Roman"/>
          <w:sz w:val="18"/>
          <w:szCs w:val="18"/>
          <w:color w:val="auto"/>
        </w:rPr>
        <w:t>We record accruals or liabilities for, among other things, environmental remediation, potential legal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w:t>
      </w:r>
    </w:p>
    <w:p>
      <w:pPr>
        <w:spacing w:after="0" w:line="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$9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Depreciation and Amortization Expense and Asset Retirement Obligations. </w:t>
      </w:r>
      <w:r>
        <w:rPr>
          <w:rFonts w:ascii="Times New Roman" w:cs="Times New Roman" w:eastAsia="Times New Roman" w:hAnsi="Times New Roman"/>
          <w:sz w:val="18"/>
          <w:szCs w:val="18"/>
          <w:color w:val="auto"/>
        </w:rPr>
        <w:t>We compute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21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 A hypothetical variance of 5% in our aggregate estimate for the retirement obligations discussed above would have an impact on earnings of up to approximately $6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216"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See Note 7 and Note 10 to our Consolidated Financial Statements for additional information on our property and equipment, intangible assets and depreciation and amortization expense. See Note 2 to our Consolidated Financial Statements for additional information on our asset retirement obligations.</w:t>
      </w:r>
    </w:p>
    <w:p>
      <w:pPr>
        <w:spacing w:after="0" w:line="16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Assessments of Property and Equipment, Investments in Unconsolidated Entities and Intangible Assets. </w:t>
      </w:r>
      <w:r>
        <w:rPr>
          <w:rFonts w:ascii="Times New Roman" w:cs="Times New Roman" w:eastAsia="Times New Roman" w:hAnsi="Times New Roman"/>
          <w:sz w:val="18"/>
          <w:szCs w:val="18"/>
          <w:color w:val="auto"/>
        </w:rPr>
        <w:t>We periodically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1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an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5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Investments in unconsolidated entities accounted for under the equity method of accounting are assessed for impairment when events or circumstances suggest that a decline in value may be other than temporary. Examples of such events or circumstances include continuing operating losses of the entity and/or long-term negative changes in the entity’s core business. When it is determined that an indicated impairment is other than temporary, a charge is recognized for the difference between the investment’s carrying amount and its estimated fair value. We consider the fair value estimate used to calculate the impairment of investments in unconsolidated entities a critical accounting estimate. In determining the existence of an other-than-temporary impairment of carrying value, we make a number of subjective assumptions as to:</w:t>
      </w:r>
    </w:p>
    <w:p>
      <w:pPr>
        <w:spacing w:after="0" w:line="214"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event or circumstance that may be indicative of a decline in value of the investment;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decline in value is other than temporary;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Intangible assets with indefinite lives are not amortized but are instead periodically assessed for impairment. Intangible assets with finite lives are amortized over their estimated useful life as determined by management. Impairment testing entails estimating future net cash flows relating to the business, based on the grouping of assets and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 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1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A change in our outlook or use could result in impairments that may be material to our results of operations or financial condition. See “— Executive Summary— Market Overview and Outlook” and Note 7, Note 9 and Note 10 to our Consolidated Financial Statements for additional information.</w:t>
      </w:r>
    </w:p>
    <w:p>
      <w:pPr>
        <w:spacing w:after="0" w:line="20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Valuations. </w:t>
      </w:r>
      <w:r>
        <w:rPr>
          <w:rFonts w:ascii="Times New Roman" w:cs="Times New Roman" w:eastAsia="Times New Roman" w:hAnsi="Times New Roman"/>
          <w:sz w:val="18"/>
          <w:szCs w:val="18"/>
          <w:color w:val="auto"/>
        </w:rPr>
        <w:t>Inventory, including long-term inventory, primarily consists of crude oil and NGL and is valued at the lower of cost or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2025, 2024 and 2023, we did not record any charges related to the valuation adjustment of our inventory. See Note 6 to our Consolidated Financial Statements for further discussion regarding inventory.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for information regarding the effect of recent accounting pronouncements on our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 commodities:</w:t>
      </w:r>
    </w:p>
    <w:p>
      <w:pPr>
        <w:spacing w:after="0" w:line="115"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54" w:lineRule="exact"/>
        <w:rPr>
          <w:rFonts w:ascii="Times New Roman" w:cs="Times New Roman" w:eastAsia="Times New Roman" w:hAnsi="Times New Roman"/>
          <w:sz w:val="18"/>
          <w:szCs w:val="18"/>
          <w:i w:val="1"/>
          <w:iCs w:val="1"/>
          <w:color w:val="auto"/>
        </w:rPr>
      </w:pPr>
    </w:p>
    <w:p>
      <w:pPr>
        <w:ind w:left="980" w:right="1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204"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Power</w:t>
      </w:r>
    </w:p>
    <w:p>
      <w:pPr>
        <w:spacing w:after="0" w:line="254" w:lineRule="exact"/>
        <w:rPr>
          <w:sz w:val="20"/>
          <w:szCs w:val="20"/>
          <w:color w:val="auto"/>
        </w:rPr>
      </w:pPr>
    </w:p>
    <w:p>
      <w:pPr>
        <w:ind w:left="980" w:right="20"/>
        <w:spacing w:after="0" w:line="282" w:lineRule="auto"/>
        <w:rPr>
          <w:sz w:val="20"/>
          <w:szCs w:val="20"/>
          <w:color w:val="auto"/>
        </w:rPr>
      </w:pPr>
      <w:r>
        <w:rPr>
          <w:rFonts w:ascii="Times New Roman" w:cs="Times New Roman" w:eastAsia="Times New Roman" w:hAnsi="Times New Roman"/>
          <w:sz w:val="18"/>
          <w:szCs w:val="18"/>
          <w:color w:val="auto"/>
        </w:rPr>
        <w:t>We utilize power derivatives to hedge anticipated operational requirements related to our crude oil pipelines. We manage these exposures with various instruments including futures, swaps and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to our Consolidated Financial Statements for further discussion regarding our hedging strategies and objectives.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December 31, 2025 that would be expected from a 10% price increase or decrease is shown in the table below (in millions):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180" w:type="dxa"/>
            <w:vAlign w:val="bottom"/>
          </w:tcPr>
          <w:p>
            <w:pPr>
              <w:spacing w:after="0"/>
              <w:rPr>
                <w:sz w:val="13"/>
                <w:szCs w:val="13"/>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12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1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We did not have any interest rate derivatives as of December 31, 2025. All of our senior notes are fixed rate notes and thus are not subject to interest rate risk. Our variable rate debt outstanding at December 31, 2025, approximately $2.069 billion, was subject to interest rate resets that generally occur within one month or less. The average interest rate on variable rate debt that was outstanding during the year ended December 31, 2025 was 4.6%, based upon rates in effect during the year. See Note 11 to our Consolidated Financial Statements for additional information regarding our debt arrangements.</w:t>
      </w:r>
    </w:p>
    <w:p>
      <w:pPr>
        <w:spacing w:after="0" w:line="20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Beginning August 15, 2023, distributions on the Series B preferred units accumulate based on the applicable three-month SOFR, plus certain adjustments. Based upon the Series B preferred units outstanding at December 31, 2025 and the liquidation preference of $1,000 per unit, a change of 100 basis points in interest rates would increase or decrease the annual distributions on the Series B preferred units by approximately $8 million. See Note 12 to our Consolidated Financial Statements for additional information regarding our Series B preferred unit distributions.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The fair value of our foreign currency derivatives was an asset of $8 million as of December 31, 2025. A 10% increase in the exchange rate (USD-to-CAD) would have resulted in an increase of $329 million to the fair value of our foreign currency derivatives. A 10% decrease in the exchange rate (USD-to-CAD) would have resulted in a decrease of $329 million to the fair value of our foreign currency derivatives. See Note 13 to our Consolidated Financial Statements for additional information regarding our currency exchange rate risk hedging.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2025, the end of the period covered by this report, and, based on such evaluation, our Chief Executive Officer and Chief Financial Officer have concluded that our DCP is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2025. See “Management’s Report on Internal Control Over Financial Reporting” on page F-2 of our Consolidated Financial Statements.</w:t>
      </w:r>
    </w:p>
    <w:p>
      <w:pPr>
        <w:spacing w:after="0" w:line="21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assessed the effectiveness of our internal control over financial reporting, as stated in the firm’s report. See “</w:t>
      </w:r>
      <w:r>
        <w:rPr>
          <w:rFonts w:ascii="Times New Roman" w:cs="Times New Roman" w:eastAsia="Times New Roman" w:hAnsi="Times New Roman"/>
          <w:sz w:val="17"/>
          <w:szCs w:val="17"/>
          <w:color w:val="auto"/>
        </w:rPr>
        <w:t>Report of Independent Registered Public Accounting Firm</w:t>
      </w:r>
      <w:r>
        <w:rPr>
          <w:rFonts w:ascii="Times New Roman" w:cs="Times New Roman" w:eastAsia="Times New Roman" w:hAnsi="Times New Roman"/>
          <w:sz w:val="18"/>
          <w:szCs w:val="18"/>
          <w:color w:val="auto"/>
        </w:rPr>
        <w:t>” on page F-3 of our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of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5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of the Securities Exchange Act of 1934) adopted or terminated a Rule 10b5-1 trading arrangement or non-Rule 10b5-1 trading arrangement (as such terms are defined in Item 408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6" w:name="page97"/>
    <w:bookmarkEnd w:id="96"/>
    <w:p>
      <w:pPr>
        <w:ind w:left="7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3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Times New Roman" w:cs="Times New Roman" w:eastAsia="Times New Roman" w:hAnsi="Times New Roman"/>
          <w:sz w:val="18"/>
          <w:szCs w:val="18"/>
          <w:color w:val="auto"/>
        </w:rPr>
        <w:t>As of the date of filing this report, the following individuals were serving as our executive officers and/or directors:</w:t>
      </w:r>
    </w:p>
    <w:p>
      <w:pPr>
        <w:spacing w:after="0" w:line="219" w:lineRule="exact"/>
        <w:rPr>
          <w:sz w:val="20"/>
          <w:szCs w:val="20"/>
          <w:color w:val="auto"/>
        </w:rPr>
      </w:pPr>
    </w:p>
    <w:tbl>
      <w:tblPr>
        <w:tblLayout w:type="fixed"/>
        <w:tblInd w:w="73" w:type="dxa"/>
        <w:tblCellMar>
          <w:top w:w="0" w:type="dxa"/>
          <w:left w:w="0" w:type="dxa"/>
          <w:bottom w:w="0" w:type="dxa"/>
          <w:right w:w="0" w:type="dxa"/>
        </w:tblCellMar>
      </w:tblPr>
      <w:tr>
        <w:trPr>
          <w:trHeight w:val="19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r>
      <w:tr>
        <w:trPr>
          <w:trHeight w:val="23"/>
        </w:trPr>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580" w:type="dxa"/>
            <w:vAlign w:val="bottom"/>
            <w:tcBorders>
              <w:bottom w:val="single" w:sz="8" w:color="auto"/>
            </w:tcBorders>
          </w:tcPr>
          <w:p>
            <w:pPr>
              <w:spacing w:after="0"/>
              <w:rPr>
                <w:sz w:val="2"/>
                <w:szCs w:val="2"/>
                <w:color w:val="auto"/>
              </w:rPr>
            </w:pPr>
          </w:p>
        </w:tc>
      </w:tr>
      <w:tr>
        <w:trPr>
          <w:trHeight w:val="223"/>
        </w:trPr>
        <w:tc>
          <w:tcPr>
            <w:tcW w:w="2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Willie Chiang </w:t>
            </w:r>
            <w:r>
              <w:rPr>
                <w:rFonts w:ascii="Times New Roman" w:cs="Times New Roman" w:eastAsia="Times New Roman" w:hAnsi="Times New Roman"/>
                <w:sz w:val="23"/>
                <w:szCs w:val="23"/>
                <w:color w:val="auto"/>
                <w:vertAlign w:val="superscript"/>
              </w:rPr>
              <w:t>(1)(2)</w:t>
            </w:r>
          </w:p>
        </w:tc>
        <w:tc>
          <w:tcPr>
            <w:tcW w:w="120" w:type="dxa"/>
            <w:vAlign w:val="bottom"/>
            <w:shd w:val="clear" w:color="auto" w:fill="CCEEFF"/>
          </w:tcPr>
          <w:p>
            <w:pPr>
              <w:spacing w:after="0"/>
              <w:rPr>
                <w:sz w:val="19"/>
                <w:szCs w:val="19"/>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Chief Executive Officer and President</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R. Chandler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 Swanson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Jeremy L. Goebel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K. McGee </w:t>
            </w:r>
            <w:r>
              <w:rPr>
                <w:rFonts w:ascii="Times New Roman" w:cs="Times New Roman" w:eastAsia="Times New Roman" w:hAnsi="Times New Roman"/>
                <w:sz w:val="23"/>
                <w:szCs w:val="23"/>
                <w:color w:val="auto"/>
                <w:vertAlign w:val="superscript"/>
              </w:rPr>
              <w: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Chris Herbold </w:t>
            </w:r>
            <w:r>
              <w:rPr>
                <w:rFonts w:ascii="Times New Roman" w:cs="Times New Roman" w:eastAsia="Times New Roman" w:hAnsi="Times New Roman"/>
                <w:sz w:val="23"/>
                <w:szCs w:val="23"/>
                <w:color w:val="auto"/>
                <w:vertAlign w:val="superscript"/>
              </w:rPr>
              <w: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and Chief Accounting Officer</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Greg L. Armstrong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to the Chief Executive Officer (former Chairman and Chief Executive Officer)</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Victor Burk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Senior Advisor, Alvarez and Marsal</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Ellen R. DeSanctis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Senior Vice President, ConocoPhillips</w:t>
            </w:r>
          </w:p>
        </w:tc>
      </w:tr>
      <w:tr>
        <w:trPr>
          <w:trHeight w:val="229"/>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McCarthy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Vice Chairman, Kayne Anderson Capital Advisors, L.P.</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Harry N. Pefanis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to the Chief Executive Officer (former President)</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Gary R. Petersen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EnCap Investments L.P.</w:t>
            </w:r>
          </w:p>
        </w:tc>
      </w:tr>
      <w:tr>
        <w:trPr>
          <w:trHeight w:val="229"/>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Alexandra D. Pruner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Advisor, Perella Weinberg Partners</w:t>
            </w:r>
          </w:p>
        </w:tc>
      </w:tr>
      <w:tr>
        <w:trPr>
          <w:trHeight w:val="230"/>
        </w:trPr>
        <w:tc>
          <w:tcPr>
            <w:tcW w:w="2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John T. Raymond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Partner and Chief Executive Officer, The Energy &amp; Minerals Group</w:t>
            </w:r>
          </w:p>
        </w:tc>
      </w:tr>
      <w:tr>
        <w:trPr>
          <w:trHeight w:val="230"/>
        </w:trPr>
        <w:tc>
          <w:tcPr>
            <w:tcW w:w="2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Bobby S. Shackouls </w:t>
            </w:r>
            <w:r>
              <w:rPr>
                <w:rFonts w:ascii="Times New Roman" w:cs="Times New Roman" w:eastAsia="Times New Roman" w:hAnsi="Times New Roman"/>
                <w:sz w:val="23"/>
                <w:szCs w:val="23"/>
                <w:color w:val="auto"/>
                <w:vertAlign w:val="superscript"/>
              </w:rPr>
              <w:t>(2)</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Chairman and CEO, Burlington Resources Inc.</w:t>
            </w:r>
          </w:p>
        </w:tc>
      </w:tr>
      <w:tr>
        <w:trPr>
          <w:trHeight w:val="312"/>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Lawrence M. Ziemba </w:t>
            </w:r>
            <w:r>
              <w:rPr>
                <w:rFonts w:ascii="Times New Roman" w:cs="Times New Roman" w:eastAsia="Times New Roman" w:hAnsi="Times New Roman"/>
                <w:sz w:val="23"/>
                <w:szCs w:val="23"/>
                <w:color w:val="auto"/>
                <w:vertAlign w:val="superscript"/>
              </w:rPr>
              <w:t>(2)</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Refining, Phillips 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170815</wp:posOffset>
            </wp:positionV>
            <wp:extent cx="22885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08" w:lineRule="exact"/>
        <w:rPr>
          <w:sz w:val="20"/>
          <w:szCs w:val="20"/>
          <w:color w:val="auto"/>
        </w:rPr>
      </w:pPr>
    </w:p>
    <w:p>
      <w:pPr>
        <w:ind w:left="353" w:hanging="353"/>
        <w:spacing w:after="0"/>
        <w:tabs>
          <w:tab w:leader="none" w:pos="353"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Executive officer (for purposes of Item 401(b) of Regulation S-K)</w:t>
      </w:r>
    </w:p>
    <w:p>
      <w:pPr>
        <w:spacing w:after="0" w:line="1" w:lineRule="exact"/>
        <w:rPr>
          <w:rFonts w:ascii="Times New Roman" w:cs="Times New Roman" w:eastAsia="Times New Roman" w:hAnsi="Times New Roman"/>
          <w:sz w:val="23"/>
          <w:szCs w:val="23"/>
          <w:color w:val="auto"/>
          <w:vertAlign w:val="superscript"/>
        </w:rPr>
      </w:pPr>
    </w:p>
    <w:p>
      <w:pPr>
        <w:ind w:left="353" w:hanging="353"/>
        <w:spacing w:after="0" w:line="194" w:lineRule="auto"/>
        <w:tabs>
          <w:tab w:leader="none" w:pos="353"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Director</w:t>
      </w:r>
    </w:p>
    <w:p>
      <w:pPr>
        <w:spacing w:after="0" w:line="223" w:lineRule="exact"/>
        <w:rPr>
          <w:sz w:val="20"/>
          <w:szCs w:val="20"/>
          <w:color w:val="auto"/>
        </w:rPr>
      </w:pPr>
    </w:p>
    <w:p>
      <w:pPr>
        <w:ind w:left="73"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complete list of our officers, including the executive officers listed above, is available on our website at </w:t>
      </w:r>
      <w:r>
        <w:rPr>
          <w:rFonts w:ascii="Times New Roman" w:cs="Times New Roman" w:eastAsia="Times New Roman" w:hAnsi="Times New Roman"/>
          <w:sz w:val="18"/>
          <w:szCs w:val="18"/>
          <w:i w:val="1"/>
          <w:iCs w:val="1"/>
          <w:color w:val="auto"/>
        </w:rPr>
        <w:t>www.plains.com</w:t>
      </w:r>
      <w:r>
        <w:rPr>
          <w:rFonts w:ascii="Times New Roman" w:cs="Times New Roman" w:eastAsia="Times New Roman" w:hAnsi="Times New Roman"/>
          <w:sz w:val="18"/>
          <w:szCs w:val="18"/>
          <w:color w:val="auto"/>
        </w:rPr>
        <w:t xml:space="preserve"> under Who We Are— Leadership.</w:t>
      </w:r>
    </w:p>
    <w:p>
      <w:pPr>
        <w:spacing w:after="0" w:line="183"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85"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Unitholder Matters</w:t>
      </w:r>
    </w:p>
    <w:p>
      <w:pPr>
        <w:spacing w:after="0" w:line="202" w:lineRule="exact"/>
        <w:rPr>
          <w:sz w:val="20"/>
          <w:szCs w:val="20"/>
          <w:color w:val="auto"/>
        </w:rPr>
      </w:pPr>
    </w:p>
    <w:p>
      <w:pPr>
        <w:ind w:left="73" w:right="3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73"/>
          </w:cols>
          <w:pgMar w:left="247" w:top="126"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for our 2026 Annual Meeting, which will be filed with the SEC within 120 days after the end of the fiscal year ended December 31, 2025,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6" w:right="7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“Index to the Consolidated Financial Statements” set forth on Page F-1.</w:t>
      </w:r>
    </w:p>
    <w:p>
      <w:pPr>
        <w:spacing w:after="0" w:line="250" w:lineRule="exact"/>
        <w:rPr>
          <w:sz w:val="20"/>
          <w:szCs w:val="20"/>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Financial Statement Schedules</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either not applicable or the required information is shown in the Consolidated Financial Statements or notes thereto.</w:t>
      </w:r>
    </w:p>
    <w:p>
      <w:pPr>
        <w:spacing w:after="0" w:line="187" w:lineRule="exact"/>
        <w:rPr>
          <w:sz w:val="20"/>
          <w:szCs w:val="20"/>
          <w:color w:val="auto"/>
        </w:rPr>
      </w:pPr>
    </w:p>
    <w:p>
      <w:pPr>
        <w:ind w:left="1040" w:hanging="384"/>
        <w:spacing w:after="0"/>
        <w:tabs>
          <w:tab w:leader="none" w:pos="10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Exhibits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gridSpan w:val="25"/>
          </w:tcPr>
          <w:p>
            <w:pPr>
              <w:ind w:left="3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6"/>
          </w:tcPr>
          <w:p>
            <w:pPr>
              <w:spacing w:after="0" w:line="18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Simplification Agreement dated as of July 11, 2016, by and among PAA GP Holdings LLC, Plains GP Holdings, L.P., Plains All</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American GP LLC, Plains AAP, L.P., PAA GP LLC and Plains All American Pipeline, L.P.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July 14, 2016).</w:t>
              </w:r>
            </w:hyperlink>
          </w:p>
        </w:tc>
        <w:tc>
          <w:tcPr>
            <w:tcW w:w="500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Agreement and Plan of Merger dated as of July 12, 2021 by and among Plains Pipeline, L.P., Plains Marketing, L.P., Oryx</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6"/>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Midstream Holdings LLC, Middle Cadence Holdings LLC, POP HoldCo LLC, Oryx Wink Oil Marketing LLC, Oryx Permian Oil</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Marketing LLC, Plains Oryx Permian Basin LLC, Plains Oryx Permian Basin Marketing LLC and Plains Oryx Permian Basin</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Pipeline LLC (incorporated by reference to Exhibit 2.1 to our Current Report on Form 8-K filed July 13,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Share Purchase Agreement dated as of June 17, 2025 by and between Plains Midstream Luxembourg S.A.R.L. and Keyera Corp.</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(portions of this exhibit have been omitted pursuant to Item 601(b)(2) of Regulation S-K) (incorporated by reference to Exhibit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our Quarterly Report on Form 10-Q for the quarter ended June 30, 2025).</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Purchase and Sale Agreement dated August 30, 2025 by and among Altus Midstream Processing LP, Kinetik EC Holdco LLC,</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Rattler Midstream Operating LLC and Rattler OMOG LLC, as Sellers, and Plains BK Holdco LLC, as Buyer, and the other</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0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parties thereto (portions of this exhibit have been omitted pursuant to Item 601(b)(2) of Regulation S-K) (incorporated by</w:t>
              </w:r>
            </w:hyperlink>
          </w:p>
        </w:tc>
        <w:tc>
          <w:tcPr>
            <w:tcW w:w="1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reference to Exhibit 2.1 to our Current Report on Form 8-K filed November 6, 2025).</w:t>
              </w:r>
            </w:hyperlink>
          </w:p>
        </w:tc>
        <w:tc>
          <w:tcPr>
            <w:tcW w:w="26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FF"/>
                </w:rPr>
                <w:t>Equity Purchase Agreement dated November 3, 2025 by and among EPIC Crude Parent, L.P., as Seller, and Plains BK Holdco</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10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LLC, as Buyer, and the other parties thereto (portions of this exhibit have been omitted pursuant to Item 601(b)(2) of Registration</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S-K (incorporated by reference to Exhibit 2.2 to our Current Report on Form 8-K filed November 6, 2025).</w:t>
              </w:r>
            </w:hyperlink>
          </w:p>
        </w:tc>
        <w:tc>
          <w:tcPr>
            <w:tcW w:w="1620" w:type="dxa"/>
            <w:vAlign w:val="bottom"/>
            <w:tcBorders>
              <w:top w:val="single" w:sz="8" w:color="0000FF"/>
            </w:tcBorders>
            <w:gridSpan w:val="17"/>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FF"/>
                </w:rPr>
                <w:t>Seventh Amended and Restated Agreement of Limited Partnership of Plains All American Pipeline, L.P. dated as of October 10,</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2017 (incorporated by reference to Exhibit 3.1 to our Current Report on Form 8-K filed October 12, 2017).</w:t>
              </w:r>
            </w:hyperlink>
          </w:p>
        </w:tc>
        <w:tc>
          <w:tcPr>
            <w:tcW w:w="1540" w:type="dxa"/>
            <w:vAlign w:val="bottom"/>
            <w:tcBorders>
              <w:top w:val="single" w:sz="8" w:color="0000FF"/>
            </w:tcBorders>
            <w:gridSpan w:val="1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FF"/>
                </w:rPr>
                <w:t>Third Amended and Restated Agreement of Limited Partnership of Plains Marketing, L.P. dated as of April 1, 2004 (incorporated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by reference to Exhibit 3.2 to our Quarterly Report on Form 10-Q for the quarter ended March 31, 2004).</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100" w:type="dxa"/>
            <w:vAlign w:val="bottom"/>
            <w:gridSpan w:val="4"/>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color w:val="0000FF"/>
                </w:rPr>
                <w:t>Amendment No. 1 dated December 31, 2010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14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Marketing, L.P. (incorporated by reference to Exhibit 3.9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2010).</w:t>
              </w:r>
            </w:hyperlink>
          </w:p>
        </w:tc>
        <w:tc>
          <w:tcPr>
            <w:tcW w:w="38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color w:val="0000FF"/>
                </w:rPr>
                <w:t>Amendment No. 2 dated January 1,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2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Marketing, L.P. (incorporated by reference to Exhibit 3.10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2010).</w:t>
              </w:r>
            </w:hyperlink>
          </w:p>
        </w:tc>
        <w:tc>
          <w:tcPr>
            <w:tcW w:w="38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020" w:type="dxa"/>
            <w:vAlign w:val="bottom"/>
            <w:gridSpan w:val="28"/>
          </w:tcPr>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color w:val="0000FF"/>
                </w:rPr>
                <w:t>Amendment No. 3 dated June 30, 2011 to the Third Amended and Restated Agreement of Limited Partnership of Plains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20" w:type="dxa"/>
            <w:vAlign w:val="bottom"/>
            <w:gridSpan w:val="9"/>
            <w:shd w:val="clear" w:color="auto" w:fill="0000FF"/>
          </w:tcPr>
          <w:p>
            <w:pPr>
              <w:spacing w:after="0" w:line="20" w:lineRule="exact"/>
              <w:rPr>
                <w:sz w:val="1"/>
                <w:szCs w:val="1"/>
                <w:color w:val="auto"/>
              </w:rPr>
            </w:pPr>
          </w:p>
        </w:tc>
        <w:tc>
          <w:tcPr>
            <w:tcW w:w="8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26"/>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Marketing, L.P. (incorporated by reference to Exhibit 3.7 to our Annual Report on Form 10-K for the year ended December 31,</w:t>
              </w:r>
            </w:hyperlink>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2013).</w:t>
              </w:r>
            </w:hyperlink>
          </w:p>
        </w:tc>
        <w:tc>
          <w:tcPr>
            <w:tcW w:w="384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color w:val="0000FF"/>
                </w:rPr>
                <w:t>Amendment No. 4 dated January 1, 2013 to the Third Amended and Restated Agreement of Limited Partnership of Plains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Marketing, L.P (incorporated by reference to Exhibit 3.8 to our Annual Report on Form 10-K for the year ended December</w:t>
              </w:r>
            </w:hyperlink>
          </w:p>
        </w:tc>
        <w:tc>
          <w:tcPr>
            <w:tcW w:w="360" w:type="dxa"/>
            <w:vAlign w:val="bottom"/>
            <w:tcBorders>
              <w:bottom w:val="single" w:sz="8" w:color="0000FF"/>
            </w:tcBorders>
            <w:gridSpan w:val="8"/>
          </w:tcPr>
          <w:p>
            <w:pPr>
              <w:jc w:val="right"/>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31,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2013).</w:t>
              </w:r>
            </w:hyperlink>
          </w:p>
        </w:tc>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color w:val="0000FF"/>
                </w:rPr>
                <w:t>Amendment No. 5 dated December 1, 2019 to the Third Amended and Restated Agreement of Limited Partnership of Plains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9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Marketing, L.P. (incorporated by reference to Exhibit 3.7 to our Annual Report on Form 10-K for the year ended December</w:t>
              </w:r>
            </w:hyperlink>
          </w:p>
        </w:tc>
        <w:tc>
          <w:tcPr>
            <w:tcW w:w="220" w:type="dxa"/>
            <w:vAlign w:val="bottom"/>
            <w:gridSpan w:val="8"/>
          </w:tcPr>
          <w:p>
            <w:pPr>
              <w:jc w:val="right"/>
              <w:ind w:right="20"/>
              <w:spacing w:after="0" w:line="156" w:lineRule="exact"/>
              <w:rPr>
                <w:rFonts w:ascii="Times New Roman" w:cs="Times New Roman" w:eastAsia="Times New Roman" w:hAnsi="Times New Roman"/>
                <w:sz w:val="18"/>
                <w:szCs w:val="18"/>
                <w:color w:val="0000FF"/>
                <w:w w:val="79"/>
              </w:rPr>
            </w:pPr>
            <w:hyperlink r:id="rId142">
              <w:r>
                <w:rPr>
                  <w:rFonts w:ascii="Times New Roman" w:cs="Times New Roman" w:eastAsia="Times New Roman" w:hAnsi="Times New Roman"/>
                  <w:sz w:val="18"/>
                  <w:szCs w:val="18"/>
                  <w:color w:val="0000FF"/>
                  <w:w w:val="79"/>
                </w:rPr>
                <w:t>31,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2">
              <w:r>
                <w:rPr>
                  <w:rFonts w:ascii="Times New Roman" w:cs="Times New Roman" w:eastAsia="Times New Roman" w:hAnsi="Times New Roman"/>
                  <w:sz w:val="18"/>
                  <w:szCs w:val="18"/>
                  <w:color w:val="0000FF"/>
                  <w:w w:val="98"/>
                </w:rPr>
                <w:t>2019.</w:t>
              </w:r>
              <w:r>
                <w:rPr>
                  <w:rFonts w:ascii="Times New Roman" w:cs="Times New Roman" w:eastAsia="Times New Roman" w:hAnsi="Times New Roman"/>
                  <w:sz w:val="18"/>
                  <w:szCs w:val="18"/>
                  <w:u w:val="single" w:color="auto"/>
                  <w:color w:val="0000FF"/>
                  <w:w w:val="98"/>
                </w:rPr>
                <w:t>)</w:t>
              </w:r>
            </w:hyperlink>
          </w:p>
        </w:tc>
        <w:tc>
          <w:tcPr>
            <w:tcW w:w="27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color w:val="0000FF"/>
                </w:rPr>
                <w:t>Third Amended and Restated Agreement of Limited Partnership of Plains Pipeline, L.P. dated as of April 1, 2004 (incorporated by</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reference to Exhibit 3.3 to our Quarterly Report on Form 10-Q for the quarter ended March 31,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color w:val="0000FF"/>
                </w:rPr>
                <w:t>Amendment No. 1 dated January 1, 2013 to the Third Amended and Restated Agreement of Limited Partnership of Plains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Pipeline, L.P. (incorporated by reference to Exhibit 3.10 to our Annual Report on Form 10-K for the year ended December</w:t>
              </w:r>
            </w:hyperlink>
          </w:p>
        </w:tc>
        <w:tc>
          <w:tcPr>
            <w:tcW w:w="320" w:type="dxa"/>
            <w:vAlign w:val="bottom"/>
            <w:tcBorders>
              <w:bottom w:val="single" w:sz="8" w:color="0000FF"/>
            </w:tcBorders>
            <w:gridSpan w:val="6"/>
          </w:tcPr>
          <w:p>
            <w:pPr>
              <w:jc w:val="right"/>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2013).</w:t>
              </w:r>
            </w:hyperlink>
          </w:p>
        </w:tc>
        <w:tc>
          <w:tcPr>
            <w:tcW w:w="2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color w:val="0000FF"/>
                </w:rPr>
                <w:t>Seventh Amended and Restated Limited Liability Company Agreement of Plains All American GP LLC dated November 15,</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2016 (incorporated by reference to Exhibit 3.3 to our Current Report on Form 8-K filed November 21, 2016).</w:t>
              </w:r>
            </w:hyperlink>
          </w:p>
        </w:tc>
        <w:tc>
          <w:tcPr>
            <w:tcW w:w="11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color w:val="0000FF"/>
                </w:rPr>
                <w:t>Eighth Amended and Restated Limited Partnership Agreement of Plains AAP, L.P. dated November 15, 2016 (incorporated by</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3.4 to our Current Report on Form 8-K filed November 21,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color w:val="0000FF"/>
                </w:rPr>
                <w:t>Amendment No. 1 dated September 26, 2018 to the Eighth Amended and Restated Limited Partnership Agreement of Plains AAP,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L.P. (incorporated by reference to Exhibit 3.1 to our Current Report on Form 8-K filed October 2,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color w:val="0000FF"/>
                </w:rPr>
                <w:t>Amendment No. 2 dated May 23, 2019 to the Eighth Amended and Restated Limited Partnership Agreement of Plains AAP, L.P.</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(incorporated by reference to Exhibit 3.1 to our Current Report on Form 8-K filed May 30, 2019).</w:t>
              </w:r>
            </w:hyperlink>
          </w:p>
        </w:tc>
        <w:tc>
          <w:tcPr>
            <w:tcW w:w="222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color w:val="0000FF"/>
                </w:rPr>
                <w:t>Amendment No. 3 dated August 17, 2023 to the Eighth Amended and Restated Limited Partnership Agreement of Plains AAP,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5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L.P. (incorporated by reference to Exhibit 3.1 to our Current Report on Form 8-K filed August 21, 2023).</w:t>
              </w:r>
            </w:hyperlink>
          </w:p>
        </w:tc>
        <w:tc>
          <w:tcPr>
            <w:tcW w:w="15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color w:val="0000FF"/>
                </w:rPr>
                <w:t>Certificate of Incorporation of PAA Finance Corp. (f/k/a Pacific Energy Finance Corporation, successor-by-merger to PAA</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Finance Corp.) (incorporated by reference to Exhibit 3.10 to our Annual Report on Form 10-K for the year ended December</w:t>
              </w:r>
            </w:hyperlink>
          </w:p>
        </w:tc>
        <w:tc>
          <w:tcPr>
            <w:tcW w:w="480" w:type="dxa"/>
            <w:vAlign w:val="bottom"/>
            <w:gridSpan w:val="12"/>
          </w:tcPr>
          <w:p>
            <w:pPr>
              <w:jc w:val="right"/>
              <w:ind w:right="120"/>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31,</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2006).</w:t>
              </w:r>
            </w:hyperlink>
          </w:p>
        </w:tc>
        <w:tc>
          <w:tcPr>
            <w:tcW w:w="27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color w:val="0000FF"/>
                </w:rPr>
                <w:t>Bylaws of PAA Finance Corp. (f/k/a Pacific Energy Finance Corporation, successor-by-merger to PAA Finance Corp.)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3.11 to our Annual Report on Form 10-K for the year ended December 31, 2006)</w:t>
              </w:r>
            </w:hyperlink>
          </w:p>
        </w:tc>
        <w:tc>
          <w:tcPr>
            <w:tcW w:w="60" w:type="dxa"/>
            <w:vAlign w:val="bottom"/>
            <w:tcBorders>
              <w:bottom w:val="single" w:sz="8" w:color="0000FF"/>
            </w:tcBorders>
          </w:tcPr>
          <w:p>
            <w:pPr>
              <w:jc w:val="right"/>
              <w:spacing w:after="0" w:line="156" w:lineRule="exact"/>
              <w:rPr>
                <w:rFonts w:ascii="Times New Roman" w:cs="Times New Roman" w:eastAsia="Times New Roman" w:hAnsi="Times New Roman"/>
                <w:sz w:val="18"/>
                <w:szCs w:val="18"/>
                <w:color w:val="0000FF"/>
                <w:w w:val="87"/>
              </w:rPr>
            </w:pPr>
            <w:hyperlink r:id="rId151">
              <w:r>
                <w:rPr>
                  <w:rFonts w:ascii="Times New Roman" w:cs="Times New Roman" w:eastAsia="Times New Roman" w:hAnsi="Times New Roman"/>
                  <w:sz w:val="18"/>
                  <w:szCs w:val="18"/>
                  <w:color w:val="0000FF"/>
                  <w:w w:val="87"/>
                </w:rPr>
                <w:t>.</w:t>
              </w:r>
            </w:hyperlink>
          </w:p>
        </w:tc>
        <w:tc>
          <w:tcPr>
            <w:tcW w:w="4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2">
              <w:r>
                <w:rPr>
                  <w:rFonts w:ascii="Times New Roman" w:cs="Times New Roman" w:eastAsia="Times New Roman" w:hAnsi="Times New Roman"/>
                  <w:sz w:val="18"/>
                  <w:szCs w:val="18"/>
                  <w:color w:val="0000FF"/>
                </w:rPr>
                <w:t>Limited Liability Company Agreement of PAA GP LLC dated December 28, 2007 (incorporated by reference to Exhibit 3.3 to our</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Current Report on Form 8-K filed January 4, 2008).</w:t>
              </w:r>
            </w:hyperlink>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color w:val="0000FF"/>
                </w:rPr>
                <w:t>Certificate of Limited Partnership of Plains GP Holdings, L.P. (incorporated by reference to Exhibit 3.1 to PAGP’s Registration</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Statement on Form S-1 (333-190227) filed July 29, 2013).</w:t>
              </w:r>
            </w:hyperlink>
          </w:p>
        </w:tc>
        <w:tc>
          <w:tcPr>
            <w:tcW w:w="4960" w:type="dxa"/>
            <w:vAlign w:val="bottom"/>
            <w:tcBorders>
              <w:top w:val="single" w:sz="8" w:color="0000FF"/>
            </w:tcBorders>
            <w:gridSpan w:val="21"/>
          </w:tcPr>
          <w:p>
            <w:pPr>
              <w:spacing w:after="0"/>
              <w:rPr>
                <w:sz w:val="13"/>
                <w:szCs w:val="13"/>
                <w:color w:val="auto"/>
              </w:rPr>
            </w:pPr>
          </w:p>
        </w:tc>
        <w:tc>
          <w:tcPr>
            <w:tcW w:w="1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color w:val="0000FF"/>
                </w:rPr>
                <w:t>Second Amended and Restated Agreement of Limited Partnership of Plains GP Holdings, L.P. dated as of November 15, 2016</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(incorporated by reference to Exhibit 3.2 to PAGP’s Current Report on Form 8-K filed November 21, 2016).</w:t>
              </w:r>
            </w:hyperlink>
          </w:p>
        </w:tc>
        <w:tc>
          <w:tcPr>
            <w:tcW w:w="1280" w:type="dxa"/>
            <w:vAlign w:val="bottom"/>
            <w:tcBorders>
              <w:top w:val="single" w:sz="8" w:color="0000FF"/>
            </w:tcBorders>
            <w:gridSpan w:val="11"/>
          </w:tcPr>
          <w:p>
            <w:pPr>
              <w:spacing w:after="0"/>
              <w:rPr>
                <w:sz w:val="13"/>
                <w:szCs w:val="13"/>
                <w:color w:val="auto"/>
              </w:rPr>
            </w:pPr>
          </w:p>
        </w:tc>
        <w:tc>
          <w:tcPr>
            <w:tcW w:w="24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color w:val="0000FF"/>
                </w:rPr>
                <w:t>Amendment No. 1 dated April 6, 2020 to the Second Amended and Restated Agreement of Limited Partnership of Plains GP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Holdings, L.P. (incorporated by reference to Exhibit 3.1 to PAGP’s Current Report on Form 8-K filed April 9, 2020).</w:t>
              </w:r>
            </w:hyperlink>
          </w:p>
        </w:tc>
        <w:tc>
          <w:tcPr>
            <w:tcW w:w="5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color w:val="0000FF"/>
                </w:rPr>
                <w:t>Certificate of Formation of PAA GP Holdings LLC (incorporated by reference to Exhibit 3.3 to PAGP’s Registration Statement on</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S-1 (333-190227) filed July 29, 2013).</w:t>
              </w:r>
            </w:hyperlink>
          </w:p>
        </w:tc>
        <w:tc>
          <w:tcPr>
            <w:tcW w:w="60" w:type="dxa"/>
            <w:vAlign w:val="bottom"/>
            <w:gridSpan w:val="3"/>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800" w:type="dxa"/>
            <w:vAlign w:val="bottom"/>
            <w:gridSpan w:val="17"/>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color w:val="0000FF"/>
                </w:rPr>
                <w:t>Fourth Amended and Restated Limited Liability Company Agreement of PAA GP Holdings LLC dated effective as of August 19,</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2021 (incorporated by reference to Exhibit 3.21 to our Annual Report on Form 10-K for the year ended December 31, 2021).</w:t>
              </w:r>
            </w:hyperlink>
          </w:p>
        </w:tc>
        <w:tc>
          <w:tcPr>
            <w:tcW w:w="320" w:type="dxa"/>
            <w:vAlign w:val="bottom"/>
            <w:tcBorders>
              <w:top w:val="single" w:sz="8" w:color="0000FF"/>
            </w:tcBorders>
            <w:gridSpan w:val="9"/>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3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400" w:type="dxa"/>
            <w:vAlign w:val="bottom"/>
            <w:gridSpan w:val="34"/>
          </w:tcPr>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p>
        </w:tc>
      </w:tr>
    </w:tbl>
    <w:p>
      <w:pPr>
        <w:ind w:left="1760" w:right="440"/>
        <w:spacing w:after="0" w:line="233" w:lineRule="auto"/>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September 30, 2002).</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8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Sixth Supplemental Indenture (Series A and Series B 6.70% Senior Notes due 2036) dated May 12, 2006 among Plains All</w:t>
              </w:r>
            </w:hyperlink>
          </w:p>
        </w:tc>
        <w:tc>
          <w:tcPr>
            <w:tcW w:w="560" w:type="dxa"/>
            <w:vAlign w:val="bottom"/>
            <w:gridSpan w:val="16"/>
          </w:tcPr>
          <w:p>
            <w:pPr>
              <w:spacing w:after="0"/>
              <w:rPr>
                <w:sz w:val="17"/>
                <w:szCs w:val="17"/>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5"/>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American Pipeline, L.P., PAA Finance Corp., the Subsidiary Guarantors named therein and Wachovia Bank, National Association,</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as trustee (incorporated by reference to Exhibit 4.1 to our Current Report on Form 8-K filed May 12, 2006).</w:t>
              </w:r>
            </w:hyperlink>
          </w:p>
        </w:tc>
        <w:tc>
          <w:tcPr>
            <w:tcW w:w="162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Tenth Supplemental Indenture (Series A and Series B 6.650% Senior Notes due 2037) dated October 30, 2006 among Plains All</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American Pipeline, L.P., PAA Finance Corp., the Subsidiary Guarantors named therein and U.S. 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trustee (incorporated by reference to Exhibit 4.2 to our Current Report on Form 8-K filed October 30, 2006).</w:t>
              </w:r>
            </w:hyperlink>
          </w:p>
        </w:tc>
        <w:tc>
          <w:tcPr>
            <w:tcW w:w="1320" w:type="dxa"/>
            <w:vAlign w:val="bottom"/>
            <w:tcBorders>
              <w:top w:val="single" w:sz="8" w:color="0000FF"/>
            </w:tcBorders>
            <w:gridSpan w:val="11"/>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Twenty-First Supplemental Indenture (5.15% Senior Notes due 2042) dated March 22, 2012 among Plains All American Pipeline,</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L.P., PAA Finance Corp. and U.S. Bank National Association, as trustee (incorporated by reference to Exhibit 4.3 to our Current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Report on Form 8-K filed March 26, 2012).</w:t>
              </w:r>
            </w:hyperlink>
          </w:p>
        </w:tc>
        <w:tc>
          <w:tcPr>
            <w:tcW w:w="61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Twenty-Third Supplemental Indenture (4.30% Senior Notes due 2043) dated December 10, 2012, by and among Plains All</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American Pipeline, L.P., PAA Finance Corp. and U.S. Bank National Association, as trustee (incorporated by reference to</w:t>
              </w:r>
            </w:hyperlink>
          </w:p>
        </w:tc>
        <w:tc>
          <w:tcPr>
            <w:tcW w:w="1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3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Exhibit 4.3 to our Current Report on Form 8-K filed December 12, 2012).</w:t>
              </w:r>
            </w:hyperlink>
          </w:p>
        </w:tc>
        <w:tc>
          <w:tcPr>
            <w:tcW w:w="344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Twenty-Fifth Supplemental Indenture (4.70% Senior Notes due 2044) dated April 23, 2014, by and among Plains All American</w:t>
              </w:r>
            </w:hyperlink>
          </w:p>
        </w:tc>
        <w:tc>
          <w:tcPr>
            <w:tcW w:w="240" w:type="dxa"/>
            <w:vAlign w:val="bottom"/>
            <w:gridSpan w:val="11"/>
          </w:tcPr>
          <w:p>
            <w:pPr>
              <w:spacing w:after="0"/>
              <w:rPr>
                <w:sz w:val="24"/>
                <w:szCs w:val="24"/>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5"/>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Current Report on Form 8-K filed April 29, 2014).</w:t>
              </w:r>
            </w:hyperlink>
          </w:p>
        </w:tc>
        <w:tc>
          <w:tcPr>
            <w:tcW w:w="568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Twenty-Eighth Supplemental Indenture (4.90% Senior Notes due 2045) dated December 9, 2014, by and among Plains All</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American Pipeline, L.P., PAA Finance Corp. and U.S. Bank National Association, as trustee (incorporated by reference to</w:t>
              </w:r>
            </w:hyperlink>
          </w:p>
        </w:tc>
        <w:tc>
          <w:tcPr>
            <w:tcW w:w="12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78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Exhibit 4.3 to our Current Report on Form 8-K filed December 11, 2014).</w:t>
              </w:r>
            </w:hyperlink>
          </w:p>
        </w:tc>
        <w:tc>
          <w:tcPr>
            <w:tcW w:w="1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30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Thirtieth Supplemental Indenture (4.50% Senior Notes due 2026) dated November 22, 2016, by and among Plains All American</w:t>
              </w:r>
            </w:hyperlink>
          </w:p>
        </w:tc>
        <w:tc>
          <w:tcPr>
            <w:tcW w:w="140" w:type="dxa"/>
            <w:vAlign w:val="bottom"/>
            <w:gridSpan w:val="6"/>
          </w:tcPr>
          <w:p>
            <w:pPr>
              <w:spacing w:after="0"/>
              <w:rPr>
                <w:sz w:val="24"/>
                <w:szCs w:val="24"/>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5"/>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Current Report on Form 8-K filed November 29, 2016).</w:t>
              </w:r>
            </w:hyperlink>
          </w:p>
        </w:tc>
        <w:tc>
          <w:tcPr>
            <w:tcW w:w="530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5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5"/>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American Pipeline, L.P., PAA Finance Corp. and U.S. Bank National Association, as trustee (incorporated by reference to Exhibit</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36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our Current Report on Form 8-K filed September 17, 2019).</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2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c>
          <w:tcPr>
            <w:tcW w:w="180" w:type="dxa"/>
            <w:vAlign w:val="bottom"/>
            <w:gridSpan w:val="8"/>
          </w:tcPr>
          <w:p>
            <w:pPr>
              <w:spacing w:after="0"/>
              <w:rPr>
                <w:sz w:val="24"/>
                <w:szCs w:val="24"/>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5"/>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Current Report on Form 8-K filed June 11, 2020).</w:t>
              </w:r>
            </w:hyperlink>
          </w:p>
        </w:tc>
        <w:tc>
          <w:tcPr>
            <w:tcW w:w="5740" w:type="dxa"/>
            <w:vAlign w:val="bottom"/>
            <w:tcBorders>
              <w:top w:val="single" w:sz="8" w:color="0000FF"/>
            </w:tcBorders>
            <w:gridSpan w:val="28"/>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Thirty-Third Supplemental Indenture (5.70% Senior Notes due 2034) dated June 27, 2024, by and among Plains All American</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Pipeline, L.P., PAA Finance Corp. and U.S. Bank Trust Company, National Association, as trustee (incorporated by reference</w:t>
              </w:r>
            </w:hyperlink>
          </w:p>
        </w:tc>
        <w:tc>
          <w:tcPr>
            <w:tcW w:w="320" w:type="dxa"/>
            <w:vAlign w:val="bottom"/>
            <w:gridSpan w:val="13"/>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to</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92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Exhibit 4.1 to our Current Report on Form 8-K filed June 27, 2024).</w:t>
              </w:r>
            </w:hyperlink>
          </w:p>
        </w:tc>
        <w:tc>
          <w:tcPr>
            <w:tcW w:w="4300" w:type="dxa"/>
            <w:vAlign w:val="bottom"/>
            <w:tcBorders>
              <w:top w:val="single" w:sz="8" w:color="0000FF"/>
            </w:tcBorders>
            <w:gridSpan w:val="19"/>
          </w:tcPr>
          <w:p>
            <w:pPr>
              <w:spacing w:after="0"/>
              <w:rPr>
                <w:sz w:val="14"/>
                <w:szCs w:val="14"/>
                <w:color w:val="auto"/>
              </w:rPr>
            </w:pPr>
          </w:p>
        </w:tc>
        <w:tc>
          <w:tcPr>
            <w:tcW w:w="20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Thirty-Fourth Supplemental Indenture (5.950% Senior Notes due 2035) dated January 15, 2025, by and among Plains All</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American Pipeline, L.P., PAA Finance Corp. and U.S. Bank Trust Company, National Association, as trustee (incorporated</w:t>
              </w:r>
            </w:hyperlink>
          </w:p>
        </w:tc>
        <w:tc>
          <w:tcPr>
            <w:tcW w:w="680" w:type="dxa"/>
            <w:vAlign w:val="bottom"/>
            <w:gridSpan w:val="20"/>
          </w:tcPr>
          <w:p>
            <w:pPr>
              <w:ind w:left="140"/>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by</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reference to Exhibit 4.1 to our Current Report on Form 8-K filed January 15, 2025).</w:t>
              </w:r>
            </w:hyperlink>
          </w:p>
        </w:tc>
        <w:tc>
          <w:tcPr>
            <w:tcW w:w="34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7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Thirty-Fifth Supplemental Indenture (4.70% Senior Notes due 2031) dated September 8, 2025, by and among Plains All American</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Pipeline, L.P., PAA Finance Corp. and U.S. Bank Trust Company, National Association, as trustee (incorporated by reference to</w:t>
              </w:r>
            </w:hyperlink>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Exhibit 4.1 to our Current Report on Form 8-K filed November 14, 2025)</w:t>
              </w:r>
              <w:r>
                <w:rPr>
                  <w:rFonts w:ascii="Times New Roman" w:cs="Times New Roman" w:eastAsia="Times New Roman" w:hAnsi="Times New Roman"/>
                  <w:sz w:val="18"/>
                  <w:szCs w:val="18"/>
                  <w:color w:val="000000"/>
                </w:rPr>
                <w:t>.</w:t>
              </w:r>
            </w:hyperlink>
          </w:p>
        </w:tc>
        <w:tc>
          <w:tcPr>
            <w:tcW w:w="220" w:type="dxa"/>
            <w:vAlign w:val="bottom"/>
            <w:gridSpan w:val="10"/>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Thirty-Sixth Supplemental Indenture (5.60% Senior Notes due 2036) dated September 8, 2025, by and among Plains All</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r:id="rId172">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20" w:type="dxa"/>
            <w:vAlign w:val="bottom"/>
          </w:tcPr>
          <w:p>
            <w:pPr>
              <w:spacing w:after="0"/>
              <w:rPr>
                <w:sz w:val="13"/>
                <w:szCs w:val="13"/>
                <w:color w:val="auto"/>
              </w:rPr>
            </w:pPr>
          </w:p>
        </w:tc>
        <w:tc>
          <w:tcPr>
            <w:tcW w:w="700" w:type="dxa"/>
            <w:vAlign w:val="bottom"/>
            <w:gridSpan w:val="21"/>
          </w:tcPr>
          <w:p>
            <w:pPr>
              <w:ind w:left="160"/>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by</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8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reference to Exhibit 4.3 to our Current Report on Form 8-K filed November 14, 2025)</w:t>
              </w:r>
              <w:r>
                <w:rPr>
                  <w:rFonts w:ascii="Times New Roman" w:cs="Times New Roman" w:eastAsia="Times New Roman" w:hAnsi="Times New Roman"/>
                  <w:sz w:val="18"/>
                  <w:szCs w:val="18"/>
                  <w:color w:val="000000"/>
                </w:rPr>
                <w:t>.</w:t>
              </w:r>
            </w:hyperlink>
          </w:p>
        </w:tc>
        <w:tc>
          <w:tcPr>
            <w:tcW w:w="360" w:type="dxa"/>
            <w:vAlign w:val="bottom"/>
            <w:gridSpan w:val="14"/>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0" w:type="dxa"/>
            <w:vAlign w:val="bottom"/>
            <w:gridSpan w:val="10"/>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80" w:type="dxa"/>
            <w:vAlign w:val="bottom"/>
            <w:gridSpan w:val="15"/>
          </w:tcPr>
          <w:p>
            <w:pPr>
              <w:spacing w:after="0" w:line="20" w:lineRule="exact"/>
              <w:rPr>
                <w:sz w:val="1"/>
                <w:szCs w:val="1"/>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Storage LLC (incorporated by reference to Exhibit 4.1 to our Registration Statement on Form S-3, File No. 333-162477).</w:t>
              </w:r>
            </w:hyperlink>
          </w:p>
        </w:tc>
        <w:tc>
          <w:tcPr>
            <w:tcW w:w="220" w:type="dxa"/>
            <w:vAlign w:val="bottom"/>
            <w:tcBorders>
              <w:top w:val="single" w:sz="8" w:color="0000FF"/>
            </w:tcBorders>
            <w:gridSpan w:val="6"/>
          </w:tcPr>
          <w:p>
            <w:pPr>
              <w:spacing w:after="0"/>
              <w:rPr>
                <w:sz w:val="13"/>
                <w:szCs w:val="13"/>
                <w:color w:val="auto"/>
              </w:rPr>
            </w:pPr>
          </w:p>
        </w:tc>
        <w:tc>
          <w:tcPr>
            <w:tcW w:w="480" w:type="dxa"/>
            <w:vAlign w:val="bottom"/>
            <w:gridSpan w:val="15"/>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4.16</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52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4.17</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Registration Rights Agreement by and among Plains All American Pipeline, L.P. and the Holders defined therein, dated</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November 15, 2016 (incorporated by reference to Exhibit 10.4 to our Current Report on Form 8-K filed November 21,</w:t>
              </w:r>
            </w:hyperlink>
          </w:p>
        </w:tc>
        <w:tc>
          <w:tcPr>
            <w:tcW w:w="440" w:type="dxa"/>
            <w:vAlign w:val="bottom"/>
            <w:tcBorders>
              <w:bottom w:val="single" w:sz="8" w:color="0000FF"/>
            </w:tcBorders>
            <w:gridSpan w:val="6"/>
          </w:tcPr>
          <w:p>
            <w:pPr>
              <w:jc w:val="right"/>
              <w:spacing w:after="0" w:line="156" w:lineRule="exact"/>
              <w:rPr>
                <w:rFonts w:ascii="Times New Roman" w:cs="Times New Roman" w:eastAsia="Times New Roman" w:hAnsi="Times New Roman"/>
                <w:sz w:val="18"/>
                <w:szCs w:val="18"/>
                <w:color w:val="0000FF"/>
                <w:w w:val="90"/>
              </w:rPr>
            </w:pPr>
            <w:hyperlink r:id="rId176">
              <w:r>
                <w:rPr>
                  <w:rFonts w:ascii="Times New Roman" w:cs="Times New Roman" w:eastAsia="Times New Roman" w:hAnsi="Times New Roman"/>
                  <w:sz w:val="18"/>
                  <w:szCs w:val="18"/>
                  <w:color w:val="0000FF"/>
                  <w:w w:val="90"/>
                </w:rPr>
                <w:t>2016).</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4.18</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Description of Our Securities (incorporated by reference to Exhibit 4.17 to our Annual Report on Form 10-K for the year ended</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December 31, 2024)</w:t>
              </w:r>
              <w:r>
                <w:rPr>
                  <w:rFonts w:ascii="Times New Roman" w:cs="Times New Roman" w:eastAsia="Times New Roman" w:hAnsi="Times New Roman"/>
                  <w:sz w:val="18"/>
                  <w:szCs w:val="18"/>
                  <w:u w:val="single" w:color="auto"/>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Credit Agreement dated as of August 20, 2021, among Plains All American Pipeline, L.P. and Plains Midstream Canada ULC, as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Borrowers; certain subsidiaries of Plains All American Pipeline, L.P. from time to time party thereto, as Designated Borrowers;</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Bank of America, N.A., as Administrative Agent and Swing Line Lender; Bank of America, N.A., Citibank, N.A., JPMorgan</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Chase Bank, N.A. and Wells Fargo Bank, National Association, as L/C Issuers; and the other Lenders party thereto (incorporated</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by reference to Exhibit 10.1 to our Current Report on Form 8-K filed August 26, 2021).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10.2</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First Amendment to Credit Agreement dated as of August 22, 2022, among Plains All American Pipeline, L.P. and Plains</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74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Midstream Canada ULC, as Borrowers; certain subsidiaries of Plains All American Pipeline, L.P. from time to time party</w:t>
              </w:r>
            </w:hyperlink>
          </w:p>
        </w:tc>
        <w:tc>
          <w:tcPr>
            <w:tcW w:w="700" w:type="dxa"/>
            <w:vAlign w:val="bottom"/>
            <w:gridSpan w:val="21"/>
          </w:tcPr>
          <w:p>
            <w:pPr>
              <w:ind w:left="40"/>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thereto,</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as Designated Borrowers; Bank of America, N.A., as Administrative Agent and Swing Line Lender; Bank of America, N.A.,</w:t>
              </w:r>
            </w:hyperlink>
          </w:p>
        </w:tc>
        <w:tc>
          <w:tcPr>
            <w:tcW w:w="3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Citibank, N.A., JPMorgan Chase Bank, N.A. and Wells Fargo Bank, National Association, as L/C Issuers; and the other Lenders</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party thereto (incorporated by reference to Exhibit 10.1 to our Current Report on Form 8-K filed August 25, 2022).</w:t>
              </w:r>
            </w:hyperlink>
          </w:p>
        </w:tc>
        <w:tc>
          <w:tcPr>
            <w:tcW w:w="1020" w:type="dxa"/>
            <w:vAlign w:val="bottom"/>
            <w:tcBorders>
              <w:top w:val="single" w:sz="8" w:color="0000FF"/>
            </w:tcBorders>
            <w:gridSpan w:val="18"/>
          </w:tcPr>
          <w:p>
            <w:pPr>
              <w:spacing w:after="0"/>
              <w:rPr>
                <w:sz w:val="13"/>
                <w:szCs w:val="13"/>
                <w:color w:val="auto"/>
              </w:rPr>
            </w:pPr>
          </w:p>
        </w:tc>
        <w:tc>
          <w:tcPr>
            <w:tcW w:w="4294967277"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10.3</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Second Amendment to Credit Agreement dated as of August 19, 2024, among Plains All American Pipeline, L.P. and Plains</w:t>
              </w:r>
            </w:hyperlink>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Midstream Canada ULC, as Borrowers; certain subsidiaries of Plains All American Pipeline, L.P. from time to time party thereto,</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20" w:type="dxa"/>
            <w:vAlign w:val="bottom"/>
            <w:tcBorders>
              <w:top w:val="single" w:sz="8" w:color="0000FF"/>
              <w:bottom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as Designated Borrowers; Bank of America, N.A., as Administrative Agent and Swing Line Lender; Bank of America, N.A.,</w:t>
              </w:r>
            </w:hyperlink>
          </w:p>
        </w:tc>
        <w:tc>
          <w:tcPr>
            <w:tcW w:w="36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Citibank, N.A., JPMorgan Chase Bank, N.A. and Wells Fargo Bank, National Association, as L/C Issuers; and the other Lenders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party thereto (incorporated by reference to Exhibit 10.1 to our Current Report on Form 8-K filed August 22, 2024).</w:t>
              </w:r>
            </w:hyperlink>
          </w:p>
        </w:tc>
        <w:tc>
          <w:tcPr>
            <w:tcW w:w="1020" w:type="dxa"/>
            <w:vAlign w:val="bottom"/>
            <w:tcBorders>
              <w:top w:val="single" w:sz="8" w:color="0000FF"/>
            </w:tcBorders>
            <w:gridSpan w:val="18"/>
          </w:tcPr>
          <w:p>
            <w:pPr>
              <w:spacing w:after="0"/>
              <w:rPr>
                <w:sz w:val="13"/>
                <w:szCs w:val="13"/>
                <w:color w:val="auto"/>
              </w:rPr>
            </w:pPr>
          </w:p>
        </w:tc>
        <w:tc>
          <w:tcPr>
            <w:tcW w:w="4294967277"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10.4</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Fourth Amended and Restated Credit Agreement dated as of August 20, 2021, among Plains Marketing, L.P. and Plains</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Midstream Canada ULC, as Borrowers; Plains All American Pipeline, L.P., as guarantor; Bank of America, N.A., as</w:t>
              </w:r>
            </w:hyperlink>
          </w:p>
        </w:tc>
        <w:tc>
          <w:tcPr>
            <w:tcW w:w="40" w:type="dxa"/>
            <w:vAlign w:val="bottom"/>
          </w:tcPr>
          <w:p>
            <w:pPr>
              <w:spacing w:after="0"/>
              <w:rPr>
                <w:sz w:val="13"/>
                <w:szCs w:val="13"/>
                <w:color w:val="auto"/>
              </w:rPr>
            </w:pPr>
          </w:p>
        </w:tc>
        <w:tc>
          <w:tcPr>
            <w:tcW w:w="4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80" w:type="dxa"/>
            <w:vAlign w:val="bottom"/>
            <w:tcBorders>
              <w:top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Administrative Agent and Swing Line Lender; Bank of America, N.A., Citibank, N.A., JPMorgan Chase Bank, N.A.</w:t>
              </w:r>
            </w:hyperlink>
          </w:p>
        </w:tc>
        <w:tc>
          <w:tcPr>
            <w:tcW w:w="1060" w:type="dxa"/>
            <w:vAlign w:val="bottom"/>
            <w:gridSpan w:val="25"/>
          </w:tcPr>
          <w:p>
            <w:pPr>
              <w:ind w:left="80"/>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and Wells</w:t>
              </w:r>
            </w:hyperlink>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Fargo Bank, National Association, as L/C Issuers; and the other Lenders party thereto (incorporated by reference to Exhibit 10.2</w:t>
              </w:r>
            </w:hyperlink>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to our Current Report on Form 8-K filed August 26, 2021).</w:t>
              </w:r>
            </w:hyperlink>
          </w:p>
        </w:tc>
        <w:tc>
          <w:tcPr>
            <w:tcW w:w="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10.5</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First Amendment to Fourth Amended and Restated Credit Agreement dated as of August 22, 2022, among Plains Marketing, L.P.</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and Plains Midstream Canada ULC, as Borrowers; Plains All American Pipeline, L.P., as guarantor; Bank of America,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Administrative Agent and Swing Line Lender; Bank of America, N.A., Citibank, N.A., JPMorgan Chase Bank, N.A. and Wells</w:t>
              </w:r>
            </w:hyperlink>
          </w:p>
        </w:tc>
        <w:tc>
          <w:tcPr>
            <w:tcW w:w="20" w:type="dxa"/>
            <w:vAlign w:val="bottom"/>
            <w:tcBorders>
              <w:top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Fargo Bank, National Association, as L/C Issuers; and the other Lenders party thereto (incorporated by reference to Exhibit 10.2</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to our Current Report on Form 8-K filed August 25, 2022).</w:t>
              </w:r>
            </w:hyperlink>
          </w:p>
        </w:tc>
        <w:tc>
          <w:tcPr>
            <w:tcW w:w="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10.6</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Amendment to Fourth Amended and Restated Credit Agreement dated as of August 19, 2024, among Plains Marketing,</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L.P. and Plains Midstream Canada ULC, as Borrowers; Plains All American Pipeline, L.P., as guarantor; Bank of America, N.A.,</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30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as Administrative Agent and Swing Line Lender; Bank of America, N.A., Citibank, N.A., JPMorgan Chase Bank, N.A. and Wells</w:t>
              </w:r>
            </w:hyperlink>
          </w:p>
        </w:tc>
        <w:tc>
          <w:tcPr>
            <w:tcW w:w="100" w:type="dxa"/>
            <w:vAlign w:val="bottom"/>
            <w:tcBorders>
              <w:bottom w:val="single" w:sz="8" w:color="0000FF"/>
            </w:tcBorders>
            <w:gridSpan w:val="5"/>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20" w:type="dxa"/>
            <w:vAlign w:val="bottom"/>
            <w:gridSpan w:val="33"/>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Fargo Bank, National Association, as L/C Issuers; and the other Lenders party thereto (incorporated by reference to Exhibit 10.2</w:t>
              </w:r>
            </w:hyperlink>
          </w:p>
        </w:tc>
        <w:tc>
          <w:tcPr>
            <w:tcW w:w="20" w:type="dxa"/>
            <w:vAlign w:val="bottom"/>
          </w:tcPr>
          <w:p>
            <w:pPr>
              <w:spacing w:after="0"/>
              <w:rPr>
                <w:sz w:val="13"/>
                <w:szCs w:val="13"/>
                <w:color w:val="auto"/>
              </w:rPr>
            </w:pPr>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to our Current Report on Form 8-K filed August 22, 2024).</w:t>
              </w:r>
            </w:hyperlink>
          </w:p>
        </w:tc>
        <w:tc>
          <w:tcPr>
            <w:tcW w:w="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10.7</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Credit Agreement, dated as of October 15, 2024, by and among EPIC Crude Holdings, EPIC Crude Services, LP, as borrower,</w:t>
              </w:r>
            </w:hyperlink>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6"/>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40" w:type="dxa"/>
            <w:vAlign w:val="bottom"/>
            <w:gridSpan w:val="34"/>
          </w:tcPr>
          <w:p>
            <w:pPr>
              <w:spacing w:after="0" w:line="15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Goldman Sachs Bank USA, as administrative and collateral agent, and the lenders and letters of credit issuers party thereto from</w:t>
              </w:r>
            </w:hyperlink>
          </w:p>
        </w:tc>
      </w:tr>
      <w:tr>
        <w:trPr>
          <w:trHeight w:val="169"/>
        </w:trPr>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80" w:type="dxa"/>
            <w:vAlign w:val="bottom"/>
            <w:tcBorders>
              <w:top w:val="single" w:sz="8" w:color="0000FF"/>
              <w:bottom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time to time, as amended (incorporated by reference to Exhibit 10.1 to our Current Report on Form 8-K filed November 6, 2025)</w:t>
              </w:r>
            </w:hyperlink>
          </w:p>
        </w:tc>
        <w:tc>
          <w:tcPr>
            <w:tcW w:w="160" w:type="dxa"/>
            <w:vAlign w:val="bottom"/>
            <w:tcBorders>
              <w:bottom w:val="single" w:sz="8" w:color="0000FF"/>
            </w:tcBorders>
            <w:gridSpan w:val="10"/>
          </w:tcPr>
          <w:p>
            <w:pPr>
              <w:jc w:val="right"/>
              <w:ind w:right="100"/>
              <w:spacing w:after="0" w:line="169" w:lineRule="exact"/>
              <w:rPr>
                <w:rFonts w:ascii="Times New Roman" w:cs="Times New Roman" w:eastAsia="Times New Roman" w:hAnsi="Times New Roman"/>
                <w:sz w:val="18"/>
                <w:szCs w:val="18"/>
                <w:color w:val="0000FF"/>
                <w:w w:val="87"/>
              </w:rPr>
            </w:pPr>
            <w:hyperlink r:id="rId184">
              <w:r>
                <w:rPr>
                  <w:rFonts w:ascii="Times New Roman" w:cs="Times New Roman" w:eastAsia="Times New Roman" w:hAnsi="Times New Roman"/>
                  <w:sz w:val="18"/>
                  <w:szCs w:val="18"/>
                  <w:color w:val="0000FF"/>
                  <w:w w:val="87"/>
                </w:rPr>
                <w:t>.</w:t>
              </w:r>
            </w:hyperlink>
          </w:p>
        </w:tc>
      </w:tr>
      <w:tr>
        <w:trPr>
          <w:trHeight w:val="318"/>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10.8</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Term Loan Agreement, dated as of November 26, 2025, by and among Plains All American Pipeline, L.P., PNC Bank, National</w:t>
              </w:r>
            </w:hyperlink>
          </w:p>
        </w:tc>
      </w:tr>
      <w:tr>
        <w:trPr>
          <w:trHeight w:val="176"/>
        </w:trPr>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Association, as administrative agent, and the other lenders party thereto (incorporated by reference to Exhibit 10.1 to our Current</w:t>
              </w:r>
            </w:hyperlink>
          </w:p>
        </w:tc>
        <w:tc>
          <w:tcPr>
            <w:tcW w:w="80" w:type="dxa"/>
            <w:vAlign w:val="bottom"/>
            <w:tcBorders>
              <w:bottom w:val="single" w:sz="8" w:color="0000FF"/>
            </w:tcBorders>
            <w:gridSpan w:val="6"/>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149"/>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0" w:type="dxa"/>
            <w:vAlign w:val="bottom"/>
            <w:gridSpan w:val="4"/>
          </w:tcPr>
          <w:p>
            <w:pPr>
              <w:spacing w:after="0" w:line="149"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Report on Form 8-K filed December 3, 2025)</w:t>
              </w:r>
              <w:r>
                <w:rPr>
                  <w:rFonts w:ascii="Times New Roman" w:cs="Times New Roman" w:eastAsia="Times New Roman" w:hAnsi="Times New Roman"/>
                  <w:sz w:val="17"/>
                  <w:szCs w:val="17"/>
                  <w:u w:val="single" w:color="auto"/>
                  <w:color w:val="0000FF"/>
                </w:rPr>
                <w:t>.</w:t>
              </w:r>
            </w:hyperlink>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760" w:type="dxa"/>
            <w:vAlign w:val="bottom"/>
            <w:gridSpan w:val="22"/>
          </w:tcPr>
          <w:p>
            <w:pPr>
              <w:spacing w:after="0" w:line="20" w:lineRule="exact"/>
              <w:rPr>
                <w:sz w:val="1"/>
                <w:szCs w:val="1"/>
                <w:color w:val="auto"/>
              </w:rPr>
            </w:pPr>
          </w:p>
        </w:tc>
      </w:tr>
      <w:tr>
        <w:trPr>
          <w:trHeight w:val="318"/>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10.9</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34"/>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Contribution and Assumption Agreement dated December 28, 2007, by and between Plains AAP, L.P. and PAA GP LLC</w:t>
              </w:r>
            </w:hyperlink>
          </w:p>
        </w:tc>
      </w:tr>
      <w:tr>
        <w:trPr>
          <w:trHeight w:val="155"/>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10.2 to our Current Report on Form 8-K filed January 4, 2008).</w:t>
              </w:r>
            </w:hyperlink>
          </w:p>
        </w:tc>
        <w:tc>
          <w:tcPr>
            <w:tcW w:w="760" w:type="dxa"/>
            <w:vAlign w:val="bottom"/>
            <w:gridSpan w:val="22"/>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color w:val="0000FF"/>
                </w:rPr>
                <w:t>Omnibus Agreement by and among PAA GP Holdings LLC, Plains GP Holdings, L.P., Plains All American GP LLC, Plains AAP,</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L.P., PAA GP LLC, and Plains All American Pipeline, L.P., dated November 15, 2016 (incorporated by reference to Exhibit 10.1</w:t>
              </w:r>
            </w:hyperlink>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3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to our Current Report on Form 8-K filed November 21, 2016).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color w:val="0000FF"/>
                </w:rPr>
                <w:t>Amended and Restated Administrative Agreement by and among PAA GP Holdings LLC, Plains GP Holdings, L.P., Plains All</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1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American GP LLC, Plains AAP, L.P., PAA GP LLC, and Plains All American Pipeline, L.P., dated November 15,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560" w:type="dxa"/>
            <w:vAlign w:val="bottom"/>
            <w:tcBorders>
              <w:top w:val="single" w:sz="8" w:color="0000FF"/>
              <w:bottom w:val="single" w:sz="8" w:color="0000FF"/>
            </w:tcBorders>
            <w:gridSpan w:val="10"/>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(incorporated by reference to Exhibit 10.2 to our Current Report on Form 8-K filed November 21, 2016).</w:t>
              </w:r>
            </w:hyperlink>
          </w:p>
        </w:tc>
        <w:tc>
          <w:tcPr>
            <w:tcW w:w="1000" w:type="dxa"/>
            <w:vAlign w:val="bottom"/>
            <w:tcBorders>
              <w:top w:val="single" w:sz="8" w:color="0000FF"/>
            </w:tcBorders>
            <w:gridSpan w:val="7"/>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color w:val="0000FF"/>
                </w:rPr>
                <w:t>Amended and Restated Employment Agreement between Plains All American GP LLC and Greg L. Armstrong dated as of</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June 30, 2001 (incorporated by reference to Exhibit 10.1 to our Quarterly Report on Form 10-Q for the quarter ended</w:t>
              </w:r>
            </w:hyperlink>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September 30, 2001).</w:t>
              </w:r>
            </w:hyperlink>
          </w:p>
        </w:tc>
        <w:tc>
          <w:tcPr>
            <w:tcW w:w="6860" w:type="dxa"/>
            <w:vAlign w:val="bottom"/>
            <w:tcBorders>
              <w:top w:val="single" w:sz="8" w:color="0000FF"/>
            </w:tcBorders>
            <w:gridSpan w:val="12"/>
          </w:tcPr>
          <w:p>
            <w:pPr>
              <w:spacing w:after="0"/>
              <w:rPr>
                <w:sz w:val="14"/>
                <w:szCs w:val="14"/>
                <w:color w:val="auto"/>
              </w:rPr>
            </w:pPr>
          </w:p>
        </w:tc>
        <w:tc>
          <w:tcPr>
            <w:tcW w:w="38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color w:val="0000FF"/>
                </w:rPr>
                <w:t>First Amendment to Amended and Restated Employment Agreement dated December 4, 2008 between Plains All</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American GP LLC and Greg L. Armstrong (incorporated by reference to Exhibit 10.49 to our Annual Report on</w:t>
              </w:r>
            </w:hyperlink>
          </w:p>
        </w:tc>
        <w:tc>
          <w:tcPr>
            <w:tcW w:w="1260" w:type="dxa"/>
            <w:vAlign w:val="bottom"/>
            <w:gridSpan w:val="24"/>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10-K for</w:t>
              </w:r>
            </w:hyperlink>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1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the year ended December 31, 2008).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color w:val="0000FF"/>
                </w:rPr>
                <w:t>Waiver Agreement dated as of December 23, 2010 between Plains All American GP LLC and Greg L. Armstrong (incorporated</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by reference to Exhibit 10.31 to our Annual Report on Form 10-K for the year ended December 31, 2010).</w:t>
              </w:r>
            </w:hyperlink>
          </w:p>
        </w:tc>
        <w:tc>
          <w:tcPr>
            <w:tcW w:w="15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color w:val="0000FF"/>
                </w:rPr>
                <w:t>Waiver Agreement dated October 21, 2013 to the Amended and Restated Employment Agreement dated June 30, 2001 of Greg L.</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Armstrong (incorporated by reference to Exhibit 10.2 to our Current Report on Form 8-K filed October 25, 2013).</w:t>
              </w:r>
            </w:hyperlink>
          </w:p>
        </w:tc>
        <w:tc>
          <w:tcPr>
            <w:tcW w:w="12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color w:val="0000FF"/>
                </w:rPr>
                <w:t>Second Amended and Restated Employment Agreement dated effective October 1, 2018 between Plains All American GP LLC</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and Greg L. Armstrong (incorporated by reference to Exhibit 10.6 to our Quarterly Report on Form 10-Q for the quarter ended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September 30, 2018).</w:t>
              </w:r>
            </w:hyperlink>
          </w:p>
        </w:tc>
        <w:tc>
          <w:tcPr>
            <w:tcW w:w="7560" w:type="dxa"/>
            <w:vAlign w:val="bottom"/>
            <w:tcBorders>
              <w:top w:val="single" w:sz="8" w:color="0000FF"/>
            </w:tcBorders>
            <w:gridSpan w:val="17"/>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color w:val="0000FF"/>
                </w:rPr>
                <w:t>Third Amended and Restated Employment Agreement dated effective January 1, 2020 between Plains All American GP LLC and</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Greg L. Armstrong (incorporated by reference to Exhibit 10.31 to our Annual Report on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95">
              <w:r>
                <w:rPr>
                  <w:rFonts w:ascii="Times New Roman" w:cs="Times New Roman" w:eastAsia="Times New Roman" w:hAnsi="Times New Roman"/>
                  <w:sz w:val="18"/>
                  <w:szCs w:val="18"/>
                  <w:color w:val="0000FF"/>
                  <w:w w:val="94"/>
                </w:rPr>
                <w:t>31, 2019.</w:t>
              </w:r>
            </w:hyperlink>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color w:val="0000FF"/>
                </w:rPr>
                <w:t>Amendment No. 1 to Third Amended and Restated Employment Agreement dated effective December 31, 2021 between Plains</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All American GP LLC and Greg L. Armstrong (incorporated by reference to Exhibit 10.12 to our Annual Report on Form 10-K</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6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for the year ended December 31, 2021).</w:t>
              </w:r>
            </w:hyperlink>
          </w:p>
        </w:tc>
        <w:tc>
          <w:tcPr>
            <w:tcW w:w="6340" w:type="dxa"/>
            <w:vAlign w:val="bottom"/>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7">
              <w:r>
                <w:rPr>
                  <w:rFonts w:ascii="Times New Roman" w:cs="Times New Roman" w:eastAsia="Times New Roman" w:hAnsi="Times New Roman"/>
                  <w:sz w:val="18"/>
                  <w:szCs w:val="18"/>
                  <w:color w:val="0000FF"/>
                </w:rPr>
                <w:t>Fourth Amended and Restated Employment Agreement dated effective May 23, 2024 between Plains All American GP LLC and</w:t>
              </w:r>
            </w:hyperlink>
          </w:p>
        </w:tc>
      </w:tr>
      <w:tr>
        <w:trPr>
          <w:trHeight w:val="176"/>
        </w:trPr>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3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Greg L. Armstrong (incorporated by reference to Exhibit 10.1 to our Quarterly Report on Form 10-Q for the quarter ended</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149"/>
        </w:trPr>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20" w:type="dxa"/>
            <w:vAlign w:val="bottom"/>
            <w:tcBorders>
              <w:top w:val="single" w:sz="8" w:color="0000FF"/>
            </w:tcBorders>
            <w:gridSpan w:val="2"/>
          </w:tcPr>
          <w:p>
            <w:pPr>
              <w:spacing w:after="0" w:line="149" w:lineRule="exact"/>
              <w:rPr>
                <w:rFonts w:ascii="Times New Roman" w:cs="Times New Roman" w:eastAsia="Times New Roman" w:hAnsi="Times New Roman"/>
                <w:sz w:val="17"/>
                <w:szCs w:val="17"/>
                <w:color w:val="0000FF"/>
                <w:w w:val="98"/>
              </w:rPr>
            </w:pPr>
            <w:hyperlink r:id="rId197">
              <w:r>
                <w:rPr>
                  <w:rFonts w:ascii="Times New Roman" w:cs="Times New Roman" w:eastAsia="Times New Roman" w:hAnsi="Times New Roman"/>
                  <w:sz w:val="17"/>
                  <w:szCs w:val="17"/>
                  <w:color w:val="0000FF"/>
                  <w:w w:val="98"/>
                </w:rPr>
                <w:t>September 30, 2025)</w:t>
              </w:r>
            </w:hyperlink>
          </w:p>
        </w:tc>
        <w:tc>
          <w:tcPr>
            <w:tcW w:w="120" w:type="dxa"/>
            <w:vAlign w:val="bottom"/>
            <w:tcBorders>
              <w:top w:val="single" w:sz="8" w:color="0000FF"/>
            </w:tcBorders>
          </w:tcPr>
          <w:p>
            <w:pPr>
              <w:jc w:val="right"/>
              <w:spacing w:after="0" w:line="149"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w:t>
              </w:r>
            </w:hyperlink>
          </w:p>
        </w:tc>
        <w:tc>
          <w:tcPr>
            <w:tcW w:w="800" w:type="dxa"/>
            <w:vAlign w:val="bottom"/>
            <w:tcBorders>
              <w:top w:val="single" w:sz="8" w:color="0000FF"/>
            </w:tcBorders>
            <w:gridSpan w:val="2"/>
          </w:tcPr>
          <w:p>
            <w:pPr>
              <w:spacing w:after="0"/>
              <w:rPr>
                <w:sz w:val="12"/>
                <w:szCs w:val="12"/>
                <w:color w:val="auto"/>
              </w:rPr>
            </w:pPr>
          </w:p>
        </w:tc>
        <w:tc>
          <w:tcPr>
            <w:tcW w:w="5100" w:type="dxa"/>
            <w:vAlign w:val="bottom"/>
            <w:tcBorders>
              <w:top w:val="single" w:sz="8" w:color="0000FF"/>
            </w:tcBorders>
            <w:gridSpan w:val="4"/>
          </w:tcPr>
          <w:p>
            <w:pPr>
              <w:spacing w:after="0"/>
              <w:rPr>
                <w:sz w:val="12"/>
                <w:szCs w:val="12"/>
                <w:color w:val="auto"/>
              </w:rPr>
            </w:pPr>
          </w:p>
        </w:tc>
        <w:tc>
          <w:tcPr>
            <w:tcW w:w="300" w:type="dxa"/>
            <w:vAlign w:val="bottom"/>
            <w:tcBorders>
              <w:top w:val="single" w:sz="8" w:color="0000FF"/>
            </w:tcBorders>
            <w:gridSpan w:val="3"/>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8">
              <w:r>
                <w:rPr>
                  <w:rFonts w:ascii="Times New Roman" w:cs="Times New Roman" w:eastAsia="Times New Roman" w:hAnsi="Times New Roman"/>
                  <w:sz w:val="18"/>
                  <w:szCs w:val="18"/>
                  <w:color w:val="0000FF"/>
                </w:rPr>
                <w:t>Amended and Restated Employment Agreement between Plains All American GP LLC and Harry N. Pefanis dated as of June 30,</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38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2001 (incorporated by reference to Exhibit 10.2 to our Quarterly Report on Form 10-Q for the quarter ended September 30, 2001)</w:t>
              </w:r>
            </w:hyperlink>
          </w:p>
        </w:tc>
        <w:tc>
          <w:tcPr>
            <w:tcW w:w="80" w:type="dxa"/>
            <w:vAlign w:val="bottom"/>
            <w:tcBorders>
              <w:bottom w:val="single" w:sz="8" w:color="0000FF"/>
            </w:tcBorders>
            <w:gridSpan w:val="4"/>
          </w:tcPr>
          <w:p>
            <w:pPr>
              <w:jc w:val="right"/>
              <w:ind w:right="80"/>
              <w:spacing w:after="0"/>
              <w:rPr>
                <w:rFonts w:ascii="Times New Roman" w:cs="Times New Roman" w:eastAsia="Times New Roman" w:hAnsi="Times New Roman"/>
                <w:sz w:val="11"/>
                <w:szCs w:val="11"/>
                <w:color w:val="0000FF"/>
                <w:w w:val="70"/>
              </w:rPr>
            </w:pPr>
            <w:hyperlink r:id="rId198">
              <w:r>
                <w:rPr>
                  <w:rFonts w:ascii="Times New Roman" w:cs="Times New Roman" w:eastAsia="Times New Roman" w:hAnsi="Times New Roman"/>
                  <w:sz w:val="11"/>
                  <w:szCs w:val="11"/>
                  <w:color w:val="0000FF"/>
                  <w:w w:val="70"/>
                </w:rPr>
                <w:t>.</w:t>
              </w:r>
            </w:hyperlink>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99">
              <w:r>
                <w:rPr>
                  <w:rFonts w:ascii="Times New Roman" w:cs="Times New Roman" w:eastAsia="Times New Roman" w:hAnsi="Times New Roman"/>
                  <w:sz w:val="18"/>
                  <w:szCs w:val="18"/>
                  <w:color w:val="0000FF"/>
                </w:rPr>
                <w:t>First Amendment to Amended and Restated Employment Agreement dated December 4, 2008 between Plains All</w:t>
              </w:r>
            </w:hyperlink>
          </w:p>
        </w:tc>
      </w:tr>
      <w:tr>
        <w:trPr>
          <w:trHeight w:val="20"/>
        </w:trPr>
        <w:tc>
          <w:tcPr>
            <w:tcW w:w="94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510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60" w:type="dxa"/>
            <w:vAlign w:val="bottom"/>
            <w:gridSpan w:val="38"/>
          </w:tcPr>
          <w:p>
            <w:pPr>
              <w:spacing w:after="0" w:line="15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American GP LLC and Harry N. Pefanis (incorporated by reference to Exhibit 10.50 to our Annual Report on Form 10-K for the</w:t>
              </w:r>
            </w:hyperlink>
          </w:p>
        </w:tc>
      </w:tr>
      <w:tr>
        <w:trPr>
          <w:trHeight w:val="169"/>
        </w:trPr>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year ended December 31, 2008).</w:t>
              </w:r>
            </w:hyperlink>
          </w:p>
        </w:tc>
        <w:tc>
          <w:tcPr>
            <w:tcW w:w="6980" w:type="dxa"/>
            <w:vAlign w:val="bottom"/>
            <w:tcBorders>
              <w:top w:val="single" w:sz="8" w:color="0000FF"/>
            </w:tcBorders>
            <w:gridSpan w:val="26"/>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color w:val="0000FF"/>
                </w:rPr>
                <w:t>Amendment No. 2 dated August 15, 2019 to Harry Pefanis Amended and Restated Employment Agreement (incorporated by</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reference to Exhibit 10.1 to our Quarterly Report on Form 10-Q for the quarter ended September 30, 2019).</w:t>
              </w:r>
            </w:hyperlink>
          </w:p>
        </w:tc>
        <w:tc>
          <w:tcPr>
            <w:tcW w:w="1260" w:type="dxa"/>
            <w:vAlign w:val="bottom"/>
            <w:tcBorders>
              <w:top w:val="single" w:sz="8" w:color="0000FF"/>
            </w:tcBorders>
            <w:gridSpan w:val="8"/>
          </w:tcPr>
          <w:p>
            <w:pPr>
              <w:spacing w:after="0"/>
              <w:rPr>
                <w:sz w:val="13"/>
                <w:szCs w:val="13"/>
                <w:color w:val="auto"/>
              </w:rPr>
            </w:pPr>
          </w:p>
        </w:tc>
        <w:tc>
          <w:tcPr>
            <w:tcW w:w="2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color w:val="0000FF"/>
                </w:rPr>
                <w:t>Waiver Agreement dated as of December 23, 2010 between Plains All American GP LLC and Harry N. Pefanis (incorporated by</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reference to Exhibit 10.32 to our Annual Report on Form 10-K for the year ended December 31, 2010).</w:t>
              </w:r>
            </w:hyperlink>
          </w:p>
        </w:tc>
        <w:tc>
          <w:tcPr>
            <w:tcW w:w="1860" w:type="dxa"/>
            <w:vAlign w:val="bottom"/>
            <w:tcBorders>
              <w:top w:val="single" w:sz="8" w:color="0000FF"/>
            </w:tcBorders>
            <w:gridSpan w:val="21"/>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color w:val="0000FF"/>
                </w:rPr>
                <w:t>Waiver Agreement dated October 21, 2013 to the Amended and Restated Employment Agreement dated June 30, 2001 of Harry</w:t>
              </w:r>
            </w:hyperlink>
          </w:p>
        </w:tc>
      </w:tr>
      <w:tr>
        <w:trPr>
          <w:trHeight w:val="156"/>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02">
              <w:r>
                <w:rPr>
                  <w:rFonts w:ascii="Times New Roman" w:cs="Times New Roman" w:eastAsia="Times New Roman" w:hAnsi="Times New Roman"/>
                  <w:sz w:val="18"/>
                  <w:szCs w:val="18"/>
                  <w:color w:val="0000FF"/>
                  <w:w w:val="99"/>
                </w:rPr>
                <w:t>N. Pefanis (incorporated by reference to Exhibit 10.3 to our Current Report on Form 8-K filed October 25, 2013).</w:t>
              </w:r>
            </w:hyperlink>
          </w:p>
        </w:tc>
        <w:tc>
          <w:tcPr>
            <w:tcW w:w="10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280" w:type="dxa"/>
            <w:vAlign w:val="bottom"/>
            <w:gridSpan w:val="39"/>
          </w:tcPr>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color w:val="0000FF"/>
                </w:rPr>
                <w:t>Employment Agreement dated effective June 1, 2025 between Plains All American GP LLC and Harry N. Pefanis (incorporated</w:t>
              </w:r>
            </w:hyperlink>
          </w:p>
        </w:tc>
      </w:tr>
      <w:tr>
        <w:trPr>
          <w:trHeight w:val="155"/>
        </w:trPr>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by reference to Exhibit 10.2 to our Quarterly Report on Form 10-Q for the quarter ended September 30, 2025).</w:t>
              </w:r>
            </w:hyperlink>
          </w:p>
        </w:tc>
        <w:tc>
          <w:tcPr>
            <w:tcW w:w="1320" w:type="dxa"/>
            <w:vAlign w:val="bottom"/>
            <w:tcBorders>
              <w:top w:val="single" w:sz="8" w:color="0000FF"/>
            </w:tcBorders>
            <w:gridSpan w:val="16"/>
          </w:tcPr>
          <w:p>
            <w:pPr>
              <w:spacing w:after="0"/>
              <w:rPr>
                <w:sz w:val="13"/>
                <w:szCs w:val="13"/>
                <w:color w:val="auto"/>
              </w:rPr>
            </w:pPr>
          </w:p>
        </w:tc>
        <w:tc>
          <w:tcPr>
            <w:tcW w:w="180" w:type="dxa"/>
            <w:vAlign w:val="bottom"/>
            <w:gridSpan w:val="9"/>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Employment Agreement between Plains All American GP LLC and Willie Chiang dated July 10, 2015 (incorporated by reference</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to Exhibit 10.53 to our Annual Report on Form 10-K for the year ended December 31, 2015).</w:t>
              </w:r>
            </w:hyperlink>
          </w:p>
        </w:tc>
        <w:tc>
          <w:tcPr>
            <w:tcW w:w="26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Amended and Restated Employment Agreement dated effective October 1, 2018 between Plains All American GP LLC and Willie</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Chiang (incorporated by reference to Exhibit 10.7 to our Quarterly Report on Form 10-Q for the quarter ended September 30,</w:t>
              </w:r>
            </w:hyperlink>
          </w:p>
        </w:tc>
        <w:tc>
          <w:tcPr>
            <w:tcW w:w="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06">
              <w:r>
                <w:rPr>
                  <w:rFonts w:ascii="Times New Roman" w:cs="Times New Roman" w:eastAsia="Times New Roman" w:hAnsi="Times New Roman"/>
                  <w:sz w:val="18"/>
                  <w:szCs w:val="18"/>
                  <w:color w:val="0000FF"/>
                  <w:w w:val="98"/>
                </w:rPr>
                <w:t>2018).</w:t>
              </w:r>
            </w:hyperlink>
          </w:p>
        </w:tc>
        <w:tc>
          <w:tcPr>
            <w:tcW w:w="10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LTIP Grant Letter dated August 16, 2018 (Willie Chiang) incorporated by reference to Exhibit 10.8 to our Quarterly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Form 10-Q for the quarter ended September 30, 2018).</w:t>
              </w:r>
            </w:hyperlink>
          </w:p>
        </w:tc>
        <w:tc>
          <w:tcPr>
            <w:tcW w:w="516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dated August 14, 2025 to Special Promotional LTIP Grant Letter dated August 16, 2018 (Willie Chiang)</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(incorporated by reference to Exhibit 10.6 to our Quarterly Report on Form 10-Q for the quarter ended September 30,</w:t>
              </w:r>
            </w:hyperlink>
          </w:p>
        </w:tc>
        <w:tc>
          <w:tcPr>
            <w:tcW w:w="580" w:type="dxa"/>
            <w:vAlign w:val="bottom"/>
            <w:tcBorders>
              <w:bottom w:val="single" w:sz="8" w:color="0000FF"/>
            </w:tcBorders>
            <w:gridSpan w:val="6"/>
          </w:tcPr>
          <w:p>
            <w:pPr>
              <w:jc w:val="right"/>
              <w:ind w:right="20"/>
              <w:spacing w:after="0" w:line="15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2025).</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Plains All American 2021 Long-Term Incentive Plan (incorporated by reference to Exhibit A to our Definitive Proxy Statement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filed on April 12,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Plains All American 2013 Long-Term Incentive Plan (incorporated by reference to Exhibit A to our Definitive Proxy Statement</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filed on October 3, 2013).</w:t>
              </w:r>
            </w:hyperlink>
          </w:p>
        </w:tc>
        <w:tc>
          <w:tcPr>
            <w:tcW w:w="730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Plains All American PNG Successor Long-Term Incentive Plan (incorporated by reference to Exhibit 4.4 to our Registration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Statement on Form S-8 (333-193139) filed December 31, 2013).</w:t>
              </w:r>
            </w:hyperlink>
          </w:p>
        </w:tc>
        <w:tc>
          <w:tcPr>
            <w:tcW w:w="4340" w:type="dxa"/>
            <w:vAlign w:val="bottom"/>
            <w:tcBorders>
              <w:top w:val="single" w:sz="8" w:color="0000FF"/>
            </w:tcBorders>
            <w:gridSpan w:val="14"/>
          </w:tcPr>
          <w:p>
            <w:pPr>
              <w:spacing w:after="0"/>
              <w:rPr>
                <w:sz w:val="13"/>
                <w:szCs w:val="13"/>
                <w:color w:val="auto"/>
              </w:rPr>
            </w:pPr>
          </w:p>
        </w:tc>
        <w:tc>
          <w:tcPr>
            <w:tcW w:w="2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PAA Natural Gas Storage, L.P. 2010 Long-Term Incentive Plan (incorporated by reference to Exhibit 10.2 to PNG’s Current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Report on Form 8-K filed May 11, 2010).</w:t>
              </w:r>
            </w:hyperlink>
          </w:p>
        </w:tc>
        <w:tc>
          <w:tcPr>
            <w:tcW w:w="2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Plains GP Holdings, L.P. Long Term Incentive Plan (incorporated by reference to Exhibit 10.3 to PAGP’s Current Report on</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8-K filed October 25, 2013).</w:t>
              </w:r>
            </w:hyperlink>
          </w:p>
        </w:tc>
        <w:tc>
          <w:tcPr>
            <w:tcW w:w="20" w:type="dxa"/>
            <w:vAlign w:val="bottom"/>
          </w:tcPr>
          <w:p>
            <w:pPr>
              <w:spacing w:after="0"/>
              <w:rPr>
                <w:sz w:val="13"/>
                <w:szCs w:val="13"/>
                <w:color w:val="auto"/>
              </w:rPr>
            </w:pPr>
          </w:p>
        </w:tc>
        <w:tc>
          <w:tcPr>
            <w:tcW w:w="2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Form of Special Retention LTIP Grant Letter dated November 20, 2019 (incorporated by reference to Exhibit 10.53 to our Annual</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38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Report on Form 10-K for the year ended December 31, 2020).</w:t>
              </w:r>
            </w:hyperlink>
          </w:p>
        </w:tc>
        <w:tc>
          <w:tcPr>
            <w:tcW w:w="60" w:type="dxa"/>
            <w:vAlign w:val="bottom"/>
            <w:gridSpan w:val="2"/>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Form of Amended and Restated Special Retention LTIP Grant Letter Dated February 24, 2022 (incorporated by reference to</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215">
              <w:r>
                <w:rPr>
                  <w:rFonts w:ascii="Times New Roman" w:cs="Times New Roman" w:eastAsia="Times New Roman" w:hAnsi="Times New Roman"/>
                  <w:sz w:val="18"/>
                  <w:szCs w:val="18"/>
                  <w:color w:val="0000FF"/>
                  <w:w w:val="99"/>
                </w:rPr>
                <w:t>Exhibit 10.1 to our Quarterly Report on Form 10-Q for the quarter ended March 31, 2022).</w:t>
              </w:r>
            </w:hyperlink>
          </w:p>
        </w:tc>
        <w:tc>
          <w:tcPr>
            <w:tcW w:w="2400" w:type="dxa"/>
            <w:vAlign w:val="bottom"/>
            <w:tcBorders>
              <w:top w:val="single" w:sz="8" w:color="0000FF"/>
            </w:tcBorders>
            <w:gridSpan w:val="7"/>
          </w:tcPr>
          <w:p>
            <w:pPr>
              <w:spacing w:after="0"/>
              <w:rPr>
                <w:sz w:val="13"/>
                <w:szCs w:val="13"/>
                <w:color w:val="auto"/>
              </w:rPr>
            </w:pPr>
          </w:p>
        </w:tc>
        <w:tc>
          <w:tcPr>
            <w:tcW w:w="2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LTIP Grant Letter dated August 17, 2023 (Named Executive Officers) (incorporated by reference to Exhibit 10.1 to our</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Quarterly Report on Form 10-Q for the quarter ended September 30,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LTIP Grant Letter dated August 15, 2024 (Named Executive Officers) (incorporated by reference to Exhibit 10.3 to our</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Quarterly Report on Form 10-Q for the quarter ended September 30,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5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Form of LTIP Grant Letter dated August 14, 2025 (Named Executive Officers) (incorporated by reference to Exhibit 10.3 to our</w:t>
              </w:r>
            </w:hyperlink>
          </w:p>
        </w:tc>
      </w:tr>
      <w:tr>
        <w:trPr>
          <w:trHeight w:val="136"/>
        </w:trPr>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720" w:type="dxa"/>
            <w:vAlign w:val="bottom"/>
            <w:tcBorders>
              <w:top w:val="single" w:sz="8" w:color="0000FF"/>
            </w:tcBorders>
            <w:gridSpan w:val="17"/>
          </w:tcPr>
          <w:p>
            <w:pPr>
              <w:spacing w:after="0" w:line="136" w:lineRule="exact"/>
              <w:rPr>
                <w:rFonts w:ascii="Times New Roman" w:cs="Times New Roman" w:eastAsia="Times New Roman" w:hAnsi="Times New Roman"/>
                <w:sz w:val="15"/>
                <w:szCs w:val="15"/>
                <w:color w:val="0000FF"/>
              </w:rPr>
            </w:pPr>
            <w:hyperlink r:id="rId218">
              <w:r>
                <w:rPr>
                  <w:rFonts w:ascii="Times New Roman" w:cs="Times New Roman" w:eastAsia="Times New Roman" w:hAnsi="Times New Roman"/>
                  <w:sz w:val="15"/>
                  <w:szCs w:val="15"/>
                  <w:color w:val="0000FF"/>
                </w:rPr>
                <w:t>Quarterly Report on Form 10-Q for the quarter ended September 30, 2025)</w:t>
              </w:r>
              <w:r>
                <w:rPr>
                  <w:rFonts w:ascii="Times New Roman" w:cs="Times New Roman" w:eastAsia="Times New Roman" w:hAnsi="Times New Roman"/>
                  <w:sz w:val="15"/>
                  <w:szCs w:val="15"/>
                  <w:u w:val="single" w:color="auto"/>
                  <w:color w:val="0000FF"/>
                </w:rPr>
                <w:t>.</w:t>
              </w:r>
            </w:hyperlink>
          </w:p>
        </w:tc>
        <w:tc>
          <w:tcPr>
            <w:tcW w:w="84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Form of LTIP Grant Letter dated August 14, 2025 (Directors) (incorporated by reference to Exhibit 10.4 to our Quarterly Report</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on Form 10-Q for the quarter ended September 30, 2025).</w:t>
              </w:r>
            </w:hyperlink>
          </w:p>
        </w:tc>
        <w:tc>
          <w:tcPr>
            <w:tcW w:w="50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Form of Special Retention LTIP Grant Letter dated August 14, 2025 (incorporated by reference to Exhibit 10.5 to our Quarterly</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Report on Form 10-Q for the quarter ended September 30, 2025).</w:t>
              </w:r>
            </w:hyperlink>
          </w:p>
        </w:tc>
        <w:tc>
          <w:tcPr>
            <w:tcW w:w="46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gridSpan w:val="5"/>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Policy on Insider Trading (incorporated by reference to Exhibit 19.1 to our Annual Report on Form 10-K for the year ended</w:t>
              </w:r>
            </w:hyperlink>
          </w:p>
        </w:tc>
      </w:tr>
      <w:tr>
        <w:trPr>
          <w:trHeight w:val="155"/>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9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December 31, 2024).</w:t>
              </w:r>
            </w:hyperlink>
          </w:p>
        </w:tc>
        <w:tc>
          <w:tcPr>
            <w:tcW w:w="360" w:type="dxa"/>
            <w:vAlign w:val="bottom"/>
            <w:gridSpan w:val="13"/>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1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Policy Regarding Special Trading Procedures (incorporated by reference to Exhibit 19.2 to our Annual Report on Form 10-K for</w:t>
              </w:r>
            </w:hyperlink>
          </w:p>
        </w:tc>
      </w:tr>
      <w:tr>
        <w:trPr>
          <w:trHeight w:val="156"/>
        </w:trPr>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the year ended December 31, 2024).</w:t>
              </w:r>
            </w:hyperlink>
          </w:p>
        </w:tc>
        <w:tc>
          <w:tcPr>
            <w:tcW w:w="160" w:type="dxa"/>
            <w:vAlign w:val="bottom"/>
            <w:gridSpan w:val="4"/>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19"/>
          </w:tcPr>
          <w:p>
            <w:pPr>
              <w:spacing w:after="0" w:line="20" w:lineRule="exact"/>
              <w:rPr>
                <w:sz w:val="1"/>
                <w:szCs w:val="1"/>
                <w:color w:val="auto"/>
              </w:rPr>
            </w:pPr>
          </w:p>
        </w:tc>
      </w:tr>
      <w:tr>
        <w:trPr>
          <w:trHeight w:val="33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 †</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List of Subsidiaries of Plains All American Pipeline, L.P.</w:t>
            </w: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 †</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1100" w:type="dxa"/>
            <w:vAlign w:val="bottom"/>
            <w:tcBorders>
              <w:top w:val="single" w:sz="8" w:color="0000FF"/>
            </w:tcBorders>
            <w:gridSpan w:val="2"/>
          </w:tcPr>
          <w:p>
            <w:pPr>
              <w:spacing w:after="0"/>
              <w:rPr>
                <w:sz w:val="24"/>
                <w:szCs w:val="24"/>
                <w:color w:val="auto"/>
              </w:rPr>
            </w:pPr>
          </w:p>
        </w:tc>
        <w:tc>
          <w:tcPr>
            <w:tcW w:w="5320" w:type="dxa"/>
            <w:vAlign w:val="bottom"/>
            <w:gridSpan w:val="30"/>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 †</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 †</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30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Exchange Act Rules 13a-14(a) and 15d-14(a).</w:t>
            </w:r>
          </w:p>
        </w:tc>
        <w:tc>
          <w:tcPr>
            <w:tcW w:w="40" w:type="dxa"/>
            <w:vAlign w:val="bottom"/>
            <w:tcBorders>
              <w:top w:val="single" w:sz="8" w:color="0000FF"/>
            </w:tcBorders>
          </w:tcPr>
          <w:p>
            <w:pPr>
              <w:spacing w:after="0"/>
              <w:rPr>
                <w:sz w:val="24"/>
                <w:szCs w:val="24"/>
                <w:color w:val="auto"/>
              </w:rPr>
            </w:pPr>
          </w:p>
        </w:tc>
        <w:tc>
          <w:tcPr>
            <w:tcW w:w="2100" w:type="dxa"/>
            <w:vAlign w:val="bottom"/>
            <w:gridSpan w:val="19"/>
          </w:tcPr>
          <w:p>
            <w:pPr>
              <w:spacing w:after="0"/>
              <w:rPr>
                <w:sz w:val="24"/>
                <w:szCs w:val="24"/>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 ††</w:t>
            </w: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440" w:type="dxa"/>
            <w:vAlign w:val="bottom"/>
            <w:gridSpan w:val="4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660" w:type="dxa"/>
            <w:vAlign w:val="bottom"/>
          </w:tcPr>
          <w:p>
            <w:pPr>
              <w:spacing w:after="0"/>
              <w:rPr>
                <w:sz w:val="24"/>
                <w:szCs w:val="24"/>
                <w:color w:val="auto"/>
              </w:rPr>
            </w:pPr>
          </w:p>
        </w:tc>
        <w:tc>
          <w:tcPr>
            <w:tcW w:w="9940" w:type="dxa"/>
            <w:vAlign w:val="bottom"/>
            <w:gridSpan w:val="5"/>
          </w:tcPr>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24">
              <w:r>
                <w:rPr>
                  <w:rFonts w:ascii="Times New Roman" w:cs="Times New Roman" w:eastAsia="Times New Roman" w:hAnsi="Times New Roman"/>
                  <w:sz w:val="18"/>
                  <w:szCs w:val="18"/>
                  <w:color w:val="0000FF"/>
                </w:rPr>
                <w:t>Amended and Restated Clawback Policy (incorporated by reference to Exhibit 97.1 to our Annual Report on Form 10-K for the</w:t>
              </w:r>
            </w:hyperlink>
          </w:p>
        </w:tc>
      </w:tr>
      <w:tr>
        <w:trPr>
          <w:trHeight w:val="155"/>
        </w:trPr>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24">
              <w:r>
                <w:rPr>
                  <w:rFonts w:ascii="Times New Roman" w:cs="Times New Roman" w:eastAsia="Times New Roman" w:hAnsi="Times New Roman"/>
                  <w:sz w:val="18"/>
                  <w:szCs w:val="18"/>
                  <w:color w:val="0000FF"/>
                  <w:w w:val="99"/>
                </w:rPr>
                <w:t>year ended December 31, 2023).</w:t>
              </w:r>
            </w:hyperlink>
          </w:p>
        </w:tc>
        <w:tc>
          <w:tcPr>
            <w:tcW w:w="68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INS†</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4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104†</w:t>
            </w:r>
          </w:p>
        </w:tc>
        <w:tc>
          <w:tcPr>
            <w:tcW w:w="660" w:type="dxa"/>
            <w:vAlign w:val="bottom"/>
          </w:tcPr>
          <w:p>
            <w:pPr>
              <w:spacing w:after="0"/>
              <w:rPr>
                <w:sz w:val="24"/>
                <w:szCs w:val="24"/>
                <w:color w:val="auto"/>
              </w:rPr>
            </w:pPr>
          </w:p>
        </w:tc>
        <w:tc>
          <w:tcPr>
            <w:tcW w:w="99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40" w:lineRule="exact"/>
        <w:rPr>
          <w:sz w:val="20"/>
          <w:szCs w:val="20"/>
          <w:color w:val="auto"/>
        </w:rPr>
      </w:pPr>
    </w:p>
    <w:p>
      <w:pPr>
        <w:ind w:left="200" w:hanging="192"/>
        <w:spacing w:after="0"/>
        <w:tabs>
          <w:tab w:leader="none" w:pos="2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260" w:hanging="252"/>
        <w:spacing w:after="0"/>
        <w:tabs>
          <w:tab w:leader="none" w:pos="26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ind w:left="660" w:hanging="652"/>
        <w:spacing w:after="0" w:line="28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A copy of any omitted schedule will be furnished supplementally to the SEC upon request.</w:t>
      </w:r>
    </w:p>
    <w:p>
      <w:pPr>
        <w:spacing w:after="0" w:line="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Management compensatory plan or arrangement.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43"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PAA GP LLC,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74"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Plains AAP, L.P.,</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its sole member</w:t>
      </w:r>
    </w:p>
    <w:p>
      <w:pPr>
        <w:spacing w:after="0" w:line="274"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PLAINS ALL AMERICAN GP LLC,</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its general partner</w:t>
      </w:r>
    </w:p>
    <w:p>
      <w:pPr>
        <w:spacing w:after="0" w:line="274"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Willie Chiang,</w:t>
      </w:r>
    </w:p>
    <w:p>
      <w:pPr>
        <w:spacing w:after="0" w:line="1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and President of Plains All</w:t>
      </w: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Al Swanson,</w:t>
      </w:r>
    </w:p>
    <w:p>
      <w:pPr>
        <w:spacing w:after="0" w:line="1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79"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Chris Herbold,</w:t>
      </w:r>
    </w:p>
    <w:p>
      <w:pPr>
        <w:spacing w:after="0" w:line="1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3" w:lineRule="exact"/>
        <w:rPr>
          <w:sz w:val="20"/>
          <w:szCs w:val="20"/>
          <w:color w:val="auto"/>
        </w:rPr>
      </w:pPr>
    </w:p>
    <w:p>
      <w:pPr>
        <w:ind w:left="40"/>
        <w:spacing w:after="0"/>
        <w:tabs>
          <w:tab w:leader="none" w:pos="60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1062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p>
      <w:pPr>
        <w:spacing w:after="0" w:line="345"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Willie Chiang</w:t>
      </w:r>
    </w:p>
    <w:p>
      <w:pPr>
        <w:spacing w:after="0" w:line="200" w:lineRule="exact"/>
        <w:rPr>
          <w:sz w:val="20"/>
          <w:szCs w:val="20"/>
          <w:color w:val="auto"/>
        </w:rPr>
      </w:pPr>
    </w:p>
    <w:p>
      <w:pPr>
        <w:spacing w:after="0" w:line="20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Al Swanson</w:t>
      </w:r>
    </w:p>
    <w:p>
      <w:pPr>
        <w:spacing w:after="0" w:line="30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4">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Chris Herbold</w:t>
      </w:r>
    </w:p>
    <w:p>
      <w:pPr>
        <w:spacing w:after="0" w:line="26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5">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Greg L. Armstrong</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Victor Burk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6">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Victor Burk</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Ellen R. DeSanctis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7">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Ellen R. DeSanctis</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Kevin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8">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Kevin McCarthy</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Harry N. Pefanis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9">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Harry N. Pefanis</w:t>
      </w:r>
    </w:p>
    <w:p>
      <w:pPr>
        <w:spacing w:after="0" w:line="29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Gary R.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Gary R. Petersen</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Alexandra D. Pruner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1">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Alexandra D. Pruner</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2">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John T. Raymond</w:t>
      </w:r>
    </w:p>
    <w:p>
      <w:pPr>
        <w:spacing w:after="0" w:line="2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Bobby S. Shackouls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17913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3">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Bobby S. Shackouls</w:t>
      </w:r>
    </w:p>
    <w:p>
      <w:pPr>
        <w:spacing w:after="0" w:line="29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/s/ Lawrence M. Ziemba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24765</wp:posOffset>
            </wp:positionV>
            <wp:extent cx="17913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Lawrence M. Ziemba</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Chairman of the Board of PAA GP Holdings LLC and Chief Executive Officer and</w:t>
      </w:r>
      <w:r>
        <w:rPr>
          <w:sz w:val="20"/>
          <w:szCs w:val="20"/>
          <w:color w:val="auto"/>
        </w:rPr>
        <w:tab/>
      </w:r>
      <w:r>
        <w:rPr>
          <w:rFonts w:ascii="Times New Roman" w:cs="Times New Roman" w:eastAsia="Times New Roman" w:hAnsi="Times New Roman"/>
          <w:sz w:val="17"/>
          <w:szCs w:val="17"/>
          <w:color w:val="auto"/>
        </w:rPr>
        <w:t>February 27, 2026</w:t>
      </w:r>
    </w:p>
    <w:p>
      <w:pPr>
        <w:spacing w:after="0"/>
        <w:rPr>
          <w:sz w:val="20"/>
          <w:szCs w:val="20"/>
          <w:color w:val="auto"/>
        </w:rPr>
      </w:pPr>
      <w:r>
        <w:rPr>
          <w:rFonts w:ascii="Times New Roman" w:cs="Times New Roman" w:eastAsia="Times New Roman" w:hAnsi="Times New Roman"/>
          <w:sz w:val="18"/>
          <w:szCs w:val="18"/>
          <w:color w:val="auto"/>
        </w:rPr>
        <w:t>President of Plains All American GP LLC (Principal Executive Officer)</w:t>
      </w:r>
    </w:p>
    <w:p>
      <w:pPr>
        <w:spacing w:after="0" w:line="200" w:lineRule="exact"/>
        <w:rPr>
          <w:sz w:val="20"/>
          <w:szCs w:val="20"/>
          <w:color w:val="auto"/>
        </w:rPr>
      </w:pPr>
    </w:p>
    <w:p>
      <w:pPr>
        <w:spacing w:after="0" w:line="248"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Executive Vice President and Chief Financial Officer of Plains All American GP LLC February 27, 2026 (Principal Financial Officer)</w:t>
      </w:r>
    </w:p>
    <w:p>
      <w:pPr>
        <w:spacing w:after="0" w:line="336"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Senior Vice President, Finance and Chief Accounting Officer of Plains All</w:t>
      </w:r>
      <w:r>
        <w:rPr>
          <w:sz w:val="20"/>
          <w:szCs w:val="20"/>
          <w:color w:val="auto"/>
        </w:rPr>
        <w:tab/>
      </w:r>
      <w:r>
        <w:rPr>
          <w:rFonts w:ascii="Times New Roman" w:cs="Times New Roman" w:eastAsia="Times New Roman" w:hAnsi="Times New Roman"/>
          <w:sz w:val="17"/>
          <w:szCs w:val="17"/>
          <w:color w:val="auto"/>
        </w:rPr>
        <w:t>February 27, 2026</w:t>
      </w:r>
    </w:p>
    <w:p>
      <w:pPr>
        <w:spacing w:after="0"/>
        <w:rPr>
          <w:sz w:val="20"/>
          <w:szCs w:val="20"/>
          <w:color w:val="auto"/>
        </w:rPr>
      </w:pPr>
      <w:r>
        <w:rPr>
          <w:rFonts w:ascii="Times New Roman" w:cs="Times New Roman" w:eastAsia="Times New Roman" w:hAnsi="Times New Roman"/>
          <w:sz w:val="18"/>
          <w:szCs w:val="18"/>
          <w:color w:val="auto"/>
        </w:rPr>
        <w:t>American GP LLC (Principal Accounting Officer)</w:t>
      </w:r>
    </w:p>
    <w:p>
      <w:pPr>
        <w:spacing w:after="0" w:line="354"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336"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282"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200" w:lineRule="exact"/>
        <w:rPr>
          <w:sz w:val="20"/>
          <w:szCs w:val="20"/>
          <w:color w:val="auto"/>
        </w:rPr>
      </w:pPr>
    </w:p>
    <w:p>
      <w:pPr>
        <w:spacing w:after="0" w:line="336" w:lineRule="exact"/>
        <w:rPr>
          <w:sz w:val="20"/>
          <w:szCs w:val="20"/>
          <w:color w:val="auto"/>
        </w:rPr>
      </w:pPr>
    </w:p>
    <w:p>
      <w:pPr>
        <w:spacing w:after="0"/>
        <w:tabs>
          <w:tab w:leader="none" w:pos="6480" w:val="left"/>
        </w:tabs>
        <w:rPr>
          <w:sz w:val="20"/>
          <w:szCs w:val="20"/>
          <w:color w:val="auto"/>
        </w:rPr>
      </w:pPr>
      <w:r>
        <w:rPr>
          <w:rFonts w:ascii="Times New Roman" w:cs="Times New Roman" w:eastAsia="Times New Roman" w:hAnsi="Times New Roman"/>
          <w:sz w:val="18"/>
          <w:szCs w:val="18"/>
          <w:color w:val="auto"/>
        </w:rPr>
        <w:t>Director of PAA GP Holdings LLC</w:t>
      </w:r>
      <w:r>
        <w:rPr>
          <w:sz w:val="20"/>
          <w:szCs w:val="20"/>
          <w:color w:val="auto"/>
        </w:rPr>
        <w:tab/>
      </w:r>
      <w:r>
        <w:rPr>
          <w:rFonts w:ascii="Times New Roman" w:cs="Times New Roman" w:eastAsia="Times New Roman" w:hAnsi="Times New Roman"/>
          <w:sz w:val="17"/>
          <w:szCs w:val="17"/>
          <w:color w:val="auto"/>
        </w:rPr>
        <w:t>February 27, 2026</w:t>
      </w:r>
    </w:p>
    <w:p>
      <w:pPr>
        <w:spacing w:after="0" w:line="442" w:lineRule="exact"/>
        <w:rPr>
          <w:sz w:val="20"/>
          <w:szCs w:val="20"/>
          <w:color w:val="auto"/>
        </w:rPr>
      </w:pPr>
    </w:p>
    <w:p>
      <w:pPr>
        <w:sectPr>
          <w:pgSz w:w="11900" w:h="16838" w:orient="portrait"/>
          <w:cols w:equalWidth="0" w:num="2">
            <w:col w:w="2320" w:space="660"/>
            <w:col w:w="8120"/>
          </w:cols>
          <w:pgMar w:left="320" w:top="126"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40" w:type="dxa"/>
            <w:vAlign w:val="bottom"/>
            <w:gridSpan w:val="32"/>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240" w:type="dxa"/>
            <w:vAlign w:val="bottom"/>
            <w:gridSpan w:val="32"/>
            <w:vMerge w:val="continue"/>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240" w:type="dxa"/>
            <w:vAlign w:val="bottom"/>
            <w:gridSpan w:val="32"/>
          </w:tcPr>
          <w:p>
            <w:pPr>
              <w:spacing w:after="0" w:line="194"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580" w:type="dxa"/>
            <w:vAlign w:val="bottom"/>
          </w:tcPr>
          <w:p>
            <w:pPr>
              <w:spacing w:after="0"/>
              <w:rPr>
                <w:sz w:val="16"/>
                <w:szCs w:val="16"/>
                <w:color w:val="auto"/>
              </w:rPr>
            </w:pPr>
          </w:p>
        </w:tc>
        <w:tc>
          <w:tcPr>
            <w:tcW w:w="360" w:type="dxa"/>
            <w:vAlign w:val="bottom"/>
            <w:gridSpan w:val="3"/>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238</w:t>
            </w:r>
            <w:r>
              <w:rPr>
                <w:rFonts w:ascii="Times New Roman" w:cs="Times New Roman" w:eastAsia="Times New Roman" w:hAnsi="Times New Roman"/>
                <w:sz w:val="18"/>
                <w:szCs w:val="18"/>
                <w:u w:val="single" w:color="auto"/>
                <w:color w:val="0000FF"/>
              </w:rPr>
              <w:t>)</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6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720" w:type="dxa"/>
            <w:vAlign w:val="bottom"/>
            <w:gridSpan w:val="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33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Consolidated Statements of Changes in Accumulated Other Comprehensive Income/(Loss) for the years ended December 31, 2025, 2024 and</w:t>
            </w:r>
          </w:p>
        </w:tc>
        <w:tc>
          <w:tcPr>
            <w:tcW w:w="580" w:type="dxa"/>
            <w:vAlign w:val="bottom"/>
          </w:tcPr>
          <w:p>
            <w:pPr>
              <w:spacing w:after="0"/>
              <w:rPr>
                <w:sz w:val="18"/>
                <w:szCs w:val="18"/>
                <w:color w:val="auto"/>
              </w:rPr>
            </w:pPr>
          </w:p>
        </w:tc>
        <w:tc>
          <w:tcPr>
            <w:tcW w:w="3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F-7</w:t>
            </w:r>
          </w:p>
        </w:tc>
        <w:tc>
          <w:tcPr>
            <w:tcW w:w="0" w:type="dxa"/>
            <w:vAlign w:val="bottom"/>
          </w:tcPr>
          <w:p>
            <w:pPr>
              <w:spacing w:after="0"/>
              <w:rPr>
                <w:sz w:val="1"/>
                <w:szCs w:val="1"/>
                <w:color w:val="auto"/>
              </w:rPr>
            </w:pPr>
          </w:p>
        </w:tc>
      </w:tr>
      <w:tr>
        <w:trPr>
          <w:trHeight w:val="155"/>
        </w:trPr>
        <w:tc>
          <w:tcPr>
            <w:tcW w:w="520" w:type="dxa"/>
            <w:vAlign w:val="bottom"/>
            <w:tcBorders>
              <w:top w:val="single" w:sz="8" w:color="0000FF"/>
            </w:tcBorders>
            <w:gridSpan w:val="4"/>
          </w:tcPr>
          <w:p>
            <w:pPr>
              <w:ind w:left="160"/>
              <w:spacing w:after="0" w:line="142" w:lineRule="exact"/>
              <w:rPr>
                <w:sz w:val="20"/>
                <w:szCs w:val="20"/>
                <w:color w:val="auto"/>
              </w:rPr>
            </w:pPr>
            <w:r>
              <w:rPr>
                <w:rFonts w:ascii="Times New Roman" w:cs="Times New Roman" w:eastAsia="Times New Roman" w:hAnsi="Times New Roman"/>
                <w:sz w:val="16"/>
                <w:szCs w:val="16"/>
                <w:color w:val="0000FF"/>
              </w:rPr>
              <w:t>2023</w:t>
            </w: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580" w:type="dxa"/>
            <w:vAlign w:val="bottom"/>
            <w:gridSpan w:val="4"/>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gridSpan w:val="5"/>
          </w:tcPr>
          <w:p>
            <w:pPr>
              <w:spacing w:after="0"/>
              <w:rPr>
                <w:sz w:val="2"/>
                <w:szCs w:val="2"/>
                <w:color w:val="auto"/>
              </w:rPr>
            </w:pPr>
          </w:p>
        </w:tc>
        <w:tc>
          <w:tcPr>
            <w:tcW w:w="128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2025, 2024 and 2023</w:t>
            </w:r>
          </w:p>
        </w:tc>
        <w:tc>
          <w:tcPr>
            <w:tcW w:w="3380" w:type="dxa"/>
            <w:vAlign w:val="bottom"/>
            <w:gridSpan w:val="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Partners’ Capital for the years ended December 31, 2025, 2024 and 2023</w:t>
            </w:r>
          </w:p>
        </w:tc>
        <w:tc>
          <w:tcPr>
            <w:tcW w:w="21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F-9</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10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1.</w:t>
            </w:r>
          </w:p>
        </w:tc>
        <w:tc>
          <w:tcPr>
            <w:tcW w:w="420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7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2.</w:t>
            </w:r>
          </w:p>
        </w:tc>
        <w:tc>
          <w:tcPr>
            <w:tcW w:w="32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940" w:type="dxa"/>
            <w:vAlign w:val="bottom"/>
            <w:gridSpan w:val="5"/>
          </w:tcPr>
          <w:p>
            <w:pPr>
              <w:spacing w:after="0"/>
              <w:rPr>
                <w:sz w:val="18"/>
                <w:szCs w:val="18"/>
                <w:color w:val="auto"/>
              </w:rPr>
            </w:pPr>
          </w:p>
        </w:tc>
        <w:tc>
          <w:tcPr>
            <w:tcW w:w="576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3.</w:t>
            </w:r>
          </w:p>
        </w:tc>
        <w:tc>
          <w:tcPr>
            <w:tcW w:w="32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670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F-16</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4.</w:t>
            </w:r>
          </w:p>
        </w:tc>
        <w:tc>
          <w:tcPr>
            <w:tcW w:w="99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F-17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5.</w:t>
            </w:r>
          </w:p>
        </w:tc>
        <w:tc>
          <w:tcPr>
            <w:tcW w:w="224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Net Income Per Common Unit</w:t>
            </w:r>
          </w:p>
        </w:tc>
        <w:tc>
          <w:tcPr>
            <w:tcW w:w="360" w:type="dxa"/>
            <w:vAlign w:val="bottom"/>
            <w:gridSpan w:val="2"/>
          </w:tcPr>
          <w:p>
            <w:pPr>
              <w:spacing w:after="0"/>
              <w:rPr>
                <w:sz w:val="18"/>
                <w:szCs w:val="18"/>
                <w:color w:val="auto"/>
              </w:rPr>
            </w:pPr>
          </w:p>
        </w:tc>
        <w:tc>
          <w:tcPr>
            <w:tcW w:w="7360" w:type="dxa"/>
            <w:vAlign w:val="bottom"/>
            <w:gridSpan w:val="19"/>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6.</w:t>
            </w:r>
          </w:p>
        </w:tc>
        <w:tc>
          <w:tcPr>
            <w:tcW w:w="996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Inventory, Linefill and Long-term Inventory</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7.</w:t>
            </w:r>
          </w:p>
        </w:tc>
        <w:tc>
          <w:tcPr>
            <w:tcW w:w="318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Property and Equipment</w:t>
            </w:r>
          </w:p>
        </w:tc>
        <w:tc>
          <w:tcPr>
            <w:tcW w:w="6780" w:type="dxa"/>
            <w:vAlign w:val="bottom"/>
            <w:gridSpan w:val="1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8.</w:t>
            </w:r>
          </w:p>
        </w:tc>
        <w:tc>
          <w:tcPr>
            <w:tcW w:w="36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Acquisitions, Divestitures and Other Transactions</w:t>
            </w:r>
          </w:p>
        </w:tc>
        <w:tc>
          <w:tcPr>
            <w:tcW w:w="63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F-25</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0000FF"/>
                <w:w w:val="73"/>
              </w:rPr>
              <w:t>9.</w:t>
            </w:r>
          </w:p>
        </w:tc>
        <w:tc>
          <w:tcPr>
            <w:tcW w:w="286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Investments in Unconsolidated Entities</w:t>
            </w:r>
          </w:p>
        </w:tc>
        <w:tc>
          <w:tcPr>
            <w:tcW w:w="760" w:type="dxa"/>
            <w:vAlign w:val="bottom"/>
            <w:gridSpan w:val="5"/>
          </w:tcPr>
          <w:p>
            <w:pPr>
              <w:spacing w:after="0"/>
              <w:rPr>
                <w:sz w:val="18"/>
                <w:szCs w:val="18"/>
                <w:color w:val="auto"/>
              </w:rPr>
            </w:pPr>
          </w:p>
        </w:tc>
        <w:tc>
          <w:tcPr>
            <w:tcW w:w="6340" w:type="dxa"/>
            <w:vAlign w:val="bottom"/>
            <w:gridSpan w:val="11"/>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4"/>
              </w:rPr>
              <w:t>Intangible Assets, Net</w:t>
            </w:r>
          </w:p>
        </w:tc>
        <w:tc>
          <w:tcPr>
            <w:tcW w:w="1200" w:type="dxa"/>
            <w:vAlign w:val="bottom"/>
            <w:gridSpan w:val="8"/>
          </w:tcPr>
          <w:p>
            <w:pPr>
              <w:spacing w:after="0"/>
              <w:rPr>
                <w:sz w:val="18"/>
                <w:szCs w:val="18"/>
                <w:color w:val="auto"/>
              </w:rPr>
            </w:pPr>
          </w:p>
        </w:tc>
        <w:tc>
          <w:tcPr>
            <w:tcW w:w="71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F-32</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11.</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Debt</w:t>
            </w:r>
          </w:p>
        </w:tc>
        <w:tc>
          <w:tcPr>
            <w:tcW w:w="8300" w:type="dxa"/>
            <w:vAlign w:val="bottom"/>
            <w:gridSpan w:val="24"/>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12.</w:t>
            </w:r>
          </w:p>
        </w:tc>
        <w:tc>
          <w:tcPr>
            <w:tcW w:w="986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F-37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13.</w:t>
            </w:r>
          </w:p>
        </w:tc>
        <w:tc>
          <w:tcPr>
            <w:tcW w:w="32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6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14.</w:t>
            </w:r>
          </w:p>
        </w:tc>
        <w:tc>
          <w:tcPr>
            <w:tcW w:w="326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Leases</w:t>
            </w:r>
          </w:p>
        </w:tc>
        <w:tc>
          <w:tcPr>
            <w:tcW w:w="66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15.</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Income Taxes</w:t>
            </w:r>
          </w:p>
        </w:tc>
        <w:tc>
          <w:tcPr>
            <w:tcW w:w="8840" w:type="dxa"/>
            <w:vAlign w:val="bottom"/>
            <w:gridSpan w:val="25"/>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F-47</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16.</w:t>
            </w:r>
          </w:p>
        </w:tc>
        <w:tc>
          <w:tcPr>
            <w:tcW w:w="9860" w:type="dxa"/>
            <w:vAlign w:val="bottom"/>
            <w:gridSpan w:val="29"/>
          </w:tcPr>
          <w:p>
            <w:pPr>
              <w:ind w:left="20"/>
              <w:spacing w:after="0"/>
              <w:rPr>
                <w:sz w:val="20"/>
                <w:szCs w:val="20"/>
                <w:color w:val="auto"/>
              </w:rPr>
            </w:pPr>
            <w:r>
              <w:rPr>
                <w:rFonts w:ascii="Times New Roman" w:cs="Times New Roman" w:eastAsia="Times New Roman" w:hAnsi="Times New Roman"/>
                <w:sz w:val="18"/>
                <w:szCs w:val="18"/>
                <w:color w:val="0000FF"/>
              </w:rPr>
              <w:t>Major Customers and Concentration of Credit Risk</w:t>
            </w: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F-50</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17.</w:t>
            </w:r>
          </w:p>
        </w:tc>
        <w:tc>
          <w:tcPr>
            <w:tcW w:w="37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61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F-51</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8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18.</w:t>
            </w:r>
          </w:p>
        </w:tc>
        <w:tc>
          <w:tcPr>
            <w:tcW w:w="26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Equity-Indexed Compensation Plans</w:t>
            </w:r>
          </w:p>
        </w:tc>
        <w:tc>
          <w:tcPr>
            <w:tcW w:w="720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860" w:type="dxa"/>
            <w:vAlign w:val="bottom"/>
            <w:tcBorders>
              <w:left w:val="single" w:sz="8" w:color="0000FF"/>
            </w:tcBorders>
            <w:gridSpan w:val="4"/>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8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19.</w:t>
            </w:r>
          </w:p>
        </w:tc>
        <w:tc>
          <w:tcPr>
            <w:tcW w:w="24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40" w:type="dxa"/>
            <w:vAlign w:val="bottom"/>
            <w:gridSpan w:val="3"/>
          </w:tcPr>
          <w:p>
            <w:pPr>
              <w:spacing w:after="0"/>
              <w:rPr>
                <w:sz w:val="18"/>
                <w:szCs w:val="18"/>
                <w:color w:val="auto"/>
              </w:rPr>
            </w:pPr>
          </w:p>
        </w:tc>
        <w:tc>
          <w:tcPr>
            <w:tcW w:w="720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20.</w:t>
            </w: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7"/>
              </w:rPr>
              <w:t>Segment Information</w:t>
            </w:r>
          </w:p>
        </w:tc>
        <w:tc>
          <w:tcPr>
            <w:tcW w:w="860" w:type="dxa"/>
            <w:vAlign w:val="bottom"/>
            <w:gridSpan w:val="4"/>
          </w:tcPr>
          <w:p>
            <w:pPr>
              <w:spacing w:after="0"/>
              <w:rPr>
                <w:sz w:val="18"/>
                <w:szCs w:val="18"/>
                <w:color w:val="auto"/>
              </w:rPr>
            </w:pPr>
          </w:p>
        </w:tc>
        <w:tc>
          <w:tcPr>
            <w:tcW w:w="7440" w:type="dxa"/>
            <w:vAlign w:val="bottom"/>
            <w:gridSpan w:val="20"/>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F-58</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8"/>
              </w:rPr>
              <w:t>21.</w:t>
            </w:r>
          </w:p>
        </w:tc>
        <w:tc>
          <w:tcPr>
            <w:tcW w:w="338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Selected Quarterly Financial Data (Unaudited)</w:t>
            </w:r>
          </w:p>
        </w:tc>
        <w:tc>
          <w:tcPr>
            <w:tcW w:w="6480" w:type="dxa"/>
            <w:vAlign w:val="bottom"/>
            <w:gridSpan w:val="12"/>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F-63</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0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1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2025.</w:t>
      </w:r>
    </w:p>
    <w:p>
      <w:pPr>
        <w:spacing w:after="0" w:line="207" w:lineRule="exact"/>
        <w:rPr>
          <w:sz w:val="20"/>
          <w:szCs w:val="20"/>
          <w:color w:val="auto"/>
        </w:rPr>
      </w:pPr>
    </w:p>
    <w:p>
      <w:pPr>
        <w:jc w:val="both"/>
        <w:ind w:right="1660"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the Partnership’s internal control over financial reporting as of December 31, 2025 has been audited by PricewaterhouseCoopers LLP, an independent registered public accounting firm, as stated in their report which appears on Page F-3.</w:t>
      </w:r>
    </w:p>
    <w:p>
      <w:pPr>
        <w:spacing w:after="0" w:line="18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63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of Plains All American GP LLC</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7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63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Al Swanson</w:t>
      </w:r>
    </w:p>
    <w:p>
      <w:pPr>
        <w:spacing w:after="0" w:line="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Plains All</w:t>
      </w:r>
    </w:p>
    <w:p>
      <w:pPr>
        <w:ind w:left="5800"/>
        <w:spacing w:after="0"/>
        <w:rPr>
          <w:sz w:val="20"/>
          <w:szCs w:val="20"/>
          <w:color w:val="auto"/>
        </w:rPr>
      </w:pPr>
      <w:r>
        <w:rPr>
          <w:rFonts w:ascii="Times New Roman" w:cs="Times New Roman" w:eastAsia="Times New Roman" w:hAnsi="Times New Roman"/>
          <w:sz w:val="18"/>
          <w:szCs w:val="18"/>
          <w:i w:val="1"/>
          <w:iCs w:val="1"/>
          <w:color w:val="auto"/>
        </w:rPr>
        <w:t>American GP LLC</w:t>
      </w:r>
    </w:p>
    <w:p>
      <w:pPr>
        <w:spacing w:after="0" w:line="1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of PAA GP Holdings LLC and Unitholders of Plains All American Pipeline, 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Plains All American Pipeline, L.P. and its subsidiaries (the “Partnership”) as of December 31, 2025 and 2024, and the related consolidated statements of operations, of comprehensive income, of changes in accumulated other comprehensive income (loss), of changes in partners’ capital and of cash flows for each of the three years in the period ended December 31, 2025, including the related notes (collectively referred to as the “consolidated financial statements”). We also have audited the Partnership’s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 Also in our opinion, the Partnership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EPIC Crude Holdings, LP – Valuation of Pipelines and Equipment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in Note 8 to the consolidated financial statements, on October 31, 2025, the Partnership purchased an aggregate 55% equity interest in EPIC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Crude Holdings, LP, and in a separate transaction, effective November 1, 2025, acquired the remaining 45% equity interest, for total consideration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$2,016 million. Of the identifiable assets acquired, $2,737 million of property and equipment, net, was recorded, a significant portion of which relates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pipelines and equipment. The acquisition was accounted for as a business combination using the acquisition method of accounting.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pipelines and equipment was determined by management using a cost approach and included an assumption for replacement cost.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pipelines and equipment acquired in the acquisition of EPIC Crude Holdings, LP is a critical audit matter are (i) the significant judgment by management when developing the fair value estimate of the pipelines and equipment acquired; (ii) a high degree of auditor judgment, subjectivity, and effort in performing procedures and evaluating management’s significant assumption related to replacement cost; and (iii) the audit effort involved the use of professionals with specialized skill and knowledge.</w:t>
      </w:r>
    </w:p>
    <w:p>
      <w:pPr>
        <w:spacing w:after="0" w:line="21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pipelines and equipment acquired. These procedures also included, among others (i) reading the purchase agreements; (ii) testing management’s process for developing the fair value estimate of the pipelines and equipment acquired; (iii) evaluating the appropriateness of the cost approach used by management; (iv) testing the completeness and accuracy of the underlying data used in the cost approach; and (v) evaluating the reasonableness of the significant assumption used by management related to replacement cost. Professionals with specialized skill and knowledge were used to assist in evaluating (i) the appropriateness of the cost approach and (ii) the reasonableness of the replacement cost assumption.</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Partnership’s auditor since 1998.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8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48"/>
        </w:trPr>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 (Note 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r>
      <w:tr>
        <w:trPr>
          <w:trHeight w:val="128"/>
        </w:trPr>
        <w:tc>
          <w:tcPr>
            <w:tcW w:w="8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23"/>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r>
      <w:tr>
        <w:trPr>
          <w:trHeight w:val="129"/>
        </w:trPr>
        <w:tc>
          <w:tcPr>
            <w:tcW w:w="8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 (Note 3)</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49"/>
        </w:trPr>
        <w:tc>
          <w:tcPr>
            <w:tcW w:w="8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 (Note 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w:t>
            </w:r>
          </w:p>
        </w:tc>
      </w:tr>
      <w:tr>
        <w:trPr>
          <w:trHeight w:val="128"/>
        </w:trPr>
        <w:tc>
          <w:tcPr>
            <w:tcW w:w="8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 of discontinued operations (Note 3)</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w:t>
            </w:r>
          </w:p>
        </w:tc>
      </w:tr>
      <w:tr>
        <w:trPr>
          <w:trHeight w:val="128"/>
        </w:trPr>
        <w:tc>
          <w:tcPr>
            <w:tcW w:w="87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48"/>
        </w:trPr>
        <w:tc>
          <w:tcPr>
            <w:tcW w:w="8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PARTNERS’ CAPITAL</w:t>
            </w: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unitholders (58,411,908 and 71,090,468 units outstanding, respectively)</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preferred unitholders (800,000 and 800,000 units outstanding, respectively)</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unitholders (705,520,697 and 703,770,300 units outstanding, respectively)</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23"/>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partners’ capital excluding noncontrolling interests</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w:t>
            </w:r>
          </w:p>
        </w:tc>
      </w:tr>
      <w:tr>
        <w:trPr>
          <w:trHeight w:val="229"/>
        </w:trPr>
        <w:tc>
          <w:tcPr>
            <w:tcW w:w="8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r>
      <w:tr>
        <w:trPr>
          <w:trHeight w:val="223"/>
        </w:trPr>
        <w:tc>
          <w:tcPr>
            <w:tcW w:w="8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partners’ capital</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w:t>
            </w:r>
          </w:p>
        </w:tc>
      </w:tr>
      <w:tr>
        <w:trPr>
          <w:trHeight w:val="248"/>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r>
      <w:tr>
        <w:trPr>
          <w:trHeight w:val="23"/>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45,745</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47,336</w:t>
            </w:r>
          </w:p>
        </w:tc>
      </w:tr>
      <w:tr>
        <w:trPr>
          <w:trHeight w:val="162"/>
        </w:trPr>
        <w:tc>
          <w:tcPr>
            <w:tcW w:w="7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43,937</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 (Note 7, Note 8)</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46,078</w:t>
            </w:r>
          </w:p>
        </w:tc>
      </w:tr>
      <w:tr>
        <w:trPr>
          <w:trHeight w:val="162"/>
        </w:trPr>
        <w:tc>
          <w:tcPr>
            <w:tcW w:w="7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162"/>
        </w:trPr>
        <w:tc>
          <w:tcPr>
            <w:tcW w:w="7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 (Note 8, Note 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capitalized interest of $11, $9 and $10, respectively)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42"/>
        </w:trPr>
        <w:tc>
          <w:tcPr>
            <w:tcW w:w="7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TAX</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from continuing operations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 from continuing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 NET OF TAX</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 (NOTE 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UNIT (NOTE 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9"/>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8"/>
        </w:trPr>
        <w:tc>
          <w:tcPr>
            <w:tcW w:w="7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30"/>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162"/>
        </w:trPr>
        <w:tc>
          <w:tcPr>
            <w:tcW w:w="7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30"/>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CONSOLIDATED STATEMENTS OF CHANGES IN ACCUMULATED OTHER COMPREHENSIVE INCOME/(LOSS)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 Activity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Activity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hedges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2025 Activity</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 (Note 7, Note 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 (Note 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Preferred Distribution Rate Reset Option (Note 13)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 (Note 8, Note 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7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accounts payable and other</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70"/>
        </w:trPr>
        <w:tc>
          <w:tcPr>
            <w:tcW w:w="7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in connection with acquisitions, net of cash acquired (Note 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 (Note 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equipment and other</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purchases of linefill</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 (Note 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related party notes (Note 17)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0"/>
        </w:trPr>
        <w:tc>
          <w:tcPr>
            <w:tcW w:w="7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borrowings/(repayments) under commercial paper program (Note 11)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under EPIC credit agreement (Note 11)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under term loan (Note 11)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senior notes (Note 11)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senior notes (Note 11)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issuance of related party notes (Note 17)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units (Note 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Series A preferred units (Note 12)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to Series A preferred unitholders (Note 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paid to Series B preferred unitholders (Note 12)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paid to common unitholders (Note 12)</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paid to noncontrolling interests (Note 12)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3"/>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70"/>
        </w:trPr>
        <w:tc>
          <w:tcPr>
            <w:tcW w:w="7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continuing operations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translation adjustment - discontinued operations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76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7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net of amounts refunded (Note 15)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220"/>
          </w:cols>
          <w:pgMar w:left="320" w:top="126" w:right="359" w:bottom="0" w:gutter="0" w:footer="0" w:header="0"/>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364"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370" w:lineRule="exact"/>
        <w:rPr>
          <w:sz w:val="20"/>
          <w:szCs w:val="20"/>
          <w:color w:val="auto"/>
        </w:rPr>
      </w:pPr>
    </w:p>
    <w:p>
      <w:pPr>
        <w:jc w:val="center"/>
        <w:ind w:left="340" w:right="2580"/>
        <w:spacing w:after="0" w:line="26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CONSOLIDATED STATEMENTS OF CHANGES IN PARTNERS’ CAPITAL (in millions)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5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restart"/>
          </w:tcPr>
          <w:p>
            <w:pPr>
              <w:jc w:val="center"/>
              <w:ind w:right="92"/>
              <w:spacing w:after="0" w:line="14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1"/>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1"/>
                <w:szCs w:val="11"/>
                <w:color w:val="auto"/>
              </w:rPr>
            </w:pPr>
          </w:p>
        </w:tc>
        <w:tc>
          <w:tcPr>
            <w:tcW w:w="134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1"/>
                <w:szCs w:val="11"/>
                <w:color w:val="auto"/>
              </w:rPr>
            </w:pPr>
          </w:p>
        </w:tc>
        <w:tc>
          <w:tcPr>
            <w:tcW w:w="940" w:type="dxa"/>
            <w:vAlign w:val="bottom"/>
          </w:tcPr>
          <w:p>
            <w:pPr>
              <w:jc w:val="center"/>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197"/>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0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0" w:type="dxa"/>
            <w:vAlign w:val="bottom"/>
          </w:tcPr>
          <w:p>
            <w:pPr>
              <w:spacing w:after="0"/>
              <w:rPr>
                <w:sz w:val="17"/>
                <w:szCs w:val="17"/>
                <w:color w:val="auto"/>
              </w:rPr>
            </w:pPr>
          </w:p>
        </w:tc>
        <w:tc>
          <w:tcPr>
            <w:tcW w:w="9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253"/>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(Note 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(Note 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Distributions (Note 12)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Series A preferred units (Note</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Repurchase of common units (Note 12)</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noncontrolling interests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Delaware limited partnership formed in 1998. Our operations are conducted directly and indirectly through our primary operating subsidiaries. As used in this Form 10-K and unless the context indicates otherwise, the terms “Partnership,” “we,” “us,” “our,” “ours” and similar terms refer to PAA and its subsidiaries.</w:t>
      </w:r>
    </w:p>
    <w:p>
      <w:pPr>
        <w:spacing w:after="0" w:line="20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NGL. See Note 20 for further discussion of our operating segments.</w:t>
      </w:r>
    </w:p>
    <w:p>
      <w:pPr>
        <w:spacing w:after="0" w:line="214"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December 31, 2025, AAP also owned a limited partner interest in us through its ownership of approximately 233.0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December 31, 2025, owned an approximate 85% limited partner interest in AAP. PAA GP Holdings LLC (“PAGP GP”) is the general partner of PAGP.</w:t>
      </w:r>
    </w:p>
    <w:p>
      <w:pPr>
        <w:spacing w:after="0" w:line="21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w:t>
      </w:r>
    </w:p>
    <w:p>
      <w:pPr>
        <w:spacing w:after="0" w:line="203"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References to the “PAGP Entities” include PAGP GP, PAGP, GP LLC, AAP and PAA GP. References to our “general partner,” as the context requires, include any or all of the PAGP Entities. References to the “Plains Entities” include us, our subsidiaries and the PAGP Entities.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the following notes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Accumulated other comprehensive income/(loss)</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Chief Operating Decision Maker</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DERs</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 equivalent rights</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Earnings before interest, taxes, depreciation and amortization</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Financial Accounting Standards Board</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Generally accepted accounting principles in the United States</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International Swaps and Derivatives Association</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LIBOR</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London Interbank Offered Rate</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LTIP</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MLP</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Master limited partnership</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Natural gas liquids, including ethane, propane and butane</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New York Mercantile Exchange</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OECD</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Organisation for Economic Co-operation and Development</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United States Securities and Exchange Commission</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5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Secured Overnight Financing Rate</w:t>
            </w:r>
          </w:p>
        </w:tc>
      </w:tr>
      <w:tr>
        <w:trPr>
          <w:trHeight w:val="23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2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dollar</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and related notes present and discuss our consolidated financial position as of December 31, 2025 and 2024, and the consolidated results of our operations, cash flows, changes in partners’ capital, comprehensive income and changes in accumulated other comprehensive income/(loss) for the years ended December 31, 2025, 2024 and 2023.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definitive Share Purchase Agreement (“SPA”) with Keyera Corp. (“Keyera”), an Alberta corporation, pursuant to which Keyera agreed to acquire all of the issued and outstanding shares of Plains Midstream Canada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around the end of the first quarter of 2026, subject to the satisfaction or waiver of customary closing conditions, including receipt of regulatory approvals.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consolidated financial statements. Unless otherwise indicated, the disclosures included within the accompanying notes to the consolidated financial statements relate to our continuing operations and exclude amounts related to discontinued operations. These changes have been applied retrospectively to all periods presented. Discontinued operations are not presented separately within our Consolidated Statements of Comprehensive Income, Consolidated Statements of Changes in Accumulated Other Comprehensive Income/(Loss) or the Consolidated Statements of Changes in Partners’ Capital. See Note 3 for additional information regarding discontinued operations. All significant intercompany balances and transactions between the Canadian NGL Business and our continuing operations have been eliminated.</w:t>
      </w:r>
    </w:p>
    <w:p>
      <w:pPr>
        <w:spacing w:after="0" w:line="2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will divest the Canadian NGL Business as part of the sale, which includes substantially all of our NGL assets; the assets that we will retain are located in the United States. Prior to its classification as held for sale and presentation as discontinued operations, the Canadian NGL Business was part of our NGL reportable segment.</w:t>
      </w:r>
    </w:p>
    <w:p>
      <w:pPr>
        <w:spacing w:after="0" w:line="20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In June 2025, we entered into a forward currency instrument to hedge currency exchange risk associated with anticipated proceeds from the pending sale of our Canadian NGL Business. See Note 13 for additional information.</w:t>
      </w:r>
    </w:p>
    <w:p>
      <w:pPr>
        <w:spacing w:after="0" w:line="18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at the end of the first quarter of 2026, based on existing contracts to be transferred and current market conditions as of December 31, 2025, we would recognize a liability of approximately $65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fair value of derivatives, (iii) accruals and contingent liabilities, (iv) property and equipment, depreciation and amortization expense and asset retirement obligations, (v) impairment assessments of property and equipment, investments in unconsolidated entities and intangible assets and (vi) inventory valuations. Although we believe these estimates are reasonable, actual results could differ from these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and Related Costs</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Purchases and related costs include (i) the weighted average cost of crude oil and NGL sold to customers, (ii) fees incurred for storage and transportation, whether by pipeline, truck or rail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Field Operating Costs and General and Administrative Expenses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Transactions/Translation</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0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For the years ended December 31, 2025, 2024 and 2023, the revaluation of foreign currency transactions and monetary assets and liabilities resulted in the recognition of a net loss of $13 million, a net gain of $12 million and a net loss of $3 million, respectively, in our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56"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0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policy, unless they may be covered by funds on deposit, outstanding checks are classified as trade accounts payable rather than negative cash. As of December 31, 2025 and 2024, trade accounts payable included $31 million and $27 million, respectively, of outstanding checks that were reclassified from cash and cash equivalents.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0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Some of our assets, primarily our pipelines, and terminals assets,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storage or other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w:t>
      </w:r>
    </w:p>
    <w:p>
      <w:pPr>
        <w:sectPr>
          <w:pgSz w:w="11900" w:h="16838" w:orient="portrait"/>
          <w:cols w:equalWidth="0" w:num="1">
            <w:col w:w="11180"/>
          </w:cols>
          <w:pgMar w:left="320" w:top="126" w:right="3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obligations. We will record asset retirement obligations for these assets in the period in which sufficient information becomes available for us to reasonably estimate the settlement dates.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substantially all of which is reflected in “Other long-term liabilities and deferred credits” on our Consolidated Balance Sheets as of December 31, 2025, 2024 and 2023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7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4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incurred</w:t>
            </w: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settled</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Revisions in estimated cash flows</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interest rate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respective footnotes for our accounting policies regarding (i) revenues and accounts receivable, (ii) net income per common unit,</w:t>
      </w:r>
    </w:p>
    <w:p>
      <w:pPr>
        <w:spacing w:after="0" w:line="27" w:lineRule="exact"/>
        <w:rPr>
          <w:sz w:val="20"/>
          <w:szCs w:val="20"/>
          <w:color w:val="auto"/>
        </w:rPr>
      </w:pPr>
    </w:p>
    <w:p>
      <w:pPr>
        <w:ind w:right="260" w:firstLine="8"/>
        <w:spacing w:after="0" w:line="265" w:lineRule="auto"/>
        <w:tabs>
          <w:tab w:leader="none" w:pos="3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inventory, linefill and long-term inventory, (iv) property and equipment, (v) acquisitions, (vi) investments in unconsolidated entities, (vii) intangible assets, (viii) income allocation for partners’ capital presentation purposes, (ix) derivatives and risk management activities, (x) leases, (xi) income taxes,</w:t>
      </w:r>
    </w:p>
    <w:p>
      <w:pPr>
        <w:ind w:left="360" w:hanging="352"/>
        <w:spacing w:after="0"/>
        <w:tabs>
          <w:tab w:leader="none" w:pos="3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equity-indexed compensation and (xiii) legal and environmental matters.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5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among other things, disclosure of specified information about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expenses in the notes to the financial statements. The guidance is effective prospectively for annual periods beginning after December 15, 2026 and interim periods beginning after December 15, 2027 with retrospective application and early adoption permitted. We intend to provide the required disclosures beginning with our annual report for the year ended December 31, 2027.</w:t>
      </w:r>
    </w:p>
    <w:p>
      <w:pPr>
        <w:spacing w:after="0" w:line="21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among other things, disaggregated information about effective tax rate reconciliation and income taxes paid (net of refunds received) on an annual basis. The guidance is effective prospectively for annual periods beginning after December 15, 2024 with retrospective or early adoption permitted. We adopted this guidance beginning with our annual report for the year ended December 31, 2025. See Note 15 for updated income tax disclosures. Other than such disclosure updates, our adoption did not have a material impact on our financial position, results of operations or cash flows.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requires disaggregated disclosure of significant segment expenses and other amounts included within the reported measure of segment profit or loss for each reportable segment on an annual and interim basis. The guidance is effective retrospectively for annual periods beginning after December 15, 2023, and interim periods in fiscal years beginning after December 15, 2024 with early adoption permitted. We adopted this guidance beginning with our annual report for the year ended December 31, 2024. See Note 20 for our segment disclosures. Other than disclosures, our adoption did not have a material impact on our financial position, results of operations or cash flows.</w:t>
      </w:r>
    </w:p>
    <w:p>
      <w:pPr>
        <w:spacing w:after="0" w:line="20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Combinations—Joint Venture Formations (Subtopic 805-60): Recognition and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which requires a newly-formed joint venture to apply a new basis of accounting to its contributed net assets, resulting in the joint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initially measuring its contributed net assets at fair value on the formation date. This guidance is effective prospectively for all joint ventures with a formation date on or after January 1, 2025, with early adoption permitted. We adopted this guidance for joint venture formations on or after January 1, 2025.</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 Climate Disclosure Rules</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In April 2024, the SEC stayed the climate disclosure rules pending resolution of legal challenges. In March 2025, the SEC voted to withdraw its defense of the climate disclosure rules.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International Tax Reform</w:t>
      </w:r>
    </w:p>
    <w:p>
      <w:pPr>
        <w:spacing w:after="0" w:line="25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3—Discontinued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Linefill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inventory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assets of discontinued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8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 of discontinued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176"/>
        </w:trPr>
        <w:tc>
          <w:tcPr>
            <w:tcW w:w="388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17" w:lineRule="exact"/>
        <w:rPr>
          <w:sz w:val="20"/>
          <w:szCs w:val="20"/>
          <w:color w:val="auto"/>
        </w:rPr>
      </w:pPr>
    </w:p>
    <w:p>
      <w:pPr>
        <w:ind w:left="5460" w:right="1340" w:hanging="5452"/>
        <w:spacing w:after="0" w:line="857" w:lineRule="auto"/>
        <w:tabs>
          <w:tab w:leader="none" w:pos="65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accumulated depreciation of $876 million and $794 million as of December 31, 2025 and 2024, respectively.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line items comprising income from discontinued operations before tax to income from discontinued operations, net of tax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3"/>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42,408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45,621</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47,146</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6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67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
        </w:trPr>
        <w:tc>
          <w:tcPr>
            <w:tcW w:w="6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Consolidated Statements of Operations.</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on pipelines and trucks. Revenues from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Consolidated Statements of Operations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44,237</w:t>
            </w:r>
          </w:p>
        </w:tc>
      </w:tr>
      <w:tr>
        <w:trPr>
          <w:trHeight w:val="230"/>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44,282</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1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48,838</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7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48,907</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r>
      <w:tr>
        <w:trPr>
          <w:trHeight w:val="20"/>
        </w:trPr>
        <w:tc>
          <w:tcPr>
            <w:tcW w:w="67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6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47,332</w:t>
            </w: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7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47,360</w:t>
            </w:r>
          </w:p>
        </w:tc>
      </w:tr>
      <w:tr>
        <w:trPr>
          <w:trHeight w:val="223"/>
        </w:trPr>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67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11"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gridSpan w:val="2"/>
            <w:vMerge w:val="continue"/>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0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9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9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
        </w:trPr>
        <w:tc>
          <w:tcPr>
            <w:tcW w:w="9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December 31, 2025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2031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6"/>
        </w:trPr>
        <w:tc>
          <w:tcPr>
            <w:tcW w:w="4360" w:type="dxa"/>
            <w:vAlign w:val="bottom"/>
            <w:gridSpan w:val="2"/>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360" w:type="dxa"/>
            <w:vAlign w:val="bottom"/>
            <w:gridSpan w:val="2"/>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60" w:right="3640" w:hanging="5452"/>
        <w:spacing w:after="0" w:line="857" w:lineRule="auto"/>
        <w:tabs>
          <w:tab w:leader="none" w:pos="65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 as discussed below;</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due to variability in amount of performance obligation remaining, variability in the timing of recognition or variability in consideration. Acreage dedications require us to perform future services but do not contain a minimum level of services and are therefore excluded from this presentation. Long-term merchant arrangements contain variable timing, volumes and/or consideration and are excluded from this presentation. The duration of these contracts varies across the periods presented above.</w:t>
      </w:r>
    </w:p>
    <w:p>
      <w:pPr>
        <w:spacing w:after="0" w:line="214"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elected practical expedients to exclude contracts with terms of one year or less, and therefore exclude the presentation of remaining performance obligations for short-term transportation, storage and processing services, merchant arrangements, including the non-cancelable period of evergreen arrangements, and any other types of arrangements with terms of one year or less.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merchant activities that can generally be described as high volume and low margin activities, in many cases involving exchanges of crude oil volumes.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8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our receivables net of expected credit losses. We do not write-off accounts receivable balances until we have exhausted substantially all collection efforts. At December 31, 2025 and 2024,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3,922</w:t>
            </w:r>
          </w:p>
        </w:tc>
      </w:tr>
      <w:tr>
        <w:trPr>
          <w:trHeight w:val="229"/>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receivables and other receivables </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314"/>
              <w:spacing w:after="0"/>
              <w:rPr>
                <w:sz w:val="20"/>
                <w:szCs w:val="20"/>
                <w:color w:val="auto"/>
              </w:rPr>
            </w:pPr>
            <w:r>
              <w:rPr>
                <w:rFonts w:ascii="Times New Roman" w:cs="Times New Roman" w:eastAsia="Times New Roman" w:hAnsi="Times New Roman"/>
                <w:sz w:val="18"/>
                <w:szCs w:val="18"/>
                <w:color w:val="auto"/>
                <w:w w:val="98"/>
              </w:rPr>
              <w:t>7,339</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(7,582)</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3,598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color w:val="auto"/>
                <w:w w:val="98"/>
              </w:rPr>
              <w:t>3,679</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5—Net Income Per Common Unit</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After consideration of distributions to preferred unitholders, basic and diluted net income per common unit is determined pursuant to the two-class method as prescribed in FASB guidance. This method is an earnings allocation formula that is used to determine allocations to our limited partners and participating securities according to distributions pertaining to the current period’s net income and participation rights in undistributed earnings or distributions in excess of earnings. Under the two-class method, income from continuing operations is reduced by distributions pertaining to the period, and all remaining earnings or distributions in excess of earnings are then allocated to our common unitholders and participating securities based on their respective rights to share in distributions, regardless of whether those earnings would actually be distributed during a particular period from an economic or practical perspective. Participating securities include equity-indexed compensation plan awards that have vested DERs, which entitle the grantee to a cash payment equal to the cash distribution paid on our outstanding common units.</w:t>
      </w:r>
    </w:p>
    <w:p>
      <w:pPr>
        <w:spacing w:after="0" w:line="21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income from continuing operations attributable to PAA (after deducting amounts allocated to the preferred unitholders and participating securities) and income from discontinued operations by the basic and diluted weighted average number of common units outstanding during the period.</w:t>
      </w:r>
    </w:p>
    <w:p>
      <w:pPr>
        <w:spacing w:after="0" w:line="203"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for additional information regarding our Series A preferred units. See Note 18 for a complete discussion of our equity-indexed compensation plan awards. When applying the if-converted method prescribed by FASB guidance, the possible conversion of approximately 59 million,</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71 million and 71 million Series A preferred units, on a weighted-average basis, were excluded from the calculation of diluted net income per common unit for the years ended December 31, 2025, 2024 and 2023, respectively, as the effect was antidilutive for all periods.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year are reduced by a hypothetical common unit repurchase based on the remaining unamortized fair value, as prescribed by the treasury stock method in guidance issued by the FASB.</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 per Common Unit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20" w:type="dxa"/>
            <w:vAlign w:val="bottom"/>
          </w:tcPr>
          <w:p>
            <w:pPr>
              <w:spacing w:after="0"/>
              <w:rPr>
                <w:sz w:val="19"/>
                <w:szCs w:val="19"/>
                <w:color w:val="auto"/>
              </w:rPr>
            </w:pPr>
          </w:p>
        </w:tc>
        <w:tc>
          <w:tcPr>
            <w:tcW w:w="6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9"/>
        </w:trPr>
        <w:tc>
          <w:tcPr>
            <w:tcW w:w="20" w:type="dxa"/>
            <w:vAlign w:val="bottom"/>
          </w:tcPr>
          <w:p>
            <w:pPr>
              <w:spacing w:after="0"/>
              <w:rPr>
                <w:sz w:val="19"/>
                <w:szCs w:val="19"/>
                <w:color w:val="auto"/>
              </w:rPr>
            </w:pPr>
          </w:p>
        </w:tc>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20" w:type="dxa"/>
            <w:vAlign w:val="bottom"/>
          </w:tcPr>
          <w:p>
            <w:pPr>
              <w:spacing w:after="0"/>
              <w:rPr>
                <w:sz w:val="19"/>
                <w:szCs w:val="19"/>
                <w:color w:val="auto"/>
              </w:rPr>
            </w:pPr>
          </w:p>
        </w:tc>
        <w:tc>
          <w:tcPr>
            <w:tcW w:w="6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tcPr>
          <w:p>
            <w:pPr>
              <w:spacing w:after="0"/>
              <w:rPr>
                <w:sz w:val="19"/>
                <w:szCs w:val="19"/>
                <w:color w:val="auto"/>
              </w:rPr>
            </w:pPr>
          </w:p>
        </w:tc>
        <w:tc>
          <w:tcPr>
            <w:tcW w:w="670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67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55"/>
        </w:trPr>
        <w:tc>
          <w:tcPr>
            <w:tcW w:w="20" w:type="dxa"/>
            <w:vAlign w:val="bottom"/>
          </w:tcPr>
          <w:p>
            <w:pPr>
              <w:spacing w:after="0"/>
              <w:rPr>
                <w:sz w:val="13"/>
                <w:szCs w:val="13"/>
                <w:color w:val="auto"/>
              </w:rPr>
            </w:pPr>
          </w:p>
        </w:tc>
        <w:tc>
          <w:tcPr>
            <w:tcW w:w="6700" w:type="dxa"/>
            <w:vAlign w:val="bottom"/>
            <w:gridSpan w:val="2"/>
            <w:shd w:val="clear" w:color="auto" w:fill="CCEEFF"/>
          </w:tcPr>
          <w:p>
            <w:pPr>
              <w:ind w:left="280"/>
              <w:spacing w:after="0" w:line="156" w:lineRule="exact"/>
              <w:rPr>
                <w:sz w:val="20"/>
                <w:szCs w:val="20"/>
                <w:color w:val="auto"/>
              </w:rPr>
            </w:pPr>
            <w:r>
              <w:rPr>
                <w:rFonts w:ascii="Times New Roman" w:cs="Times New Roman" w:eastAsia="Times New Roman" w:hAnsi="Times New Roman"/>
                <w:sz w:val="18"/>
                <w:szCs w:val="18"/>
                <w:color w:val="auto"/>
              </w:rPr>
              <w:t>Net income from continuing operations allocated to common unitholders - Basic and</w:t>
            </w: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6700" w:type="dxa"/>
            <w:vAlign w:val="bottom"/>
            <w:gridSpan w:val="2"/>
          </w:tcPr>
          <w:p>
            <w:pPr>
              <w:ind w:left="28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 Basic and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70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23"/>
                <w:szCs w:val="23"/>
                <w:color w:val="auto"/>
                <w:vertAlign w:val="superscript"/>
              </w:rPr>
              <w:t>(3)</w:t>
            </w:r>
          </w:p>
        </w:tc>
        <w:tc>
          <w:tcPr>
            <w:tcW w:w="9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20" w:type="dxa"/>
            <w:vAlign w:val="bottom"/>
          </w:tcPr>
          <w:p>
            <w:pPr>
              <w:spacing w:after="0"/>
              <w:rPr>
                <w:sz w:val="19"/>
                <w:szCs w:val="19"/>
                <w:color w:val="auto"/>
              </w:rPr>
            </w:pPr>
          </w:p>
        </w:tc>
        <w:tc>
          <w:tcPr>
            <w:tcW w:w="6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8"/>
        </w:trPr>
        <w:tc>
          <w:tcPr>
            <w:tcW w:w="20" w:type="dxa"/>
            <w:vAlign w:val="bottom"/>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117"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hanging="11"/>
        <w:spacing w:after="0" w:line="266" w:lineRule="auto"/>
        <w:rPr>
          <w:sz w:val="20"/>
          <w:szCs w:val="20"/>
          <w:color w:val="auto"/>
        </w:rPr>
      </w:pPr>
      <w:r>
        <w:rPr>
          <w:rFonts w:ascii="Times New Roman" w:cs="Times New Roman" w:eastAsia="Times New Roman" w:hAnsi="Times New Roman"/>
          <w:sz w:val="18"/>
          <w:szCs w:val="18"/>
          <w:color w:val="auto"/>
        </w:rPr>
        <w:t>We repurchased approximately 12.7 million Series A preferred units on January 31, 2025. See Note 12 for additional discussion of this transaction.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spacing w:after="0" w:line="14" w:lineRule="exact"/>
        <w:rPr>
          <w:sz w:val="20"/>
          <w:szCs w:val="20"/>
          <w:color w:val="auto"/>
        </w:rPr>
      </w:pPr>
    </w:p>
    <w:p>
      <w:pPr>
        <w:ind w:right="120" w:hanging="11"/>
        <w:spacing w:after="0" w:line="261" w:lineRule="auto"/>
        <w:rPr>
          <w:sz w:val="20"/>
          <w:szCs w:val="20"/>
          <w:color w:val="auto"/>
        </w:rPr>
      </w:pPr>
      <w:r>
        <w:rPr>
          <w:rFonts w:ascii="Times New Roman" w:cs="Times New Roman" w:eastAsia="Times New Roman" w:hAnsi="Times New Roman"/>
          <w:sz w:val="18"/>
          <w:szCs w:val="18"/>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18" w:lineRule="exact"/>
        <w:rPr>
          <w:sz w:val="20"/>
          <w:szCs w:val="20"/>
          <w:color w:val="auto"/>
        </w:rPr>
      </w:pPr>
    </w:p>
    <w:p>
      <w:pPr>
        <w:ind w:right="60" w:hanging="11"/>
        <w:spacing w:after="0" w:line="282" w:lineRule="auto"/>
        <w:rPr>
          <w:sz w:val="20"/>
          <w:szCs w:val="20"/>
          <w:color w:val="auto"/>
        </w:rPr>
      </w:pPr>
      <w:r>
        <w:rPr>
          <w:rFonts w:ascii="Times New Roman" w:cs="Times New Roman" w:eastAsia="Times New Roman" w:hAnsi="Times New Roman"/>
          <w:sz w:val="18"/>
          <w:szCs w:val="18"/>
          <w:color w:val="auto"/>
        </w:rPr>
        <w:t>Net income from discontinued operations allocated to common unitholders is Income from discontinued operations, net of tax as presented on our Consolidated Statements of Operations.</w:t>
      </w:r>
    </w:p>
    <w:p>
      <w:pPr>
        <w:spacing w:after="0" w:line="185"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Note 6—Inventory, Linefill and Long-term Inventory</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Inventory, including long-term 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No adjustments were recorded during the years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Linefill in assets we own is recorded at historical cost. We classify as linefill (i) our proportionate share of barrels used to fill a pipeline that we own such that when an incremental barrel is pumped into or enters a pipeline it forces product out at another location and (ii) barrels that represent the minimum working requirements in tanks and caverns that we own. Linefill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7 for further discussion regarding impairment of long-lived assets. During 2025, 2024 and 2023, we did not recognize any material impairments of linefill.</w:t>
      </w:r>
    </w:p>
    <w:p>
      <w:pPr>
        <w:spacing w:after="0" w:line="21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40" w:type="dxa"/>
            <w:vAlign w:val="bottom"/>
            <w:tcBorders>
              <w:top w:val="single" w:sz="8" w:color="auto"/>
            </w:tcBorders>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11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4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9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40" w:type="dxa"/>
            <w:vAlign w:val="bottom"/>
          </w:tcPr>
          <w:p>
            <w:pPr>
              <w:spacing w:after="0"/>
              <w:rPr>
                <w:sz w:val="17"/>
                <w:szCs w:val="17"/>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60" w:type="dxa"/>
            <w:vAlign w:val="bottom"/>
          </w:tcPr>
          <w:p>
            <w:pPr>
              <w:spacing w:after="0"/>
              <w:rPr>
                <w:sz w:val="17"/>
                <w:szCs w:val="17"/>
                <w:color w:val="auto"/>
              </w:rPr>
            </w:pP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17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20" w:type="dxa"/>
            <w:vAlign w:val="bottom"/>
            <w:tcBorders>
              <w:right w:val="single" w:sz="8" w:color="auto"/>
            </w:tcBorders>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0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120" w:type="dxa"/>
            <w:vAlign w:val="bottom"/>
            <w:tcBorders>
              <w:right w:val="single" w:sz="8" w:color="auto"/>
            </w:tcBorders>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20" w:type="dxa"/>
            <w:vAlign w:val="bottom"/>
            <w:tcBorders>
              <w:bottom w:val="single" w:sz="8" w:color="CCEEFF"/>
              <w:right w:val="single" w:sz="8" w:color="auto"/>
            </w:tcBorders>
          </w:tcPr>
          <w:p>
            <w:pPr>
              <w:spacing w:after="0"/>
              <w:rPr>
                <w:sz w:val="19"/>
                <w:szCs w:val="19"/>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9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7—Property and Equipment</w:t>
      </w:r>
    </w:p>
    <w:p>
      <w:pPr>
        <w:spacing w:after="0" w:line="25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capitalization policy, expenditures made to expand the existing operating and/or earnings capacity of our assets are capitalized, as are certain costs directly related to the construction of such assets, including related internal labor costs, engineering costs and interest costs.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is stated at cost and consisted of the following (in millions):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6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pipeline systems</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10 - 50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 storage and terminal facilities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10 - 50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storage, terminal, fractionation and processing facilities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10 - 50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property and equipment and rolling stock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2 - 50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Land and other</w:t>
            </w:r>
          </w:p>
        </w:tc>
        <w:tc>
          <w:tcPr>
            <w:tcW w:w="16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Property and equipment, gross </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27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include rights-of-way, which are intangible assets, within property and equipment.</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calculate our depreciation using the straight-line method, based on estimated useful lives and salvage values of our assets. Depreciation expense for the years ended December 31, 2025, 2024 and 2023 was $673 million, $639 million and $618 million, respectively.</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we incurred liabilities of $43 million, $44 million and $40 million, respectively, for construction in progress that had not been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(Held and Used)</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14"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68"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an indication of impairment;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grouping of assets;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of “holding,” “abandoning” or “selling” an asset;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of undiscounted expected future cash flow over the asset’s estimated useful life;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impairment exists, the fair value of the asset or asset group.</w:t>
      </w:r>
    </w:p>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fourth quarter of 2024, we recognized approximately $140 million of non-cash charges related to the write-down of certain of our long-lived U.S. based NGL terminal assets included in our NGL segment due to asset impairments and accelerated depreciation. Such charges are reflected in “(Gains)/losses on asset sales, asset impairments and other, net” on our Consolidated Statement of Operations. We have experienced a decrease in demand for our services at certain of our terminals within two asset groups related to changing market conditions specific to their locations, which was a triggering event that required us to assess the recoverability of carrying value of such long-lived assets. As a result of our impairment review, we wrote-off the portion of the carrying amount of these long-lived assets that exceeded their fair value. Our estimated fair value was based on the determination that a portion of the long-lived assets had no residual value. We consider such inputs to be a Level 3 input in the fair value hierarchy. Further, we determined that an acceleration of depreciation was appropriate for another portion of the long-lived assets.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recognize any material asset impairments during the years ended December 31, 2025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8—Acquisitions, Divestitures and Other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 (Cactus III)</w:t>
      </w:r>
    </w:p>
    <w:p>
      <w:pPr>
        <w:spacing w:after="0" w:line="256"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On October 31, 2025, we purchased an aggregate 55% equity interest in EPIC Crude Holdings, LP (“EPIC Crude Holdings”), which owns the EPIC Crude Oil Pipeline (which we now refer to as our “Cactus III Pipeline”), from subsidiaries of Diamondback Energy, Inc. and Kinetik Holdings Inc., for approximately $1.568 billion, subject to certain adjustments and inclusive of $613 million of debt assumed. We also agreed to a potential earnout payment of $193 million contingent upon the formal sanctioning before the end of 2027 of one or more expansions of Cactus III Pipeline that in the aggregate will increase the capacity of the pipeline to at least 900,000 barrels per day. In a separate transaction, effective November 1, 2025, we acquired the remaining 45% equity interest in EPIC Crude Holdings from a portfolio company of Ares Private Equity funds for approximately $1.327 billion, subject to certain adjustments and inclusive of $501 million of debt assumed. We also agreed to a potential earnout payment to the seller of up to</w:t>
      </w:r>
    </w:p>
    <w:p>
      <w:pPr>
        <w:spacing w:after="0" w:line="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$157 million depending on the timing and amount of incremental expansion capacity up to 300,000 barrels per day in excess of 650,000 barrels per day that is formally sanctioned before the end of 2028. The aggregate cash consideration also includes closing cash and working capital of approximately $121 million. The estimated fair value of the aggregate earnout consideration recorded in connection with these transactions was approximately</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$115 million. The fair value of the aggregate earnout consideration was determined based on weighted-average probabilities of certain capacity expansion scenarios and the related timing thereof.</w:t>
      </w:r>
    </w:p>
    <w:p>
      <w:pPr>
        <w:spacing w:after="0" w:line="20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Subsequent to these two transactions (collectively, the “EPIC acquisition”), we now own 100% of EPIC Crude Holdings and are the operator of record for the Cactus III Pipeline, which provides long-haul crude oil takeaway from the Permian and Eagle Ford basins to the Gulf Coast market at Corpus Christi. We believe this acquisition is highly synergistic and strategic to our existing footprint. The EPIC acquisition will be accounted for in our Crude Oil segment.</w:t>
      </w:r>
    </w:p>
    <w:p>
      <w:pPr>
        <w:spacing w:after="0" w:line="2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EPIC acquisition was accounted for as a business combination using the acquisition method of accounting. The following table presents the fair value of the consideration in the EPIC acquisition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300" w:type="dxa"/>
            <w:vAlign w:val="bottom"/>
          </w:tcPr>
          <w:p>
            <w:pPr>
              <w:spacing w:after="0"/>
              <w:rPr>
                <w:sz w:val="16"/>
                <w:szCs w:val="16"/>
                <w:color w:val="auto"/>
              </w:rPr>
            </w:pPr>
          </w:p>
        </w:tc>
        <w:tc>
          <w:tcPr>
            <w:tcW w:w="19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Recognized Amount</w:t>
            </w:r>
          </w:p>
        </w:tc>
      </w:tr>
      <w:tr>
        <w:trPr>
          <w:trHeight w:val="23"/>
        </w:trPr>
        <w:tc>
          <w:tcPr>
            <w:tcW w:w="8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assets acquired and liabilities assumed in connection with the EPIC acquisition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net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5 - 10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6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acquired Property and equipment, net is primarily comprised of pipelines, equipment and rights of way. The intangible assets recognized in this transaction relate to long-term contracts which contain rates that are favorable to current market conditions. We utilized widely accepted valuation techniques for these types of assets that represent Level 3 measurements in the fair value hierarchy. A Level 3 measurement is one for which there are no observable market inputs.</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acquired pipelines and equipment was determined using a cost approach with an assumption for replacement cost. The fair value of acquired rights of way was determined using a market approach for similar assets.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favorable contracts was determined using an income approach that considers the projected volumes to be transported over the life of the contracts, assumptions for current market rates, and a discount rate that a theoretical market participant would assign to the intangible asset of approximately 17%.</w:t>
      </w:r>
    </w:p>
    <w:p>
      <w:pPr>
        <w:spacing w:after="0" w:line="20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useful lives of the favorable contracts range from 5 to 10 years, and amortization of these intangible assets is recognized using the declining balance method of amortization. Amortization expense was approximately $15 million for the year ended December 31, 2025, and the future amortization expense through 2030 is estimated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2026</w:t>
            </w:r>
          </w:p>
        </w:tc>
        <w:tc>
          <w:tcPr>
            <w:tcW w:w="53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7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2027</w:t>
            </w:r>
          </w:p>
        </w:tc>
        <w:tc>
          <w:tcPr>
            <w:tcW w:w="5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2028</w:t>
            </w:r>
          </w:p>
        </w:tc>
        <w:tc>
          <w:tcPr>
            <w:tcW w:w="53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7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2029</w:t>
            </w:r>
          </w:p>
        </w:tc>
        <w:tc>
          <w:tcPr>
            <w:tcW w:w="5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2030</w:t>
            </w:r>
          </w:p>
        </w:tc>
        <w:tc>
          <w:tcPr>
            <w:tcW w:w="53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30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EPIC acquisition, we assumed the EPIC credit agreement, which provided for a $1.2 billion term loan (the “EPIC term loan”) and a $125 million revolving credit facility (the “EPIC revolver”). On December 1, 2025, we repaid the $1.1 billion of borrowings outstanding under the EPIC term loan and terminated the EPIC credit agreement. See Note 11 for additional information regarding the EPIC credit agreement. The EPIC term loan was valued at par based on the expectation of terminating the loan at such value.</w:t>
      </w:r>
    </w:p>
    <w:p>
      <w:pPr>
        <w:spacing w:after="0" w:line="207" w:lineRule="exact"/>
        <w:rPr>
          <w:sz w:val="20"/>
          <w:szCs w:val="20"/>
          <w:color w:val="auto"/>
        </w:rPr>
      </w:pPr>
    </w:p>
    <w:p>
      <w:pPr>
        <w:ind w:right="880" w:firstLine="648"/>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2025, we incurred approximately $9 million of transaction-related costs associated with the EPIC acquisition. Such costs are reflected as a component of “General and administrative expenses” on our Consolidated Statements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and Other Financial Results</w:t>
      </w:r>
    </w:p>
    <w:p>
      <w:pPr>
        <w:spacing w:after="0" w:line="25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Financial results from the EPIC acquisition have been included in our results of operations within the Crude Oil segment since the date of the acquisition. The EPIC revenues and earnings generated during the period since the acquisition date were not material for disclosure purposes.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following selected unaudited pro forma results of operations were derived from the historical financial statements of EPIC Crude Holdings, and gives effect to the EPIC acquisition as if it had occurred on January 1, 2024. The pro forma results of operations do not include any cost savings or other synergies that may result from the EPIC acquisition or any estimated costs that have been or will be incurred by us to integrate the assets acquired. These results are not necessarily indicative of the results that might have actually occurred had the acquisition taken place on January 1, 2024; furthermore, this financial information is not intended to be a projection of future results (in millions, except per unit amounts):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unitholders from continuing operations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Ironwood Midstream</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31, 2025, we acquired Ironwood Midstream Energy Partners II, LLC (“Ironwood Midstream”), which owns a gathering system in the Eagle Ford Basin, for approximately $481 million in cash from EnCap Flatrock Midstream. The Ironwood Midstream acquisition is accounted for in our Crude Oil segment. In January 2025, in a separate transaction, we also repurchased from EnCap Flatrock Midstream, a portion of our outstanding Series A preferred units. EnCap Flatrock Midstream is affiliated with EnCap Investments, L.P, an entity that is associated with a member of the board of directors of PAGP GP. See Note 12 for additional information.</w:t>
      </w:r>
    </w:p>
    <w:p>
      <w:pPr>
        <w:spacing w:after="0" w:line="21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Ironwood Midstream acquisition was accounted for as a business combination using the acquisition method of accounting. In accordance with applicable accounting guidance, the fair value of the assets acquired and liabilities assumed following the acquisition was utilized as the consideration transferred for the purchase price allocation. The determination of the fair value of the assets and liabilities assumed was estimated in accordance with applicable accounting guidance. The analysis was performed based on estimates that are reflective of market participant assumptions. The following table reflects our preliminary determination of the fair value of the Ironwood Midstream acquisition assets and liabilities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6"/>
        </w:trPr>
        <w:tc>
          <w:tcPr>
            <w:tcW w:w="6640" w:type="dxa"/>
            <w:vAlign w:val="bottom"/>
            <w:gridSpan w:val="2"/>
            <w:vMerge w:val="continue"/>
          </w:tcPr>
          <w:p>
            <w:pPr>
              <w:spacing w:after="0"/>
              <w:rPr>
                <w:sz w:val="17"/>
                <w:szCs w:val="17"/>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3 - 30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tangible asset is a Level 3 measurement in the fair value hierarchy and was determined using a cost approach for tangible assets, with an assumption for replacement cost, and a market approach for rights-of-way. A Level 3 measurement is one for which there are no observable market inputs. The fair value of the intangible assets is also a Level 3 measurement in the fair value hierarchy and was determined by applying a discounted cash flow approach. Such approach utilized a discount rate of 18%, based on our estimate of the risk that a theoretical market participant would assign to the intangible asset.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 is comprised of customer relationships that will be amortized over their useful lives, which have a remaining weighted average life of approximately 16 years. The value assigned to such intangible asset will be amortized to earnings under the declining balance method of amortization. Amortization expense was approximately $4 million for the year ended December 31, 2025, and the future amortization expense through 2030 is estimated as follows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2026</w:t>
            </w:r>
          </w:p>
        </w:tc>
        <w:tc>
          <w:tcPr>
            <w:tcW w:w="54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7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2027</w:t>
            </w:r>
          </w:p>
        </w:tc>
        <w:tc>
          <w:tcPr>
            <w:tcW w:w="54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2028</w:t>
            </w:r>
          </w:p>
        </w:tc>
        <w:tc>
          <w:tcPr>
            <w:tcW w:w="54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7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2029</w:t>
            </w:r>
          </w:p>
        </w:tc>
        <w:tc>
          <w:tcPr>
            <w:tcW w:w="54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700" w:type="dxa"/>
            <w:vAlign w:val="bottom"/>
            <w:shd w:val="clear" w:color="auto" w:fill="CCEEFF"/>
          </w:tcPr>
          <w:p>
            <w:pPr>
              <w:jc w:val="right"/>
              <w:ind w:right="4230"/>
              <w:spacing w:after="0"/>
              <w:rPr>
                <w:sz w:val="20"/>
                <w:szCs w:val="20"/>
                <w:color w:val="auto"/>
              </w:rPr>
            </w:pPr>
            <w:r>
              <w:rPr>
                <w:rFonts w:ascii="Times New Roman" w:cs="Times New Roman" w:eastAsia="Times New Roman" w:hAnsi="Times New Roman"/>
                <w:sz w:val="18"/>
                <w:szCs w:val="18"/>
                <w:color w:val="auto"/>
                <w:w w:val="99"/>
              </w:rPr>
              <w:t>2030</w:t>
            </w:r>
          </w:p>
        </w:tc>
        <w:tc>
          <w:tcPr>
            <w:tcW w:w="54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Rattler Permian Transaction</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the third quarter of 2023, we completed a transaction with Rattler Midstream Operating LLC (“Rattler”) pursuant to which the Permian JV acquired the remaining 43% interest in OMOG JV Holdings LLC (“OMOG”) and certain gathering assets in the Southern Delaware basin. The transaction had an aggregate purchase price of $294 million ($191 million net to our 65% interest in the Permian JV). As a result of the transaction, the Permian JV now owns 100% of OMOG and its subsidiaries and such entities are reflected as consolidated subsidiaries in our Consolidated Financial Statements. Prior to this transaction, the Permian JV’s 57% interest in OMOG was accounted for as an equity method investment.</w:t>
      </w:r>
    </w:p>
    <w:p>
      <w:pPr>
        <w:spacing w:after="0" w:line="21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using the acquisition method of accounting. In accordance with applicable accounting guidance, the fair value of the assets acquired and liabilities assumed following the transaction was utilized as the consideration transferred for the purchase price allocation.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us obtaining control over OMOG, the Permian JV’s previously-held 57% interest in OMOG was remeasured to its fair value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$239 million based upon a valuation of the acquired business, as of the date of acquisition. We considered multiple factors in determining the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previously-held equity method investment, including, (i) the price negotiated with Rattler for its 43% interest in OMOG and (ii) a discounted cash flow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approach. The discounted cash flow approach utilized a discount rate of approximately 11%, based on the estimate of the risk that a theoretical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would assign to the business. The remeasurement of the Permian JV’s investment in OMOG to fair value resulted in a gain of $29 million.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has been recognized in the line item “Gain on investments in unconsolidated entities, net” on our Consolidated Statement of Operations.</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determination of the fair value of the assets and liabilities assumed was estimated in accordance with applicable accounting guidance.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analysis was performed based on estimates that are reflective of market participant assumptions. While the purchase price for the transaction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$294 million, all of the OMOG assets and liabilities were remeasured to fair value and therefore, the fair value of the assets and liabilities that are now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on the balance sheet as a result of this transaction is $532 million. The following table reflects our determination of the fair value of the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and liabilities assumed in connection with the transaction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Identifiable Assets Acquired and Liabilities Assumed:</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300" w:type="dxa"/>
            <w:vAlign w:val="bottom"/>
          </w:tcPr>
          <w:p>
            <w:pPr>
              <w:spacing w:after="0"/>
              <w:rPr>
                <w:sz w:val="13"/>
                <w:szCs w:val="13"/>
                <w:color w:val="auto"/>
              </w:rPr>
            </w:pPr>
          </w:p>
        </w:tc>
        <w:tc>
          <w:tcPr>
            <w:tcW w:w="194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Recognized Amount</w:t>
            </w:r>
          </w:p>
        </w:tc>
        <w:tc>
          <w:tcPr>
            <w:tcW w:w="0" w:type="dxa"/>
            <w:vAlign w:val="bottom"/>
          </w:tcPr>
          <w:p>
            <w:pPr>
              <w:spacing w:after="0"/>
              <w:rPr>
                <w:sz w:val="1"/>
                <w:szCs w:val="1"/>
                <w:color w:val="auto"/>
              </w:rPr>
            </w:pPr>
          </w:p>
        </w:tc>
      </w:tr>
      <w:tr>
        <w:trPr>
          <w:trHeight w:val="195"/>
        </w:trPr>
        <w:tc>
          <w:tcPr>
            <w:tcW w:w="6640" w:type="dxa"/>
            <w:vAlign w:val="bottom"/>
            <w:gridSpan w:val="2"/>
            <w:vMerge w:val="continue"/>
          </w:tcPr>
          <w:p>
            <w:pPr>
              <w:spacing w:after="0"/>
              <w:rPr>
                <w:sz w:val="16"/>
                <w:szCs w:val="16"/>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3 - 30</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220" w:type="dxa"/>
            <w:vAlign w:val="bottom"/>
          </w:tcPr>
          <w:p>
            <w:pPr>
              <w:jc w:val="right"/>
              <w:ind w:right="937"/>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and other assets and liabilities</w:t>
            </w:r>
          </w:p>
        </w:tc>
        <w:tc>
          <w:tcPr>
            <w:tcW w:w="2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tangible assets is a Level 3 measurement in the fair value hierarchy and was determined using the cost approach based on costs incurred on similar recent construction projects. The fair value of the intangible assets is also a Level 3 measurement in the fair value hierarchy and was determined by applying a discounted cash flow approach. Such approach utilized discount rates varying from approximately 21% to 23%, based on our estimate of the risk that a theoretical market participant would assign to the respective intangible assets. The projection of future crude oil volumes transported and the estimated tariff rates for transportation were also key assumptions in the valuation of the intangible assets. Projected future volumes and estimated tariff rates were based on current contracts in place with assumptions for forecasted rate increases and contract renewals.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intangible assets is comprised of customer relationships that will be amortized over their useful lives, which have a remaining weighted average life of approximately 10 years. The value assigned to such intangible assets will be amortized to earnings under the declining balance method of amortization. Amortization expense was approximately $10 million, $8 million and $4 million during the years ended December 31, 2025, 2024 and 2023, respectively, and the future amortization expense through 2028 is estimated as follows (in millions):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838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tc>
        <w:tc>
          <w:tcPr>
            <w:tcW w:w="1140" w:type="dxa"/>
            <w:vAlign w:val="bottom"/>
          </w:tcPr>
          <w:p>
            <w:pPr>
              <w:spacing w:after="0"/>
              <w:rPr>
                <w:sz w:val="17"/>
                <w:szCs w:val="17"/>
                <w:color w:val="auto"/>
              </w:rPr>
            </w:pPr>
          </w:p>
        </w:tc>
      </w:tr>
      <w:tr>
        <w:trPr>
          <w:trHeight w:val="238"/>
        </w:trPr>
        <w:tc>
          <w:tcPr>
            <w:tcW w:w="1720" w:type="dxa"/>
            <w:vAlign w:val="bottom"/>
          </w:tcPr>
          <w:p>
            <w:pPr>
              <w:spacing w:after="0"/>
              <w:rPr>
                <w:sz w:val="20"/>
                <w:szCs w:val="20"/>
                <w:color w:val="auto"/>
              </w:rPr>
            </w:pPr>
          </w:p>
        </w:tc>
        <w:tc>
          <w:tcPr>
            <w:tcW w:w="8380" w:type="dxa"/>
            <w:vAlign w:val="bottom"/>
          </w:tcPr>
          <w:p>
            <w:pPr>
              <w:jc w:val="right"/>
              <w:ind w:right="181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1140" w:type="dxa"/>
            <w:vAlign w:val="bottom"/>
          </w:tcPr>
          <w:p>
            <w:pPr>
              <w:spacing w:after="0"/>
              <w:rPr>
                <w:sz w:val="20"/>
                <w:szCs w:val="20"/>
                <w:color w:val="auto"/>
              </w:rPr>
            </w:pPr>
          </w:p>
        </w:tc>
      </w:tr>
      <w:tr>
        <w:trPr>
          <w:trHeight w:val="513"/>
        </w:trPr>
        <w:tc>
          <w:tcPr>
            <w:tcW w:w="17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172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9"/>
              </w:rPr>
              <w:t>2026</w:t>
            </w:r>
          </w:p>
        </w:tc>
        <w:tc>
          <w:tcPr>
            <w:tcW w:w="83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17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99"/>
              </w:rPr>
              <w:t>2027</w:t>
            </w:r>
          </w:p>
        </w:tc>
        <w:tc>
          <w:tcPr>
            <w:tcW w:w="838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172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9"/>
              </w:rPr>
              <w:t>2028</w:t>
            </w:r>
          </w:p>
        </w:tc>
        <w:tc>
          <w:tcPr>
            <w:tcW w:w="838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1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Pro forma financial information assuming the acquisition had occurred as of the beginning of the calendar year prior to the year of the acquisition, as well as the revenues and earnings generated during the period since the acquisition date, were not material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we completed the following additional acquisitions:</w:t>
      </w:r>
    </w:p>
    <w:p>
      <w:pPr>
        <w:spacing w:after="0" w:line="234" w:lineRule="exact"/>
        <w:rPr>
          <w:sz w:val="20"/>
          <w:szCs w:val="20"/>
          <w:color w:val="auto"/>
        </w:rPr>
      </w:pPr>
    </w:p>
    <w:p>
      <w:pPr>
        <w:ind w:left="660" w:right="260" w:hanging="328"/>
        <w:spacing w:after="0" w:line="312" w:lineRule="auto"/>
        <w:tabs>
          <w:tab w:leader="none" w:pos="65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in July 2025 of an additional 20% interest in BridgeTex Pipeline Company, LLC (“BridgeTex”) for approximately $180 million, increasing our ownership interest from 20% to 40%. See Note 9 for additional information about our investments in unconsolidated entities.</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during the second quarter of 2025 of Black Knight Midstream, LLC (“Black Knight Midstream”), which owns a crude oil gathering business in the Permian Basin, for $59 million (approximately $38 million net to our 65% interest in the Permian JV), subject to certain adjustments. The Black Knight Midstream assets are accounted for in our Crude Oil segment.</w:t>
      </w:r>
    </w:p>
    <w:p>
      <w:pPr>
        <w:spacing w:after="0" w:line="202"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February 2025, through a non-monetary transaction, of the remaining 50% interest in Cheyenne Pipeline LLC (“Cheyenne”) in exchange for the termination of certain obligations. As a result of this transaction, we now own 100% of Cheyenne and reflect such entity as a consolidated subsidiary in our Consolidated Financial Statements within our Crude Oil segment. The transaction resulted in a net gain of approximately $31 million, which represents the difference between the fair value of the entity and the historical book value of our investment. This gain is reflected in “Gain on investments in unconsolidated entities, net” on our Consolidated Statement of Operations.</w:t>
      </w:r>
    </w:p>
    <w:p>
      <w:pPr>
        <w:spacing w:after="0" w:line="210"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January 2025 of EMG Medallion 2 Holdings, LLC and its subsidiaries, which own a crude oil gathering and transportation business in the Delaware Basin, for $163 million (approximately $106 million net to our 65% interest in the Permian JV), subject to certain adjustments. A cash deposit of approximately $16 million was paid upon signing in December 2024. EMG Medallion 2 Holdings was a portfolio company of The Energy &amp; Minerals Group (“EMG”), which is associated with a member of the board of directors of PAGP GP.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2024, we also completed the following acquisitions:</w:t>
      </w:r>
    </w:p>
    <w:p>
      <w:pPr>
        <w:spacing w:after="0" w:line="252" w:lineRule="exact"/>
        <w:rPr>
          <w:sz w:val="20"/>
          <w:szCs w:val="20"/>
          <w:color w:val="auto"/>
        </w:rPr>
      </w:pPr>
    </w:p>
    <w:p>
      <w:pPr>
        <w:ind w:left="660" w:right="12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December 2024 of the remaining 50% interest in Midway Pipeline LLC (“Midway”) for approximately $90 million. As a result of this transaction, we now own 100% of Midway and reflect such entity as a consolidated subsidiary in our Consolidated Financial Statements. The remeasurement of our previously-held investment in Midway to fair value resulted in a gain of approximately $15 million. This gain is reflected in “Gain on investments in unconsolidated entities, net” on our Consolidated Statement of Operations.</w:t>
      </w:r>
    </w:p>
    <w:p>
      <w:pPr>
        <w:spacing w:after="0" w:line="206"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additional interests in certain unconsolidated entities, including (i) the acquisition in August 2024 of an additional approximate 0.67% interest in Wink to Webster Pipeline LLC (increasing our ownership interest from 16% to 17%) for $20 million and (ii) the acquisition in March 2024 of an additional 10% interest in Saddlehorn Pipeline Company, LLC (increasing our ownership interest from 30% to 40%) for $91 million. See Note 9 for additional information about our investments in unconsolidated entities.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in the second and third quarters of 2024 of pipeline and terminal assets within our asset footprint for approximately $32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 November 2023, we acquired a crude oil gathering system in the Northern Delaware Basin from a subsidiary of LM Energy Partners for approximately $135 million (approximately $88 million net to our 65% interest in the Permian JV), subject to certain adjustments. This transaction was accounted for as an asset acquisition since substantially all of the value of the assets acquired was concentrated in a single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256"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received cash proceeds of $81 million, primarily from the sale of non-core assets, which were previously included in our Crude Oil segment. We recognized gains of approximately $44 million related to these asset sales, which is included in “(Gains)/losses on asset sales, asset impairments and other, net” on our Consolidated Statement of Operations.</w:t>
      </w:r>
    </w:p>
    <w:p>
      <w:pPr>
        <w:spacing w:after="0" w:line="203"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February 2023, we sold our 21% non-operated/undivided joint interest in the Keyera Fort Saskatchewan facility to Keyera Corporation for approximately $270 million. As of December 31, 2022, we classified the assets related to this transaction (primarily “Property and equipment” in our NGL segment), valued at the lower of the carrying amount or fair value less costs to sell, of approximately $130 million as assets held for sale on our Consolidated Balance Sheet (in “Other current assets”). At the time of this transaction, we concluded that this disposition did not meet the criteria for discontinued operations. Upon the sale of this facility, we recognized a gain of approximately $140 million which is included in “(Gains)/losses on asset sales, asset impairments and other, net” on our Consolidated Statement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9—Investments in Unconsolidated Entities</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investments in unconsolidated entities consisted of the following (in millions, except percentage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300" w:type="dxa"/>
            <w:vAlign w:val="bottom"/>
          </w:tcPr>
          <w:p>
            <w:pPr>
              <w:spacing w:after="0"/>
              <w:rPr>
                <w:sz w:val="13"/>
                <w:szCs w:val="13"/>
                <w:color w:val="auto"/>
              </w:rPr>
            </w:pPr>
          </w:p>
        </w:tc>
        <w:tc>
          <w:tcPr>
            <w:tcW w:w="2220" w:type="dxa"/>
            <w:vAlign w:val="bottom"/>
            <w:gridSpan w:val="4"/>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Investment Balance</w:t>
            </w:r>
          </w:p>
        </w:tc>
        <w:tc>
          <w:tcPr>
            <w:tcW w:w="0" w:type="dxa"/>
            <w:vAlign w:val="bottom"/>
          </w:tcPr>
          <w:p>
            <w:pPr>
              <w:spacing w:after="0"/>
              <w:rPr>
                <w:sz w:val="1"/>
                <w:szCs w:val="1"/>
                <w:color w:val="auto"/>
              </w:rPr>
            </w:pPr>
          </w:p>
        </w:tc>
      </w:tr>
      <w:tr>
        <w:trPr>
          <w:trHeight w:val="81"/>
        </w:trPr>
        <w:tc>
          <w:tcPr>
            <w:tcW w:w="3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300" w:type="dxa"/>
            <w:vAlign w:val="bottom"/>
          </w:tcPr>
          <w:p>
            <w:pPr>
              <w:spacing w:after="0"/>
              <w:rPr>
                <w:sz w:val="7"/>
                <w:szCs w:val="7"/>
                <w:color w:val="auto"/>
              </w:rPr>
            </w:pPr>
          </w:p>
        </w:tc>
        <w:tc>
          <w:tcPr>
            <w:tcW w:w="22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3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940" w:type="dxa"/>
            <w:vAlign w:val="bottom"/>
            <w:gridSpan w:val="3"/>
          </w:tcPr>
          <w:p>
            <w:pPr>
              <w:ind w:left="20"/>
              <w:spacing w:after="0" w:line="201" w:lineRule="exact"/>
              <w:rPr>
                <w:sz w:val="20"/>
                <w:szCs w:val="20"/>
                <w:color w:val="auto"/>
              </w:rPr>
            </w:pPr>
            <w:r>
              <w:rPr>
                <w:rFonts w:ascii="Times New Roman" w:cs="Times New Roman" w:eastAsia="Times New Roman" w:hAnsi="Times New Roman"/>
                <w:sz w:val="14"/>
                <w:szCs w:val="14"/>
                <w:b w:val="1"/>
                <w:bCs w:val="1"/>
                <w:color w:val="auto"/>
              </w:rPr>
              <w:t xml:space="preserve">Entity </w:t>
            </w:r>
            <w:r>
              <w:rPr>
                <w:rFonts w:ascii="Times New Roman" w:cs="Times New Roman" w:eastAsia="Times New Roman" w:hAnsi="Times New Roman"/>
                <w:sz w:val="18"/>
                <w:szCs w:val="18"/>
                <w:b w:val="1"/>
                <w:bCs w:val="1"/>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Operation</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BridgeTex Pipeline Company, LLC (“BridgeTex”)</w:t>
            </w:r>
          </w:p>
        </w:tc>
        <w:tc>
          <w:tcPr>
            <w:tcW w:w="1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49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Capline Pipeline Company LLC (“Capline”) </w:t>
            </w:r>
            <w:r>
              <w:rPr>
                <w:rFonts w:ascii="Times New Roman" w:cs="Times New Roman" w:eastAsia="Times New Roman" w:hAnsi="Times New Roman"/>
                <w:sz w:val="23"/>
                <w:szCs w:val="23"/>
                <w:color w:val="auto"/>
                <w:vertAlign w:val="superscript"/>
              </w:rPr>
              <w:t>(2)</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Diamond Pipeline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Eagle Ford Pipeline LLC</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Eagle Ford Terminals Corpus Christi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Crude Oil Terminal and Dock</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Saddlehorn Pipeline Company, LLC (“Saddlehorn”)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29"/>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White Cliffs Pipeline, L.L.C.</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49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Wink to Webster Pipeline LLC (“W2W Pipeline”) </w:t>
            </w:r>
            <w:r>
              <w:rPr>
                <w:rFonts w:ascii="Times New Roman" w:cs="Times New Roman" w:eastAsia="Times New Roman" w:hAnsi="Times New Roman"/>
                <w:sz w:val="23"/>
                <w:szCs w:val="23"/>
                <w:color w:val="auto"/>
                <w:vertAlign w:val="superscript"/>
              </w:rPr>
              <w:t>(3)</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Crude Oil Pipeline</w:t>
            </w:r>
          </w:p>
        </w:tc>
        <w:tc>
          <w:tcPr>
            <w:tcW w:w="128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Investments in Unconsolidated Entities</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financial results from these entities are reported in our Crude Oil segment.</w:t>
      </w:r>
    </w:p>
    <w:p>
      <w:pPr>
        <w:spacing w:after="0" w:line="117" w:lineRule="exact"/>
        <w:rPr>
          <w:sz w:val="20"/>
          <w:szCs w:val="20"/>
          <w:color w:val="auto"/>
        </w:rPr>
      </w:pPr>
    </w:p>
    <w:p>
      <w:pPr>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Although we own more than 50% of Capline, we use the equity method to account for the investment because the other joint venture members still retain substantive participating rights.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right="760" w:hanging="652"/>
        <w:spacing w:after="0" w:line="229" w:lineRule="auto"/>
        <w:tabs>
          <w:tab w:leader="none" w:pos="648"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Although we own less than 20% of W2W Pipeline, we use the equity method to account for the investment because we believe we have significant influence over the financial and operating decisions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During 2025, we acquired the remaining 50% interest in Cheyenne (which was previously presented in “Other investments” in the table above). Prior to our acquisition, our 50% interest in Cheyenne was accounted for as an equity method investment. In addition, during 2025, we acquired an additional interest in BridgeTex, which we continue to account for as an equity method investment. See Note 8 for additional information regarding these transactions.</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During 2024, we acquired the remaining 50% interest in Midway (which was previously presented in “Other investments” in the table above). Prior to our acquisition, our 50% interest in Midway was accounted for as an equity method investment. In addition, during 2024, we acquired additional interests in W2W Pipeline and Saddlehorn, which we continue to account for as equity method investments. See Note 8 for additional information regarding these transactions.</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2023, we acquired the remaining 43% interest in OMOG. We now reflect OMOG and its subsidiaries as consolidated subsidiaries in our Consolidated Financial Statements. See “Rattler Permian Transaction” in Note 8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generally fund our portion of development, construction or capital investment projects of our equity method investees through capital contributions. During the years ended December 31, 2025, 2024 and 2023, we made cash contributions of $2 million, $4 million and $29 million, respectively, to certain of our equity method investees. We capitalize interest costs associated with contributions to unconsolidated entities for projects under development and construction. Our contributions to these entities (including capitalized interest costs) increase the carrying value of our investments and are reflected in our Consolidated Statements of Cash Flows as cash used in investing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Differences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investments in unconsolidated entities exceeded our share of the underlying equity in the net assets of such entities by $237 million and $213 million at December 31, 2025 and 2024,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2025 and 2024 was attributable to goodwill related to our ownership interest in BridgeTex with the remaining basis difference primarily related to capitalized interest incurred during construction of the assets of our unconsolidated entities.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Financial Information of Unconsolidated Entities</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Combined summarized financial information for all of our unconsolidated entities is shown in the tables below (in millions). None of our unconsolidated entities have noncontrolling interests.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539"/>
        </w:trPr>
        <w:tc>
          <w:tcPr>
            <w:tcW w:w="6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10—Intangible Assets, Net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of accumulated amortization, consisted of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00" w:type="dxa"/>
            <w:vAlign w:val="bottom"/>
          </w:tcPr>
          <w:p>
            <w:pPr>
              <w:spacing w:after="0"/>
              <w:rPr>
                <w:sz w:val="2"/>
                <w:szCs w:val="2"/>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1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7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1"/>
                <w:szCs w:val="11"/>
                <w:color w:val="auto"/>
              </w:rPr>
            </w:pPr>
          </w:p>
        </w:tc>
        <w:tc>
          <w:tcPr>
            <w:tcW w:w="6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Lives (Years)</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 and relationships</w:t>
            </w:r>
          </w:p>
        </w:tc>
        <w:tc>
          <w:tcPr>
            <w:tcW w:w="1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 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agreements</w:t>
            </w:r>
          </w:p>
        </w:tc>
        <w:tc>
          <w:tcPr>
            <w:tcW w:w="1520" w:type="dxa"/>
            <w:vAlign w:val="bottom"/>
            <w:tcBorders>
              <w:bottom w:val="single" w:sz="8" w:color="CCEEFF"/>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15 – 70</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Intangible assets </w:t>
            </w:r>
            <w:r>
              <w:rPr>
                <w:rFonts w:ascii="Times New Roman" w:cs="Times New Roman" w:eastAsia="Times New Roman" w:hAnsi="Times New Roman"/>
                <w:sz w:val="23"/>
                <w:szCs w:val="23"/>
                <w:color w:val="auto"/>
                <w:vertAlign w:val="superscript"/>
              </w:rPr>
              <w:t>(1) (2)</w:t>
            </w: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175"/>
        </w:trPr>
        <w:tc>
          <w:tcPr>
            <w:tcW w:w="3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include rights-of-way, which are intangible assets, within property and equipment. See Note 7 for a discussion of property and equipment.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intangible assets in 2025 is associated with the assets acquired during the period. See Note 8 for additional information.</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52"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2025.</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finite-lived intangible assets are amortized under the declining balance method. Amortization expense for finite-lived intangible assets for the years ended December 31, 2025, 2024 and 2023 was $280 million, $262 million and $291 million, respectively. We estimate that our amortization expense related to finite-lived intangible assets for the next five years will be as follows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2026</w:t>
            </w:r>
          </w:p>
        </w:tc>
        <w:tc>
          <w:tcPr>
            <w:tcW w:w="5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2027</w:t>
            </w:r>
          </w:p>
        </w:tc>
        <w:tc>
          <w:tcPr>
            <w:tcW w:w="5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2028</w:t>
            </w:r>
          </w:p>
        </w:tc>
        <w:tc>
          <w:tcPr>
            <w:tcW w:w="5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5100" w:type="dxa"/>
            <w:vAlign w:val="bottom"/>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2029</w:t>
            </w:r>
          </w:p>
        </w:tc>
        <w:tc>
          <w:tcPr>
            <w:tcW w:w="53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5100" w:type="dxa"/>
            <w:vAlign w:val="bottom"/>
            <w:shd w:val="clear" w:color="auto" w:fill="CCEEFF"/>
          </w:tcPr>
          <w:p>
            <w:pPr>
              <w:jc w:val="right"/>
              <w:ind w:right="4630"/>
              <w:spacing w:after="0"/>
              <w:rPr>
                <w:sz w:val="20"/>
                <w:szCs w:val="20"/>
                <w:color w:val="auto"/>
              </w:rPr>
            </w:pPr>
            <w:r>
              <w:rPr>
                <w:rFonts w:ascii="Times New Roman" w:cs="Times New Roman" w:eastAsia="Times New Roman" w:hAnsi="Times New Roman"/>
                <w:sz w:val="18"/>
                <w:szCs w:val="18"/>
                <w:color w:val="auto"/>
                <w:w w:val="99"/>
              </w:rPr>
              <w:t>2030</w:t>
            </w:r>
          </w:p>
        </w:tc>
        <w:tc>
          <w:tcPr>
            <w:tcW w:w="53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0" w:type="dxa"/>
            <w:vAlign w:val="bottom"/>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20" w:type="dxa"/>
            <w:vAlign w:val="bottom"/>
          </w:tcPr>
          <w:p>
            <w:pPr>
              <w:spacing w:after="0"/>
              <w:rPr>
                <w:sz w:val="18"/>
                <w:szCs w:val="18"/>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3.9% and 4.6%, respectively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short-term debt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57"/>
        </w:trPr>
        <w:tc>
          <w:tcPr>
            <w:tcW w:w="20" w:type="dxa"/>
            <w:vAlign w:val="bottom"/>
          </w:tcPr>
          <w:p>
            <w:pPr>
              <w:spacing w:after="0"/>
              <w:rPr>
                <w:sz w:val="22"/>
                <w:szCs w:val="22"/>
                <w:color w:val="auto"/>
              </w:rPr>
            </w:pPr>
          </w:p>
        </w:tc>
        <w:tc>
          <w:tcPr>
            <w:tcW w:w="3860" w:type="dxa"/>
            <w:vAlign w:val="bottom"/>
            <w:shd w:val="clear" w:color="auto" w:fill="CCEEFF"/>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4.65% senior notes due October 2025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4.50% senior notes due December 2026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3.55% senior notes due December 2029</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3.80% senior notes due September 2030</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senior notes due January 2031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5.70% senior notes due September 2034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5.95% senior notes due June 2035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5.60% senior notes due January 2036</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6.70% senior notes due May 2036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6.65% senior notes due January 2037</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5.15% senior notes due June 2042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4.30% senior notes due January 2043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4.70% senior notes due June 2044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4.90% senior notes due February 2045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tcPr>
          <w:p>
            <w:pPr>
              <w:spacing w:after="0"/>
              <w:rPr>
                <w:sz w:val="19"/>
                <w:szCs w:val="19"/>
                <w:color w:val="auto"/>
              </w:rPr>
            </w:pPr>
          </w:p>
        </w:tc>
        <w:tc>
          <w:tcPr>
            <w:tcW w:w="8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notes, net of unamortized discounts and debt issuance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29"/>
        </w:trPr>
        <w:tc>
          <w:tcPr>
            <w:tcW w:w="20" w:type="dxa"/>
            <w:vAlign w:val="bottom"/>
          </w:tcPr>
          <w:p>
            <w:pPr>
              <w:spacing w:after="0"/>
              <w:rPr>
                <w:sz w:val="19"/>
                <w:szCs w:val="19"/>
                <w:color w:val="auto"/>
              </w:rPr>
            </w:pPr>
          </w:p>
        </w:tc>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3.9% </w:t>
            </w:r>
            <w:r>
              <w:rPr>
                <w:rFonts w:ascii="Times New Roman" w:cs="Times New Roman" w:eastAsia="Times New Roman" w:hAnsi="Times New Roman"/>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 net of debt issuance costs of $1, bearing a weighted-average interest rate of 5.0%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20" w:type="dxa"/>
            <w:vAlign w:val="bottom"/>
          </w:tcPr>
          <w:p>
            <w:pPr>
              <w:spacing w:after="0"/>
              <w:rPr>
                <w:sz w:val="19"/>
                <w:szCs w:val="19"/>
                <w:color w:val="auto"/>
              </w:rPr>
            </w:pPr>
          </w:p>
        </w:tc>
        <w:tc>
          <w:tcPr>
            <w:tcW w:w="82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r>
      <w:tr>
        <w:trPr>
          <w:trHeight w:val="248"/>
        </w:trPr>
        <w:tc>
          <w:tcPr>
            <w:tcW w:w="20" w:type="dxa"/>
            <w:vAlign w:val="bottom"/>
          </w:tcPr>
          <w:p>
            <w:pPr>
              <w:spacing w:after="0"/>
              <w:rPr>
                <w:sz w:val="21"/>
                <w:szCs w:val="21"/>
                <w:color w:val="auto"/>
              </w:rPr>
            </w:pPr>
          </w:p>
        </w:tc>
        <w:tc>
          <w:tcPr>
            <w:tcW w:w="8240" w:type="dxa"/>
            <w:vAlign w:val="bottom"/>
            <w:tcBorders>
              <w:bottom w:val="single" w:sz="8" w:color="CCEEFF"/>
            </w:tcBorders>
            <w:gridSpan w:val="2"/>
            <w:shd w:val="clear" w:color="auto" w:fill="CCEEFF"/>
          </w:tcPr>
          <w:p>
            <w:pPr>
              <w:ind w:left="460"/>
              <w:spacing w:after="0" w:line="223"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171"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jc w:val="both"/>
        <w:ind w:right="4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December 31, 2025 and 2024, as these notes were primarily designated as working capital borrowings, were required to be repaid within one year and were primarily for hedged NGL and crude oil inventory and NYMEX and ICE margin deposits.</w:t>
      </w:r>
    </w:p>
    <w:p>
      <w:pPr>
        <w:spacing w:after="0" w:line="68" w:lineRule="exact"/>
        <w:rPr>
          <w:sz w:val="20"/>
          <w:szCs w:val="20"/>
          <w:color w:val="auto"/>
        </w:rPr>
      </w:pPr>
    </w:p>
    <w:p>
      <w:pPr>
        <w:ind w:right="38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2024, we classified our $1.0 billion, 4.65% senior notes due October 2025 as long-term based on our ability and intent to refinance the notes on a long-term basis at that time. We redeemed these senior notes on October 3, 2025.</w:t>
      </w:r>
    </w:p>
    <w:p>
      <w:pPr>
        <w:spacing w:after="0" w:line="54" w:lineRule="exact"/>
        <w:rPr>
          <w:sz w:val="20"/>
          <w:szCs w:val="20"/>
          <w:color w:val="auto"/>
        </w:rPr>
      </w:pPr>
    </w:p>
    <w:p>
      <w:pPr>
        <w:ind w:right="12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2025, we classified our $750 million, 4.50% senior notes due December 2026 as long-term based on our ability and intent to refinance the notes on a long-term basis.</w:t>
      </w:r>
    </w:p>
    <w:p>
      <w:pPr>
        <w:spacing w:after="0" w:line="54" w:lineRule="exact"/>
        <w:rPr>
          <w:sz w:val="20"/>
          <w:szCs w:val="20"/>
          <w:color w:val="auto"/>
        </w:rPr>
      </w:pPr>
    </w:p>
    <w:p>
      <w:pPr>
        <w:ind w:right="320" w:hanging="11"/>
        <w:spacing w:after="0" w:line="282" w:lineRule="auto"/>
        <w:rPr>
          <w:sz w:val="20"/>
          <w:szCs w:val="20"/>
          <w:color w:val="auto"/>
        </w:rPr>
      </w:pPr>
      <w:r>
        <w:rPr>
          <w:rFonts w:ascii="Times New Roman" w:cs="Times New Roman" w:eastAsia="Times New Roman" w:hAnsi="Times New Roman"/>
          <w:sz w:val="18"/>
          <w:szCs w:val="18"/>
          <w:color w:val="auto"/>
        </w:rPr>
        <w:t>As of December 31, 2025, we classified a portion of our commercial paper notes as long-term based on our ability and intent to refinance such amounts on a long-term basis.</w:t>
      </w:r>
    </w:p>
    <w:p>
      <w:pPr>
        <w:spacing w:after="0" w:line="200" w:lineRule="exact"/>
        <w:rPr>
          <w:sz w:val="20"/>
          <w:szCs w:val="20"/>
          <w:color w:val="auto"/>
        </w:rPr>
      </w:pPr>
    </w:p>
    <w:p>
      <w:pPr>
        <w:sectPr>
          <w:pgSz w:w="11900" w:h="16838" w:orient="portrait"/>
          <w:cols w:equalWidth="0" w:num="2">
            <w:col w:w="140" w:space="520"/>
            <w:col w:w="10560"/>
          </w:cols>
          <w:pgMar w:left="320" w:top="126" w:right="359" w:bottom="1440" w:gutter="0" w:footer="0" w:header="0"/>
          <w:type w:val="continuous"/>
        </w:sect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hanging="652"/>
        <w:spacing w:after="0" w:line="244" w:lineRule="auto"/>
        <w:tabs>
          <w:tab w:leader="none" w:pos="648" w:val="left"/>
        </w:tabs>
        <w:numPr>
          <w:ilvl w:val="0"/>
          <w:numId w:val="7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fixed-rate senior notes had a face value of approximately $9.2 billion and $7.2 billion as of December 31, 2025 and 2024, respectively. We estimated the aggregate fair value of these notes as of December 31, 2025 and 2024 to be approximately $9.0 billion and $6.7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and our term loan approximate fair value as interest rates reflect current market rates. The fair value estimates for our senior notes, commercial paper program and our term loan are based upon observable market data and are classified in Level 2 of the fair value hierarchy.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have a commercial paper program under which we may issue (and have outstanding at any time) up to $2.7 billion in the aggregate of privately placed, unsecured commercial paper notes. Such notes are backstopped by our senior unsecured revolving credit facility and our senior secured hedged inventory facility; as such, any borrowings under our commercial paper program reduce the available capacity under these facilities.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Senior secured hedged inventory facility</w:t>
      </w:r>
      <w:r>
        <w:rPr>
          <w:rFonts w:ascii="Times New Roman" w:cs="Times New Roman" w:eastAsia="Times New Roman" w:hAnsi="Times New Roman"/>
          <w:sz w:val="18"/>
          <w:szCs w:val="18"/>
          <w:color w:val="auto"/>
        </w:rPr>
        <w:t>. We have a credit agreement that provides for a senior secured hedged inventory facility with a committed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 capacity of $1.35 billion. Subject to obtaining additional or increased lender commitments and other terms and conditions, the committed capacity of the facility may be increased to $1.9 billion. The credit agreement provides for the issuance of letters of credit of up to $400 million.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our election, on certain floating rate indices as defined in the credit agreement, in each case plus a margin based on our credit rating at the applicable time. The amended credit agreement also provides for one or more one-year extensions, subject to applicable approval and other terms and conditions. The maturity date of the facility is August 2027 with respect to all extending lenders under the facility, except for a non-extending lender (which represents a commitment of approximately $64 million out of total commitments of $1.35 billion from all lenders), which has a maturity date of August 2026.</w:t>
      </w:r>
    </w:p>
    <w:p>
      <w:pPr>
        <w:spacing w:after="0" w:line="21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Senior unsecured revolving credit facility. </w:t>
      </w:r>
      <w:r>
        <w:rPr>
          <w:rFonts w:ascii="Times New Roman" w:cs="Times New Roman" w:eastAsia="Times New Roman" w:hAnsi="Times New Roman"/>
          <w:sz w:val="18"/>
          <w:szCs w:val="18"/>
          <w:color w:val="auto"/>
        </w:rPr>
        <w:t>We have a credit agreement that provides for a senior unsecured revolving credit facility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borrowing capacity of $1.35 billion, of which $400 million is available for the issuance of letters of credit. Subject to obtaining additional or increased lender commitments and other terms and conditions, the committed capacity may be increased to $2.1 billion. Borrowings accrue interest based, at our election, on certain floating rate indices as defined in the credit agreement, in each case plus a margin based on our credit rating at the applicable time. The credit agreement provides for one or more one-year extensions, subject to applicable approval and other terms and conditions. The maturity date of the facility is August 2029 with respect to all extending lenders under the facility, except for a non-extending lender (which represents a commitment of approximately $64 million out of total commitments of $1.35 billion from all lenders), which has a maturity date of August 2027.</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EPIC credit agreement</w:t>
      </w:r>
      <w:r>
        <w:rPr>
          <w:rFonts w:ascii="Times New Roman" w:cs="Times New Roman" w:eastAsia="Times New Roman" w:hAnsi="Times New Roman"/>
          <w:sz w:val="18"/>
          <w:szCs w:val="18"/>
          <w:color w:val="auto"/>
        </w:rPr>
        <w:t>. In connection with the EPIC Acquisition, completed on November 1, 2025, we assumed the EPIC credit agreement,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a $1.2 billion term loan and a $125 million revolving credit facility. Borrowings under the EPIC credit agreement accrued interest based, at our election, on certain floating rate indices as defined in the EPIC credit agreement, in each case, plus an applicable margin. On December 1, 2025, we terminated the EPIC credit agreement and repaid the $1.1 billion of borrowings outstanding under the EPIC term loan.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w:t>
      </w:r>
    </w:p>
    <w:p>
      <w:pPr>
        <w:spacing w:after="0" w:line="25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November 26, 2025, we entered into a term loan agreement that provides for a $1.1 billion senior unsecured term loan, which was funded on December 1, 2025. The term loan will mature in November 2027. We may at any time prepay amounts outstanding under the term loan agreement, in whole or in part, without premium or penalty. The closing of the Canadian NGL Business divestiture will trigger mandatory prepayment of all amounts outstanding under the term loan agreement within seven business days of the closing of such divestiture. Borrowings accrue interest based, at our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We may, at our option, redeem any series of senior notes at any time in whole or from time to time in part, prior to maturity, at the redemption prices described in the indentures governing the senior notes. Our senior notes are not guaranteed by any of our subsidiaries.</w:t>
      </w:r>
    </w:p>
    <w:p>
      <w:pPr>
        <w:spacing w:after="0" w:line="208"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Issuances. </w:t>
      </w:r>
      <w:r>
        <w:rPr>
          <w:rFonts w:ascii="Times New Roman" w:cs="Times New Roman" w:eastAsia="Times New Roman" w:hAnsi="Times New Roman"/>
          <w:sz w:val="18"/>
          <w:szCs w:val="18"/>
          <w:color w:val="auto"/>
        </w:rPr>
        <w:t>The table below summarizes our issuances of senior unsecured notes during the three years ended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(face value in millions):</w:t>
      </w:r>
    </w:p>
    <w:p>
      <w:pPr>
        <w:spacing w:after="0" w:line="221" w:lineRule="exact"/>
        <w:rPr>
          <w:sz w:val="20"/>
          <w:szCs w:val="20"/>
          <w:color w:val="auto"/>
        </w:rPr>
      </w:pPr>
    </w:p>
    <w:p>
      <w:pPr>
        <w:ind w:left="20"/>
        <w:spacing w:after="0"/>
        <w:tabs>
          <w:tab w:leader="none" w:pos="3320" w:val="left"/>
          <w:tab w:leader="none" w:pos="6000" w:val="left"/>
          <w:tab w:leader="none" w:pos="7320" w:val="left"/>
          <w:tab w:leader="none" w:pos="8840" w:val="left"/>
        </w:tabs>
        <w:rPr>
          <w:sz w:val="20"/>
          <w:szCs w:val="20"/>
          <w:color w:val="auto"/>
        </w:rPr>
      </w:pPr>
      <w:r>
        <w:rPr>
          <w:rFonts w:ascii="Times New Roman" w:cs="Times New Roman" w:eastAsia="Times New Roman" w:hAnsi="Times New Roman"/>
          <w:sz w:val="14"/>
          <w:szCs w:val="14"/>
          <w:b w:val="1"/>
          <w:bCs w:val="1"/>
          <w:color w:val="auto"/>
        </w:rPr>
        <w:t>Issuance Date</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Maturity</w:t>
      </w:r>
      <w:r>
        <w:rPr>
          <w:sz w:val="20"/>
          <w:szCs w:val="20"/>
          <w:color w:val="auto"/>
        </w:rPr>
        <w:tab/>
      </w:r>
      <w:r>
        <w:rPr>
          <w:rFonts w:ascii="Times New Roman" w:cs="Times New Roman" w:eastAsia="Times New Roman" w:hAnsi="Times New Roman"/>
          <w:sz w:val="14"/>
          <w:szCs w:val="14"/>
          <w:b w:val="1"/>
          <w:bCs w:val="1"/>
          <w:color w:val="auto"/>
        </w:rPr>
        <w:t>Face Value</w:t>
      </w:r>
      <w:r>
        <w:rPr>
          <w:sz w:val="20"/>
          <w:szCs w:val="20"/>
          <w:color w:val="auto"/>
        </w:rPr>
        <w:tab/>
      </w:r>
      <w:r>
        <w:rPr>
          <w:rFonts w:ascii="Times New Roman" w:cs="Times New Roman" w:eastAsia="Times New Roman" w:hAnsi="Times New Roman"/>
          <w:sz w:val="14"/>
          <w:szCs w:val="14"/>
          <w:b w:val="1"/>
          <w:bCs w:val="1"/>
          <w:color w:val="auto"/>
        </w:rPr>
        <w:t>Interest Payment Dates</w:t>
      </w:r>
    </w:p>
    <w:p>
      <w:pPr>
        <w:sectPr>
          <w:pgSz w:w="11900" w:h="16838" w:orient="portrait"/>
          <w:cols w:equalWidth="0" w:num="1">
            <w:col w:w="11180"/>
          </w:cols>
          <w:pgMar w:left="320" w:top="126" w:right="399" w:bottom="1440" w:gutter="0" w:footer="0" w:header="0"/>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November 14, 2025</w:t>
            </w:r>
          </w:p>
        </w:tc>
        <w:tc>
          <w:tcPr>
            <w:tcW w:w="100" w:type="dxa"/>
            <w:vAlign w:val="bottom"/>
          </w:tcPr>
          <w:p>
            <w:pPr>
              <w:spacing w:after="0"/>
              <w:rPr>
                <w:sz w:val="16"/>
                <w:szCs w:val="16"/>
                <w:color w:val="auto"/>
              </w:rPr>
            </w:pPr>
          </w:p>
        </w:tc>
        <w:tc>
          <w:tcPr>
            <w:tcW w:w="34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4.70% senior notes issued at 99.872% of face</w:t>
            </w:r>
          </w:p>
        </w:tc>
        <w:tc>
          <w:tcPr>
            <w:tcW w:w="100" w:type="dxa"/>
            <w:vAlign w:val="bottom"/>
          </w:tcPr>
          <w:p>
            <w:pPr>
              <w:spacing w:after="0"/>
              <w:rPr>
                <w:sz w:val="16"/>
                <w:szCs w:val="16"/>
                <w:color w:val="auto"/>
              </w:rPr>
            </w:pPr>
          </w:p>
        </w:tc>
        <w:tc>
          <w:tcPr>
            <w:tcW w:w="15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January 2031</w:t>
            </w:r>
          </w:p>
        </w:tc>
        <w:tc>
          <w:tcPr>
            <w:tcW w:w="100" w:type="dxa"/>
            <w:vAlign w:val="bottom"/>
          </w:tcPr>
          <w:p>
            <w:pPr>
              <w:spacing w:after="0"/>
              <w:rPr>
                <w:sz w:val="16"/>
                <w:szCs w:val="16"/>
                <w:color w:val="auto"/>
              </w:rPr>
            </w:pPr>
          </w:p>
        </w:tc>
        <w:tc>
          <w:tcPr>
            <w:tcW w:w="320" w:type="dxa"/>
            <w:vAlign w:val="bottom"/>
            <w:tcBorders>
              <w:top w:val="single" w:sz="8" w:color="auto"/>
            </w:tcBorders>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84"/>
        </w:trPr>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14, 2025</w:t>
            </w:r>
          </w:p>
        </w:tc>
        <w:tc>
          <w:tcPr>
            <w:tcW w:w="3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5.60% senior notes issued at 100.518% of face</w:t>
            </w: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January 2036</w:t>
            </w:r>
          </w:p>
        </w:tc>
        <w:tc>
          <w:tcPr>
            <w:tcW w:w="3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84"/>
        </w:trPr>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8, 2025</w:t>
            </w:r>
          </w:p>
        </w:tc>
        <w:tc>
          <w:tcPr>
            <w:tcW w:w="3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4.70% senior notes issued at 99.865% of face</w:t>
            </w: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January 2031</w:t>
            </w:r>
          </w:p>
        </w:tc>
        <w:tc>
          <w:tcPr>
            <w:tcW w:w="3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84"/>
        </w:trPr>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September 8, 2025</w:t>
            </w:r>
          </w:p>
        </w:tc>
        <w:tc>
          <w:tcPr>
            <w:tcW w:w="3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5.60% senior notes issued at 99.798% of face</w:t>
            </w: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January 2036</w:t>
            </w:r>
          </w:p>
        </w:tc>
        <w:tc>
          <w:tcPr>
            <w:tcW w:w="3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January 15 and July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84"/>
        </w:trPr>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15, 2025</w:t>
            </w:r>
          </w:p>
        </w:tc>
        <w:tc>
          <w:tcPr>
            <w:tcW w:w="3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5.95% senior notes issued at 99.761% of face</w:t>
            </w:r>
          </w:p>
        </w:tc>
        <w:tc>
          <w:tcPr>
            <w:tcW w:w="16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June 2035</w:t>
            </w:r>
          </w:p>
        </w:tc>
        <w:tc>
          <w:tcPr>
            <w:tcW w:w="3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June 15 and December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184"/>
        </w:trPr>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June 27, 2024</w:t>
            </w:r>
          </w:p>
        </w:tc>
        <w:tc>
          <w:tcPr>
            <w:tcW w:w="35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5.70% senior notes issued at 99.953% of face</w:t>
            </w:r>
          </w:p>
        </w:tc>
        <w:tc>
          <w:tcPr>
            <w:tcW w:w="16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September 2034</w:t>
            </w:r>
          </w:p>
        </w:tc>
        <w:tc>
          <w:tcPr>
            <w:tcW w:w="320" w:type="dxa"/>
            <w:vAlign w:val="bottom"/>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6"/>
                <w:szCs w:val="16"/>
                <w:color w:val="auto"/>
              </w:rPr>
            </w:pPr>
          </w:p>
        </w:tc>
        <w:tc>
          <w:tcPr>
            <w:tcW w:w="2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March 15 and September 15</w:t>
            </w:r>
          </w:p>
        </w:tc>
      </w:tr>
      <w:tr>
        <w:trPr>
          <w:trHeight w:val="234"/>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-1597025</wp:posOffset>
            </wp:positionV>
            <wp:extent cx="7132320" cy="274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-1056640</wp:posOffset>
            </wp:positionV>
            <wp:extent cx="7132320"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265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24599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167" w:lineRule="exact"/>
        <w:rPr>
          <w:sz w:val="20"/>
          <w:szCs w:val="20"/>
          <w:color w:val="auto"/>
        </w:rPr>
      </w:pPr>
    </w:p>
    <w:p>
      <w:pPr>
        <w:sectPr>
          <w:pgSz w:w="11900" w:h="16838" w:orient="portrait"/>
          <w:cols w:equalWidth="0" w:num="2">
            <w:col w:w="10900" w:space="20"/>
            <w:col w:w="260"/>
          </w:cols>
          <w:pgMar w:left="320" w:top="126" w:right="39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issuance of our 4.70% senior notes due 2031 that were issued on September 8, 2025, and trade interchangeably with such notes.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issuance of our 5.60% senior notes due 2036 that were issued on September 8, 2025, and trade interchangeably with such notes.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Senior Notes Repayments. </w:t>
      </w:r>
      <w:r>
        <w:rPr>
          <w:rFonts w:ascii="Times New Roman" w:cs="Times New Roman" w:eastAsia="Times New Roman" w:hAnsi="Times New Roman"/>
          <w:sz w:val="18"/>
          <w:szCs w:val="18"/>
          <w:color w:val="auto"/>
        </w:rPr>
        <w:t>During the three years ended December 31, 2025, we repaid the following senior unsecured notes in full:</w:t>
      </w:r>
    </w:p>
    <w:p>
      <w:pPr>
        <w:spacing w:after="0" w:line="200" w:lineRule="exact"/>
        <w:rPr>
          <w:sz w:val="20"/>
          <w:szCs w:val="20"/>
          <w:color w:val="auto"/>
        </w:rPr>
      </w:pPr>
    </w:p>
    <w:p>
      <w:pPr>
        <w:sectPr>
          <w:pgSz w:w="11900" w:h="16838" w:orient="portrait"/>
          <w:cols w:equalWidth="0" w:num="2">
            <w:col w:w="140" w:space="500"/>
            <w:col w:w="10540"/>
          </w:cols>
          <w:pgMar w:left="320" w:top="126" w:right="399" w:bottom="1440" w:gutter="0" w:footer="0" w:header="0"/>
          <w:type w:val="continuous"/>
        </w:sectPr>
      </w:pPr>
    </w:p>
    <w:p>
      <w:pPr>
        <w:spacing w:after="0" w:line="88" w:lineRule="exact"/>
        <w:rPr>
          <w:sz w:val="20"/>
          <w:szCs w:val="20"/>
          <w:color w:val="auto"/>
        </w:rPr>
      </w:pPr>
    </w:p>
    <w:p>
      <w:pPr>
        <w:ind w:left="620"/>
        <w:spacing w:after="0"/>
        <w:tabs>
          <w:tab w:leader="none" w:pos="4700" w:val="left"/>
          <w:tab w:leader="none" w:pos="8940" w:val="left"/>
        </w:tabs>
        <w:rPr>
          <w:sz w:val="20"/>
          <w:szCs w:val="20"/>
          <w:color w:val="auto"/>
        </w:rPr>
      </w:pPr>
      <w:r>
        <w:rPr>
          <w:rFonts w:ascii="Times New Roman" w:cs="Times New Roman" w:eastAsia="Times New Roman" w:hAnsi="Times New Roman"/>
          <w:sz w:val="14"/>
          <w:szCs w:val="14"/>
          <w:b w:val="1"/>
          <w:bCs w:val="1"/>
          <w:color w:val="auto"/>
        </w:rPr>
        <w:t>Repayment Date</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Maturity</w:t>
      </w:r>
    </w:p>
    <w:p>
      <w:pPr>
        <w:sectPr>
          <w:pgSz w:w="11900" w:h="16838" w:orient="portrait"/>
          <w:cols w:equalWidth="0" w:num="1">
            <w:col w:w="11180"/>
          </w:cols>
          <w:pgMar w:left="320" w:top="126" w:right="399" w:bottom="1440" w:gutter="0" w:footer="0" w:header="0"/>
          <w:type w:val="continuous"/>
        </w:sectPr>
      </w:pP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October 3,</w:t>
            </w:r>
          </w:p>
        </w:tc>
        <w:tc>
          <w:tcPr>
            <w:tcW w:w="1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 million 4.65% senior notes</w:t>
            </w:r>
          </w:p>
        </w:tc>
        <w:tc>
          <w:tcPr>
            <w:tcW w:w="120" w:type="dxa"/>
            <w:vAlign w:val="bottom"/>
          </w:tcPr>
          <w:p>
            <w:pPr>
              <w:spacing w:after="0"/>
              <w:rPr>
                <w:sz w:val="20"/>
                <w:szCs w:val="20"/>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r>
      <w:tr>
        <w:trPr>
          <w:trHeight w:val="23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November</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1, 2024</w:t>
            </w:r>
          </w:p>
        </w:tc>
        <w:tc>
          <w:tcPr>
            <w:tcW w:w="120" w:type="dxa"/>
            <w:vAlign w:val="bottom"/>
          </w:tcPr>
          <w:p>
            <w:pPr>
              <w:spacing w:after="0"/>
              <w:rPr>
                <w:sz w:val="20"/>
                <w:szCs w:val="20"/>
                <w:color w:val="auto"/>
              </w:rPr>
            </w:pPr>
          </w:p>
        </w:tc>
        <w:tc>
          <w:tcPr>
            <w:tcW w:w="5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$750 million 3.60% senior notes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13" w:lineRule="exact"/>
        <w:rPr>
          <w:sz w:val="20"/>
          <w:szCs w:val="20"/>
          <w:color w:val="auto"/>
        </w:rPr>
      </w:pPr>
    </w:p>
    <w:p>
      <w:pPr>
        <w:sectPr>
          <w:pgSz w:w="11900" w:h="16838" w:orient="portrait"/>
          <w:cols w:equalWidth="0" w:num="2">
            <w:col w:w="10580" w:space="120"/>
            <w:col w:w="480"/>
          </w:cols>
          <w:pgMar w:left="320" w:top="126" w:right="39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20" w:hanging="11"/>
        <w:spacing w:after="0" w:line="282" w:lineRule="auto"/>
        <w:rPr>
          <w:sz w:val="20"/>
          <w:szCs w:val="20"/>
          <w:color w:val="auto"/>
        </w:rPr>
      </w:pPr>
      <w:r>
        <w:rPr>
          <w:rFonts w:ascii="Times New Roman" w:cs="Times New Roman" w:eastAsia="Times New Roman" w:hAnsi="Times New Roman"/>
          <w:sz w:val="18"/>
          <w:szCs w:val="18"/>
          <w:color w:val="auto"/>
        </w:rPr>
        <w:t>We repaid these senior notes with a combination of proceeds from our senior notes issued in September 2025, cash on hand and borrowings under our commercial paper program.</w:t>
      </w:r>
    </w:p>
    <w:p>
      <w:pPr>
        <w:spacing w:after="0" w:line="54" w:lineRule="exact"/>
        <w:rPr>
          <w:sz w:val="20"/>
          <w:szCs w:val="20"/>
          <w:color w:val="auto"/>
        </w:rPr>
      </w:pPr>
    </w:p>
    <w:p>
      <w:pPr>
        <w:ind w:right="180" w:hanging="11"/>
        <w:spacing w:after="0" w:line="282" w:lineRule="auto"/>
        <w:rPr>
          <w:sz w:val="20"/>
          <w:szCs w:val="20"/>
          <w:color w:val="auto"/>
        </w:rPr>
      </w:pPr>
      <w:r>
        <w:rPr>
          <w:rFonts w:ascii="Times New Roman" w:cs="Times New Roman" w:eastAsia="Times New Roman" w:hAnsi="Times New Roman"/>
          <w:sz w:val="18"/>
          <w:szCs w:val="18"/>
          <w:color w:val="auto"/>
        </w:rPr>
        <w:t>We repaid these senior notes with a combination of proceeds from our senior notes issued in June 2024, cash on hand and borrowings under our commercial paper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Maturities</w:t>
      </w:r>
    </w:p>
    <w:p>
      <w:pPr>
        <w:spacing w:after="0" w:line="200" w:lineRule="exact"/>
        <w:rPr>
          <w:sz w:val="20"/>
          <w:szCs w:val="20"/>
          <w:color w:val="auto"/>
        </w:rPr>
      </w:pPr>
    </w:p>
    <w:p>
      <w:pPr>
        <w:sectPr>
          <w:pgSz w:w="11900" w:h="16838" w:orient="portrait"/>
          <w:cols w:equalWidth="0" w:num="2">
            <w:col w:w="140" w:space="520"/>
            <w:col w:w="10520"/>
          </w:cols>
          <w:pgMar w:left="320" w:top="126" w:right="399" w:bottom="1440" w:gutter="0" w:footer="0" w:header="0"/>
          <w:type w:val="continuous"/>
        </w:sectPr>
      </w:pPr>
    </w:p>
    <w:p>
      <w:pPr>
        <w:spacing w:after="0" w:line="54"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maturity of our senior notes outstanding at December 31, 2025 was approximately 10 years. The following table presents the aggregate contractually scheduled maturities of such senior notes for the next five years and thereafter. The amounts presented exclude unamortized discounts and debt issuance costs.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Calendar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Payment</w:t>
      </w:r>
    </w:p>
    <w:p>
      <w:pPr>
        <w:spacing w:after="0" w:line="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1" w:lineRule="exact"/>
        <w:rPr>
          <w:sz w:val="20"/>
          <w:szCs w:val="20"/>
          <w:color w:val="auto"/>
        </w:rPr>
      </w:pPr>
    </w:p>
    <w:p>
      <w:pPr>
        <w:sectPr>
          <w:pgSz w:w="11900" w:h="16838" w:orient="portrait"/>
          <w:cols w:equalWidth="0" w:num="2">
            <w:col w:w="9440" w:space="720"/>
            <w:col w:w="1080"/>
          </w:cols>
          <w:pgMar w:left="320" w:top="126" w:right="339" w:bottom="1440" w:gutter="0" w:footer="0" w:header="0"/>
        </w:sectPr>
      </w:pPr>
    </w:p>
    <w:tbl>
      <w:tblPr>
        <w:tblLayout w:type="fixed"/>
        <w:tblInd w:w="0" w:type="dxa"/>
        <w:tblCellMar>
          <w:top w:w="0" w:type="dxa"/>
          <w:left w:w="0" w:type="dxa"/>
          <w:bottom w:w="0" w:type="dxa"/>
          <w:right w:w="0" w:type="dxa"/>
        </w:tblCellMar>
      </w:tblPr>
      <w:tr>
        <w:trPr>
          <w:trHeight w:val="233"/>
        </w:trPr>
        <w:tc>
          <w:tcPr>
            <w:tcW w:w="9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9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Compliance</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credit agreements for our revolving credit facilities (which impact our ability to access our commercial paper program because they provide the financial backstop that supports our short-term credit ratings), the term loan agreement and the indentures governing our senior notes contain cross-default provisions. Our credit agreements prohibit declaration or payments of distributions on, or purchases or redemptions of, units if any default or event of default is continuing. In addition, the agreements contain various covenants limiting our ability to, among other things:</w:t>
      </w:r>
    </w:p>
    <w:p>
      <w:pPr>
        <w:spacing w:after="0" w:line="207" w:lineRule="exact"/>
        <w:rPr>
          <w:sz w:val="20"/>
          <w:szCs w:val="20"/>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certain property;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finance leases;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our assets or enter into a merger or consolidation;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agreements for our senior unsecured revolving credit facility and senior secured hedged inventory facility and the term loan agreement treat a change of control as an event of default and also require us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14"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default under our credit agreements, term loan agreement or indentures would permit the lenders to accelerate the maturity of the outstanding debt. As long as we are in compliance with the provisions contained in our credit agreements and term loan agreement, our ability to make distributions of available cash is not restricted. As of December 31, 2025, we were in compliance with the covenants contained in our credit agreements, term loan agreement and indentures.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Total borrowings under our credit facilities and commercial paper program for the years ended December 31, 2025, 2024 and 2023 were approximately $56.4 billion, $28.1 billion and $18.1 billion, respectively. Total repayments under our credit facilities and commercial paper program were approximately $55.8 billion, $28.1 billion and $17.7 billion for the years ended December 31, 2025, 2024 and 2023, respectively. The variance in total gross borrowings and repayments is impacted by various business and financial factors including, but not limited to, the timing, average term and method of general partnership borrowing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crude oil or NGL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2025 and 2024, we had outstanding letters of credit of $95 million and $90 million, respectively.</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12—Partners’ Capital and Distributions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2025, partners’ capital consisted of outstanding common units and Series A and Series B preferred units, which represent limited partner interests in us and which give the holders thereof the right to participate in distributions and to exercise the other rights or privileges as outlined in our partnership agreement. Our general partner has a non-economic interest in us.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A Preferred Units</w:t>
      </w:r>
    </w:p>
    <w:p>
      <w:pPr>
        <w:spacing w:after="0" w:line="2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Series A preferred units were issued in a private placement in 2016 at a price of $26.25 per unit (the “Issue Price”). The Series A preferred units represent limited partner interests in us, rank pari passu with our Series B preferred units, and senior to our common units and to each other class or series of our equity securities with respect to distribution rights and rights upon liquidation. The holders of the Series A preferred units receive cumulative quarterly distributions, subject to customary antidilution adjustments, to unitholders of record within 45 days following the end of each quarter.</w:t>
      </w:r>
    </w:p>
    <w:p>
      <w:pPr>
        <w:spacing w:after="0" w:line="20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initial Series A preferred unit distribution was equal to $0.525 per unit ($2.10 per unit annualized). After the fifth anniversary of the January 28, 2016 issuance date (the “Issuance Date”) of the Series A preferred units, the holders of the Series A preferred units, acting by majority vote, had the option to make a one-time election to reset the Series A preferred unit distribution rate to equal the then applicable rate of ten-year U.S. Treasury Securities plus 5.85% (the “Preferred Distribution Rate Reset Option”). The Preferred Distribution Rate Reset Option was accounted for as an embedded derivative. See Note 13 for additional information regarding the Preferred Distribution Rate Reset Option. In January 2023, the Series A preferred unitholders elected the Preferred Distribution Rate Reset Option. Effective January 31, 2023, the new Series A preferred unit distribution rate is equal to 9.375% per annum of the original Issue Price (approximately $2.46 per unit annualized). The quarterly distribution paid in May 2023 reflected a pro-rated amount of approximately $0.585 per unit.</w:t>
      </w:r>
    </w:p>
    <w:p>
      <w:pPr>
        <w:spacing w:after="0" w:line="2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may redeem all or any portion of the outstanding Series A preferred units (subject to certain redemption size limitations and limited to two redemption transactions) in exchange for cash, common units (valued at 95% of the volume-weighted average price of our common units for a trading period specified in our partnership agreement) or a combination of cash and common units at a redemption price equal to 110% of the Issue Price, plus any accrued and unpaid distributions. The holders may convert their Series A preferred units into common units, generally on a one-for-one basis and subject to customary anti-dilution adjustments, at any time, in whole or in part, subject to certain minimum conversion amounts (and not more often than once per quarter). The Series A preferred units vote on an as-converted basis with our common units on the election of directors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 Series A preferred units into common units at the then applicable conversion rate.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31, 2025, we repurchased approximately 12.7 million of our outstanding Series A preferred units from EnCap Flatrock Midstream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Price for a purchase price of approximately $333 million, plus accrued and unpaid distributions through January 30, 2025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EnCap Flatrock Midstream is affiliated with EnCap Investments, L.P., an entity that is associated with a member of the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PAGP GP. The repurchase also resulted in a reduction to the related Preferred Distribution Rate Reset Option liability. The difference between the cash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for the repurchase of such units and their carrying value on our balance sheet was $43 million. Such amount was considered a return to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unitholders and thus reduced amounts attributable to our common unitholders in our Consolidated Statement of Changes in Partners’ Capital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net income per common unit.</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Series B Preferred Units</w:t>
      </w:r>
    </w:p>
    <w:p>
      <w:pPr>
        <w:spacing w:after="0" w:line="25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Series B Fixed-to-Floating Rate Cumulative Redeemable Perpetual Preferred Units representing limited partner interests in us (the “Series B preferred units”) were issued in 2017 at a price to the public of $1,000 per unit. Our Series B preferred units represent perpetual equity interests in us,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 The Series B preferred units rank, as to the payment of distributions and amounts payable on a liquidation event, pari passu with our outstanding Series A preferred units and senior to our common units.</w:t>
      </w:r>
    </w:p>
    <w:p>
      <w:pPr>
        <w:spacing w:after="0" w:line="21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Series B preferred units have a liquidation preference of $1,000 per unit. Holders of our Series B preferred units are entitled to receive, when, as and if declared by our general partner out of legally available funds for such purpose, cumulative semiannual or quarterly cash distributions, as applicable. Through November 15, 2022, distributions on the Series B preferred units were paid semiannually in arrears on the 15th day of May and November. After November 15, 2022, distributions are payable quarterly in arrears on the 15th day of February, May, August and November of each year (or on the immediately succeeding Business Day). The initial distribution rate for the Series B preferred units from and including October 10, 2017 to, but not including, November 15, 2022 was 6.125% per year of the liquidation preference per unit (equal to $61.25 per unit per year). From November 15, 2022 through August 14, 2023, distributions on the Series B preferred units accumulated for each distribution period at a percentage of the liquidation preference equal to the applicable three-month LIBOR plus a spread of 4.11% per annum. Beginning August 15, 2023, distributions on the Series B preferred units accumulate based on the applicable three-month SOFR, plus a credit spread adjustment of 0.26161%, plus 4.11% per annum. The distribution rate for the quarterly distribution paid on February 17, 2026 was 8.22342% per annum ($21.02 per Series B preferred unit).</w:t>
      </w:r>
    </w:p>
    <w:p>
      <w:pPr>
        <w:spacing w:after="0" w:line="2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At any time,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activity for our preferred and common units: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80" w:type="dxa"/>
            <w:vAlign w:val="bottom"/>
          </w:tcPr>
          <w:p>
            <w:pPr>
              <w:spacing w:after="0"/>
              <w:rPr>
                <w:sz w:val="11"/>
                <w:szCs w:val="11"/>
                <w:color w:val="auto"/>
              </w:rPr>
            </w:pPr>
          </w:p>
        </w:tc>
        <w:tc>
          <w:tcPr>
            <w:tcW w:w="16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6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5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480" w:type="dxa"/>
            <w:vAlign w:val="bottom"/>
            <w:tcBorders>
              <w:top w:val="single" w:sz="8" w:color="CCEEFF"/>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1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698,354,498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Borders>
              <w:top w:val="single" w:sz="8" w:color="CCEEFF"/>
              <w:bottom w:val="single" w:sz="8" w:color="CCEEFF"/>
            </w:tcBorders>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2,654,251</w:t>
            </w:r>
          </w:p>
        </w:tc>
        <w:tc>
          <w:tcPr>
            <w:tcW w:w="0" w:type="dxa"/>
            <w:vAlign w:val="bottom"/>
          </w:tcPr>
          <w:p>
            <w:pPr>
              <w:spacing w:after="0"/>
              <w:rPr>
                <w:sz w:val="1"/>
                <w:szCs w:val="1"/>
                <w:color w:val="auto"/>
              </w:rPr>
            </w:pPr>
          </w:p>
        </w:tc>
      </w:tr>
      <w:tr>
        <w:trPr>
          <w:trHeight w:val="221"/>
        </w:trPr>
        <w:tc>
          <w:tcPr>
            <w:tcW w:w="6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701,008,749</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80" w:type="dxa"/>
            <w:vAlign w:val="bottom"/>
            <w:tcBorders>
              <w:top w:val="single" w:sz="8" w:color="CCEEFF"/>
              <w:bottom w:val="single" w:sz="8" w:color="CCEEFF"/>
            </w:tcBorders>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2,761,551</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703,770,300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Repurchase of Series A preferred units</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tcBorders>
              <w:top w:val="single" w:sz="8" w:color="CCEEFF"/>
            </w:tcBorders>
            <w:vMerge w:val="continue"/>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(12,678,560)</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4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Repurchase and cancellation of common units under the Common Equity Repurchase</w:t>
            </w: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Program</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2,227,092</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705,520,697</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Common Equity Repurchase Program. </w:t>
      </w:r>
      <w:r>
        <w:rPr>
          <w:rFonts w:ascii="Times New Roman" w:cs="Times New Roman" w:eastAsia="Times New Roman" w:hAnsi="Times New Roman"/>
          <w:sz w:val="18"/>
          <w:szCs w:val="18"/>
          <w:color w:val="auto"/>
        </w:rPr>
        <w:t>In November 2020, the board of directors of PAGP GP approved a $500 million common equity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(the “Program”) to be utilized as an additional method of returning capital to investors. The Program authorizes the repurchase from time to time of up to $500 million of our common units and/or PAGP Class A shares via open market purchases or negotiated transactions conducted in accordance with applicable regulatory requirements. No time limit has been set for completion of the Program, and the Program may be suspended or discontinued at any time. The Program does not obligate us or PAGP to acquire a particular number of common units or PAGP Class A shares. Any common units or PAGP Class A shares that are repurchased will be canceled. PAGP Class C shares held by us associated with any publicly held common units that are repurchased will also be canceled. See Note 17 for additional information regarding our ownership of PAGP Class C shares.</w:t>
      </w:r>
    </w:p>
    <w:p>
      <w:pPr>
        <w:spacing w:after="0" w:line="21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repurchased common units under the Program through open market purchases for a total purchase price of $8 million, including commissions and fees. The repurchased common units were canceled immediately upon acquisition, as were the PAGP Class C shares held by us associated with the repurchased common units. There were no repurchases under the Program during the years ended December 31, 2024 or 2023. At December 31, 2025, the remaining available capacity under the Program was $190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Allocation</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allocate net income for partners’ capital presentation purposes by applying the allocation methodology in our partnership agreement. Net income is allocated 100% to our common unitholders, after giving effect to income allocations for cash distributions to our Series A preferred unitholders and guaranteed payments attributable to our Series B preferred unitholders.</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For purposes of determining basic and diluted net income per common unit, income is allocated as prescribed in FASB guidance for calculating earnings per unit, including a deduction to income available to common unitholders for distributions attributable to the period on our Series A and Series B preferred units. See Note 5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Unitholders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available cash also includes cash on hand resulting from borrowings made after the end of the quarter.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Unit Distributions</w:t>
      </w:r>
    </w:p>
    <w:p>
      <w:pPr>
        <w:spacing w:after="0" w:line="254"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 Distributions. </w:t>
      </w:r>
      <w:r>
        <w:rPr>
          <w:rFonts w:ascii="Times New Roman" w:cs="Times New Roman" w:eastAsia="Times New Roman" w:hAnsi="Times New Roman"/>
          <w:sz w:val="18"/>
          <w:szCs w:val="18"/>
          <w:color w:val="auto"/>
        </w:rPr>
        <w:t>The following table details distributions paid to our Series A preferred unitholders during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millions,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gridSpan w:val="5"/>
          </w:tcPr>
          <w:p>
            <w:pPr>
              <w:jc w:val="right"/>
              <w:ind w:right="1199"/>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gridSpan w:val="3"/>
            <w:vMerge w:val="continue"/>
          </w:tcPr>
          <w:p>
            <w:pPr>
              <w:spacing w:after="0"/>
              <w:rPr>
                <w:sz w:val="16"/>
                <w:szCs w:val="16"/>
                <w:color w:val="auto"/>
              </w:rPr>
            </w:pPr>
          </w:p>
        </w:tc>
        <w:tc>
          <w:tcPr>
            <w:tcW w:w="208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1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right w:val="single" w:sz="8" w:color="auto"/>
            </w:tcBorders>
          </w:tcPr>
          <w:p>
            <w:pPr>
              <w:spacing w:after="0"/>
              <w:rPr>
                <w:sz w:val="19"/>
                <w:szCs w:val="19"/>
                <w:color w:val="auto"/>
              </w:rPr>
            </w:pPr>
          </w:p>
        </w:tc>
        <w:tc>
          <w:tcPr>
            <w:tcW w:w="2200" w:type="dxa"/>
            <w:vAlign w:val="bottom"/>
            <w:gridSpan w:val="2"/>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89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right w:val="single" w:sz="8" w:color="auto"/>
            </w:tcBorders>
            <w:shd w:val="clear" w:color="auto" w:fill="CCEEFF"/>
          </w:tcPr>
          <w:p>
            <w:pPr>
              <w:spacing w:after="0"/>
              <w:rPr>
                <w:sz w:val="19"/>
                <w:szCs w:val="19"/>
                <w:color w:val="auto"/>
              </w:rPr>
            </w:pPr>
          </w:p>
        </w:tc>
        <w:tc>
          <w:tcPr>
            <w:tcW w:w="2200" w:type="dxa"/>
            <w:vAlign w:val="bottom"/>
            <w:gridSpan w:val="2"/>
            <w:shd w:val="clear" w:color="auto" w:fill="CCEEFF"/>
          </w:tcPr>
          <w:p>
            <w:pPr>
              <w:jc w:val="right"/>
              <w:ind w:right="19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60" w:hanging="652"/>
        <w:spacing w:after="0" w:line="229" w:lineRule="auto"/>
        <w:tabs>
          <w:tab w:leader="none" w:pos="648" w:val="left"/>
        </w:tabs>
        <w:numPr>
          <w:ilvl w:val="0"/>
          <w:numId w:val="7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our repurchase of approximately 12.7 million of our outstanding Series A preferred units in January 2025, we paid accrued and unpaid distributions through January 30, 2025 of approximately $10 million.</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On February 13, 2026, we paid a cash distribution of $36 million to our Series A preferred unitholders outstanding as of January 30, 2026. At December 31, 2025, such amount was accrued as distributions payable in “Other current liabilities”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5" w:lineRule="exact"/>
        <w:rPr>
          <w:sz w:val="20"/>
          <w:szCs w:val="20"/>
          <w:color w:val="auto"/>
        </w:rPr>
      </w:pPr>
    </w:p>
    <w:p>
      <w:pPr>
        <w:ind w:right="7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 Distributions. </w:t>
      </w:r>
      <w:r>
        <w:rPr>
          <w:rFonts w:ascii="Times New Roman" w:cs="Times New Roman" w:eastAsia="Times New Roman" w:hAnsi="Times New Roman"/>
          <w:sz w:val="18"/>
          <w:szCs w:val="18"/>
          <w:color w:val="auto"/>
        </w:rPr>
        <w:t>The following table details distributions paid to our Series B preferred unitholders during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(in millions, except unit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00" w:type="dxa"/>
            <w:vAlign w:val="bottom"/>
            <w:gridSpan w:val="5"/>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2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120" w:type="dxa"/>
            <w:vAlign w:val="bottom"/>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right w:val="single" w:sz="8" w:color="auto"/>
            </w:tcBorders>
          </w:tcPr>
          <w:p>
            <w:pPr>
              <w:spacing w:after="0"/>
              <w:rPr>
                <w:sz w:val="19"/>
                <w:szCs w:val="19"/>
                <w:color w:val="auto"/>
              </w:rPr>
            </w:pPr>
          </w:p>
        </w:tc>
        <w:tc>
          <w:tcPr>
            <w:tcW w:w="2140" w:type="dxa"/>
            <w:vAlign w:val="bottom"/>
            <w:gridSpan w:val="2"/>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93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2140" w:type="dxa"/>
            <w:vAlign w:val="bottom"/>
            <w:gridSpan w:val="2"/>
            <w:shd w:val="clear" w:color="auto" w:fill="CCEEFF"/>
          </w:tcPr>
          <w:p>
            <w:pPr>
              <w:jc w:val="right"/>
              <w:ind w:right="1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February 17, 2026, we paid a cash distribution of $17 million ($21.02 per unit) to our Series B preferred unitholders. At December 31, 2025, approximately $9 million of accrued distributions payable to our Series B preferred unitholders was included in “Other current liabilities” on our Consolidated Balance Sheet.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Unit Distributions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common unitholders during the years presented (in millions, except per unit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Distributions Paid</w:t>
            </w:r>
          </w:p>
        </w:tc>
        <w:tc>
          <w:tcPr>
            <w:tcW w:w="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Distributions per</w:t>
            </w:r>
          </w:p>
        </w:tc>
        <w:tc>
          <w:tcPr>
            <w:tcW w:w="0" w:type="dxa"/>
            <w:vAlign w:val="bottom"/>
          </w:tcPr>
          <w:p>
            <w:pPr>
              <w:spacing w:after="0"/>
              <w:rPr>
                <w:sz w:val="1"/>
                <w:szCs w:val="1"/>
                <w:color w:val="auto"/>
              </w:rPr>
            </w:pPr>
          </w:p>
        </w:tc>
      </w:tr>
      <w:tr>
        <w:trPr>
          <w:trHeight w:val="23"/>
        </w:trPr>
        <w:tc>
          <w:tcPr>
            <w:tcW w:w="2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300" w:type="dxa"/>
            <w:vAlign w:val="bottom"/>
          </w:tcPr>
          <w:p>
            <w:pPr>
              <w:spacing w:after="0"/>
              <w:rPr>
                <w:sz w:val="16"/>
                <w:szCs w:val="16"/>
                <w:color w:val="auto"/>
              </w:rPr>
            </w:pPr>
          </w:p>
        </w:tc>
        <w:tc>
          <w:tcPr>
            <w:tcW w:w="1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AAP</w:t>
            </w:r>
          </w:p>
        </w:tc>
        <w:tc>
          <w:tcPr>
            <w:tcW w:w="520" w:type="dxa"/>
            <w:vAlign w:val="bottom"/>
          </w:tcPr>
          <w:p>
            <w:pPr>
              <w:spacing w:after="0"/>
              <w:rPr>
                <w:sz w:val="16"/>
                <w:szCs w:val="16"/>
                <w:color w:val="auto"/>
              </w:rPr>
            </w:pPr>
          </w:p>
        </w:tc>
        <w:tc>
          <w:tcPr>
            <w:tcW w:w="17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Common Unit</w:t>
            </w:r>
          </w:p>
        </w:tc>
        <w:tc>
          <w:tcPr>
            <w:tcW w:w="0" w:type="dxa"/>
            <w:vAlign w:val="bottom"/>
          </w:tcPr>
          <w:p>
            <w:pPr>
              <w:spacing w:after="0"/>
              <w:rPr>
                <w:sz w:val="1"/>
                <w:szCs w:val="1"/>
                <w:color w:val="auto"/>
              </w:rPr>
            </w:pPr>
          </w:p>
        </w:tc>
      </w:tr>
      <w:tr>
        <w:trPr>
          <w:trHeight w:val="229"/>
        </w:trPr>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Borders>
              <w:right w:val="single" w:sz="8" w:color="auto"/>
            </w:tcBorders>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right w:val="single" w:sz="8" w:color="auto"/>
            </w:tcBorders>
            <w:shd w:val="clear" w:color="auto" w:fill="CCEEFF"/>
          </w:tcPr>
          <w:p>
            <w:pPr>
              <w:spacing w:after="0"/>
              <w:rPr>
                <w:sz w:val="19"/>
                <w:szCs w:val="19"/>
                <w:color w:val="auto"/>
              </w:rPr>
            </w:pP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On January 5, 2026, we declared a cash distribution of $0.4175 per unit on our outstanding common units. The total distribution of $295 million was paid on February 13, 2026 to unitholders of record at the close of business on January 30, 2026, for the period from October 1, 2025 through December 31, 2025. Of this amount, approximately $97 million was paid to 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noncontrolling interests in our subsidiaries consisted of (i) a 35% interest in the Permian JV, (ii) a 30% interest in Cactus II and (iii) a 33% interest in Red River Pipeline Company LLC (“Red River”).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Distributions of available cash from the Permian JV, Cactus II and Red River are paid in proportion to each owner’s interest in the entity. Cash available for distribution is cash on hand less the amount of cash required to fund normal operations and capital projects. The following table details distributions paid to noncontrolling interests during the years presented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5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156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440" w:type="dxa"/>
            <w:vAlign w:val="bottom"/>
          </w:tcPr>
          <w:p>
            <w:pPr>
              <w:spacing w:after="0"/>
              <w:rPr>
                <w:sz w:val="19"/>
                <w:szCs w:val="19"/>
                <w:color w:val="auto"/>
              </w:rPr>
            </w:pPr>
          </w:p>
        </w:tc>
        <w:tc>
          <w:tcPr>
            <w:tcW w:w="156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0"/>
        </w:trPr>
        <w:tc>
          <w:tcPr>
            <w:tcW w:w="44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13—Derivatives and Risk Management Activities</w:t>
      </w:r>
    </w:p>
    <w:p>
      <w:pPr>
        <w:spacing w:after="0" w:line="25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ind w:right="120" w:firstLine="607"/>
        <w:spacing w:after="0" w:line="289" w:lineRule="auto"/>
        <w:rPr>
          <w:sz w:val="20"/>
          <w:szCs w:val="20"/>
          <w:color w:val="auto"/>
        </w:rPr>
      </w:pPr>
      <w:r>
        <w:rPr>
          <w:rFonts w:ascii="Times New Roman" w:cs="Times New Roman" w:eastAsia="Times New Roman" w:hAnsi="Times New Roman"/>
          <w:sz w:val="17"/>
          <w:szCs w:val="17"/>
          <w:color w:val="auto"/>
        </w:rPr>
        <w:t>At December 31, 2025 and 2024,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December 31, 2025, net derivative positions related to these activities included:</w:t>
      </w:r>
    </w:p>
    <w:p>
      <w:pPr>
        <w:spacing w:after="0" w:line="54" w:lineRule="exact"/>
        <w:rPr>
          <w:sz w:val="20"/>
          <w:szCs w:val="20"/>
          <w:color w:val="auto"/>
        </w:rPr>
      </w:pPr>
    </w:p>
    <w:p>
      <w:pPr>
        <w:ind w:left="980" w:right="420" w:hanging="324"/>
        <w:spacing w:after="0" w:line="282"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5.8 million barrels associated with our crude oil purchases, which will be unwound ratably through March 2026 to match monthly average pricing.</w:t>
      </w:r>
    </w:p>
    <w:p>
      <w:pPr>
        <w:spacing w:after="0" w:line="53"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1.9 million barrels, which hedges a portion of our anticipated crude oil lease gathering purchases through April 2026.</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1.5 million barrels at multiple locations through December 2026. These derivatives allow us to lock in grade and location basis differentials.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6.9 million barrels through December 2029 related to anticipated net sales of crude oil inventory.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0.5 TWh through December 2030 related to anticipated power supply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broker receivable</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80" w:type="dxa"/>
            <w:vAlign w:val="bottom"/>
          </w:tcPr>
          <w:p>
            <w:pPr>
              <w:spacing w:after="0"/>
              <w:rPr>
                <w:sz w:val="12"/>
                <w:szCs w:val="12"/>
                <w:color w:val="auto"/>
              </w:rPr>
            </w:pPr>
          </w:p>
        </w:tc>
        <w:tc>
          <w:tcPr>
            <w:tcW w:w="21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80" w:type="dxa"/>
            <w:vAlign w:val="bottom"/>
            <w:gridSpan w:val="4"/>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80" w:type="dxa"/>
            <w:vAlign w:val="bottom"/>
          </w:tcPr>
          <w:p>
            <w:pPr>
              <w:spacing w:after="0"/>
              <w:rPr>
                <w:sz w:val="8"/>
                <w:szCs w:val="8"/>
                <w:color w:val="auto"/>
              </w:rPr>
            </w:pPr>
          </w:p>
        </w:tc>
        <w:tc>
          <w:tcPr>
            <w:tcW w:w="21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1060" w:type="dxa"/>
            <w:vAlign w:val="bottom"/>
            <w:gridSpan w:val="3"/>
            <w:vMerge w:val="restart"/>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80" w:type="dxa"/>
            <w:vAlign w:val="bottom"/>
          </w:tcPr>
          <w:p>
            <w:pPr>
              <w:spacing w:after="0"/>
              <w:rPr>
                <w:sz w:val="16"/>
                <w:szCs w:val="16"/>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5"/>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credits</w:t>
            </w:r>
          </w:p>
        </w:tc>
        <w:tc>
          <w:tcPr>
            <w:tcW w:w="7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5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we terminated $200 million of notional interest hedging instruments previously expected to terminate in October 2025 for proceeds of $7 million and $200 million of notional interest hedging instruments previously expected to terminate in June 2026 for proceeds of $30 million which were recorded in AOCI. As of December 31, 2025, there was a net loss of $29 million deferred in AOCI. The deferred net loss recorded in AOCI is expected to be reclassified to future earnings contemporaneously with interest expense accruals associated with underlying debt instruments. The early termination did not result in an impact to the relationship between the hedging instrument and hedged item. We estimate that substantially all of the remaining deferred loss will be reclassified to earnings through 2056 as the underlying hedged transactions impact earnings. A portion of these amounts is based on market prices as of December 31, 2025; thus, actual amounts to be reclassified will differ and could vary materially as a result of changes in market conditions.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gain recognized in AOCI for derivatives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 net</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31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2025, we did not have any interest rate hedges recorded on our Consolidated Balance Sheet. At December 31, 2024, the net fair value of these hedges totaled $27 million, which was included in “Other long-term assets, net” on our Consolidated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5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December 31, 2025, the sale of the Canadian NGL Business is probable and the fair value of the instrument is an $8 million asset, presented in “Other current assets” on our Consolidated Balance Sheet. For the year ended December 31, 2025, we recognized the gains of $8 million, which was included in “(Gains)/losses on asset sales, asset impairments and other, net” on our Consolidated Statements of Operations. As of December 31, 2025, for the periods covered by the instrument, the average fixed USD to CAD rate of the instrument is $1.37 and the average forward USD to CAD rate is $1.37. See Note 1 for additional information regarding the pending sale of the Canadian NGL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Distribution Rate Reset Option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January 2023, we received notice that the Series A preferred unitholders elected the Preferred Distribution Rate Reset Option. Prior to this election, the Preferred Distribution Rate Reset Option was accounted for as an embedded derivative.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embedded derivative was required to be bifurcated from the related host contract, our partnership agreement, and recorded at fair value on our Consolidated Balance Sheet. The Preferred Distribution Rate Reset Option embedded derivative was not designated in a hedging relationship for accounting purposes and corresponding changes in fair value were recognized in “Other income, net” in our Consolidated Statements of Operations. The Preferred Distribution Rate Reset Option was settled at a fair value of $131 million when we received notice that the Series A preferred unitholders elected the Preferred Distribution Rate Reset Option, which resulted in a gain of $58 million for the year ended December 31, 2023. See Note 12 for additional information regarding the Preferred Distribution Rate Reset Option.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9"/>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as of December 31, 2025</w:t>
            </w:r>
          </w:p>
        </w:tc>
        <w:tc>
          <w:tcPr>
            <w:tcW w:w="180" w:type="dxa"/>
            <w:vAlign w:val="bottom"/>
          </w:tcPr>
          <w:p>
            <w:pPr>
              <w:spacing w:after="0"/>
              <w:rPr>
                <w:sz w:val="16"/>
                <w:szCs w:val="16"/>
                <w:color w:val="auto"/>
              </w:rPr>
            </w:pPr>
          </w:p>
        </w:tc>
        <w:tc>
          <w:tcPr>
            <w:tcW w:w="2840" w:type="dxa"/>
            <w:vAlign w:val="bottom"/>
            <w:gridSpan w:val="7"/>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Fair Value as of December 31, 2024</w:t>
            </w:r>
          </w:p>
        </w:tc>
        <w:tc>
          <w:tcPr>
            <w:tcW w:w="0" w:type="dxa"/>
            <w:vAlign w:val="bottom"/>
          </w:tcPr>
          <w:p>
            <w:pPr>
              <w:spacing w:after="0"/>
              <w:rPr>
                <w:sz w:val="1"/>
                <w:szCs w:val="1"/>
                <w:color w:val="auto"/>
              </w:rPr>
            </w:pPr>
          </w:p>
        </w:tc>
      </w:tr>
      <w:tr>
        <w:trPr>
          <w:trHeight w:val="23"/>
        </w:trPr>
        <w:tc>
          <w:tcPr>
            <w:tcW w:w="5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2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gridSpan w:val="2"/>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60" w:type="dxa"/>
            <w:vAlign w:val="bottom"/>
          </w:tcPr>
          <w:p>
            <w:pPr>
              <w:jc w:val="center"/>
              <w:ind w:left="334"/>
              <w:spacing w:after="0"/>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center"/>
              <w:ind w:left="334"/>
              <w:spacing w:after="0"/>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0"/>
        </w:trPr>
        <w:tc>
          <w:tcPr>
            <w:tcW w:w="3880" w:type="dxa"/>
            <w:vAlign w:val="bottom"/>
            <w:tcBorders>
              <w:bottom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56"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198"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2</w:t>
      </w:r>
    </w:p>
    <w:p>
      <w:pPr>
        <w:spacing w:after="0" w:line="256" w:lineRule="exact"/>
        <w:rPr>
          <w:sz w:val="20"/>
          <w:szCs w:val="20"/>
          <w:color w:val="auto"/>
        </w:rPr>
      </w:pPr>
    </w:p>
    <w:p>
      <w:pPr>
        <w:ind w:left="660" w:right="12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us the use of property or equipment for a term to determine whether the agreement is or contains a lease. Significant judgment is required when determining whether we obtain the right to direct the use of identified property or equipment. We lease certain property and equipment under noncancelable and cancelable operating and finance leases. Our operating leases primarily relate to office space, land, vehicles and storage tanks, and our finance leases primarily relate to tractor trailers,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We have elected the non-lease component separation practical expedient for certain classes of assets where we are the lessee. Our lease agreements have remaining lease terms ranging from one year to approximately 55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25 years that are not recognized as part of our right-of-use assets or lease liabilities as we have determined we are not reasonably certain to exercise the option to renew.</w:t>
      </w:r>
    </w:p>
    <w:p>
      <w:pPr>
        <w:spacing w:after="0" w:line="21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components of lease cost, including both amounts recognized in income and amounts capitalized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finance lease costs, variable lease costs and sublease income.</w:t>
      </w:r>
    </w:p>
    <w:p>
      <w:pPr>
        <w:spacing w:after="0" w:line="332"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presents information related to cash flows arising from lease transactions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67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184"/>
        </w:trPr>
        <w:tc>
          <w:tcPr>
            <w:tcW w:w="6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change in lease liabilities arising from obtaining new right-of-use assets or</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4"/>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modifications:</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49"/>
        </w:trPr>
        <w:tc>
          <w:tcPr>
            <w:tcW w:w="9800" w:type="dxa"/>
            <w:vAlign w:val="bottom"/>
            <w:gridSpan w:val="10"/>
          </w:tcPr>
          <w:p>
            <w:pPr>
              <w:ind w:left="660"/>
              <w:spacing w:after="0"/>
              <w:rPr>
                <w:sz w:val="20"/>
                <w:szCs w:val="20"/>
                <w:color w:val="auto"/>
              </w:rPr>
            </w:pPr>
            <w:r>
              <w:rPr>
                <w:rFonts w:ascii="Times New Roman" w:cs="Times New Roman" w:eastAsia="Times New Roman" w:hAnsi="Times New Roman"/>
                <w:sz w:val="18"/>
                <w:szCs w:val="18"/>
                <w:color w:val="auto"/>
              </w:rPr>
              <w:t>Information related to the weighted-average remaining lease term and discount rate is presented in the table below:</w:t>
            </w: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9"/>
        </w:trPr>
        <w:tc>
          <w:tcPr>
            <w:tcW w:w="6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24"/>
                <w:szCs w:val="24"/>
                <w:color w:val="auto"/>
              </w:rPr>
            </w:pPr>
          </w:p>
        </w:tc>
      </w:tr>
      <w:tr>
        <w:trPr>
          <w:trHeight w:val="23"/>
        </w:trPr>
        <w:tc>
          <w:tcPr>
            <w:tcW w:w="6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67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our operating and finance lease right-of-use assets and liabilities on our Consolidated Balance Sheets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vMerge w:val="restart"/>
          </w:tcPr>
          <w:p>
            <w:pPr>
              <w:spacing w:after="0"/>
              <w:rPr>
                <w:sz w:val="2"/>
                <w:szCs w:val="2"/>
                <w:color w:val="auto"/>
              </w:rPr>
            </w:pPr>
          </w:p>
        </w:tc>
        <w:tc>
          <w:tcPr>
            <w:tcW w:w="4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right-of-use assets,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right-of-use assets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right-of-use assets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19"/>
                <w:szCs w:val="19"/>
                <w:color w:val="auto"/>
              </w:rPr>
            </w:pPr>
          </w:p>
        </w:tc>
        <w:tc>
          <w:tcPr>
            <w:tcW w:w="4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Long-term 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Short-term debt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22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Other long-term debt,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20" w:type="dxa"/>
            <w:vAlign w:val="bottom"/>
            <w:shd w:val="clear" w:color="auto" w:fill="CCEEFF"/>
          </w:tcPr>
          <w:p>
            <w:pPr>
              <w:spacing w:after="0"/>
              <w:rPr>
                <w:sz w:val="19"/>
                <w:szCs w:val="19"/>
                <w:color w:val="auto"/>
              </w:rPr>
            </w:pP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0"/>
        </w:trPr>
        <w:tc>
          <w:tcPr>
            <w:tcW w:w="3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4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80" w:hanging="652"/>
        <w:spacing w:after="0" w:line="229" w:lineRule="auto"/>
        <w:tabs>
          <w:tab w:leader="none" w:pos="648" w:val="left"/>
        </w:tabs>
        <w:numPr>
          <w:ilvl w:val="0"/>
          <w:numId w:val="7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right-of-use assets of $23 million and $26 million and lease liabilities of $32 million and $33 million as of December 31, 2025 and 2024, respectively, associated with leased storage tanks owned by an equity method investee, in which we own a 50%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maturity of undiscounted cash flows for future minimum lease payments under noncancelable leases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reconciled to our lease liabilities on our Consolidated Balance Sheet (amounts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9"/>
                <w:szCs w:val="9"/>
                <w:b w:val="1"/>
                <w:bCs w:val="1"/>
                <w:color w:val="auto"/>
              </w:rPr>
              <w:t>(2)</w:t>
            </w:r>
          </w:p>
        </w:tc>
      </w:tr>
      <w:tr>
        <w:trPr>
          <w:trHeight w:val="23"/>
        </w:trPr>
        <w:tc>
          <w:tcPr>
            <w:tcW w:w="388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26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Future minimum lease payments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3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4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Excludes future minimum payments for short-term and other immaterial leases not included on our Consolidated Balance Sheet.</w:t>
      </w:r>
    </w:p>
    <w:p>
      <w:pPr>
        <w:spacing w:after="0" w:line="117" w:lineRule="exact"/>
        <w:rPr>
          <w:sz w:val="20"/>
          <w:szCs w:val="20"/>
          <w:color w:val="auto"/>
        </w:rPr>
      </w:pPr>
    </w:p>
    <w:p>
      <w:pPr>
        <w:ind w:left="20" w:right="720" w:hanging="11"/>
        <w:spacing w:after="0" w:line="282" w:lineRule="auto"/>
        <w:rPr>
          <w:sz w:val="20"/>
          <w:szCs w:val="20"/>
          <w:color w:val="auto"/>
        </w:rPr>
      </w:pPr>
      <w:r>
        <w:rPr>
          <w:rFonts w:ascii="Times New Roman" w:cs="Times New Roman" w:eastAsia="Times New Roman" w:hAnsi="Times New Roman"/>
          <w:sz w:val="18"/>
          <w:szCs w:val="18"/>
          <w:color w:val="auto"/>
        </w:rPr>
        <w:t>Includes payments of approximately $6 million for each of the years ending 2026 through 2030 and approximately $33 million thereafter associated with leased storage tanks owned by an equity method investee, in which we own a 50% interest.</w:t>
      </w:r>
    </w:p>
    <w:p>
      <w:pPr>
        <w:spacing w:after="0" w:line="185"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evaluate all agreements entered into or modified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We have elected the non-lease component separation practical expedient for all classes of assets where we are the lessor.</w:t>
      </w:r>
    </w:p>
    <w:p>
      <w:pPr>
        <w:spacing w:after="0" w:line="20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enter into agreements to conduct activities associated with (i) providing storage services primarily for crude oil and (ii) transporting crude oil.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lease revenue for the periods indicated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revenue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2"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are included in “Services revenues” on our Consolidated Statements of Operations.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table below presents the maturity of lease payments for operating lease agreements in effect as of December 31, 2025. This presentation includes minimum fixed lease payments and does not include an estimate of variable lease consideration. These agreements have remaining lease terms ranging from one year to 6 years. The following table presents the undiscounted cash flows expected to be received related to these agreements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3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Future minimum lease revenue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15—Income Taxes</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2025 and 2024,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and State Taxes</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an MLP, we are not subject to U.S. federal income taxes; rather the tax effect of our operations is passed through to our unitholders. Although we are subject to state income taxes in some states, the impact to the years ended December 31, 2025, 2024, and 2023 was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Federal and Provincial Taxes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All of our Canadian operations are conducted by entities that are treated as corporations for Canadian tax purposes (flow through for U.S. income tax purposes) and thus are subject to Canadian federal and provincial taxes. Additionally, payments of interest and dividends from our Canadian entities to other Plains entities are subject to Canadian withholding tax that is treated as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Components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Pre-tax book income by geography is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pre-tax book income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Components of income tax expense are as follows (in millions):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expense/(benefit):</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income tax</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and withholding taxes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Canadian federal and provincial income and withholding taxes</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expense/(benefit)</w:t>
            </w:r>
          </w:p>
        </w:tc>
        <w:tc>
          <w:tcPr>
            <w:tcW w:w="90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 expense based on the statutory federal income tax rate and our effective income tax expense is summarized as follows (in millions, except percentages):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91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196"/>
        </w:trPr>
        <w:tc>
          <w:tcPr>
            <w:tcW w:w="38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70"/>
        </w:trPr>
        <w:tc>
          <w:tcPr>
            <w:tcW w:w="3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4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0.15 %</w:t>
            </w:r>
          </w:p>
        </w:tc>
      </w:tr>
      <w:tr>
        <w:trPr>
          <w:trHeight w:val="270"/>
        </w:trPr>
        <w:tc>
          <w:tcPr>
            <w:tcW w:w="3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9"/>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Provincial taxes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4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0.29 %</w:t>
            </w:r>
          </w:p>
        </w:tc>
      </w:tr>
      <w:tr>
        <w:trPr>
          <w:trHeight w:val="270"/>
        </w:trPr>
        <w:tc>
          <w:tcPr>
            <w:tcW w:w="38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Nontaxable income - U.S. partnership income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70"/>
        </w:trPr>
        <w:tc>
          <w:tcPr>
            <w:tcW w:w="388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r>
      <w:tr>
        <w:trPr>
          <w:trHeight w:val="24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171" w:lineRule="exact"/>
        <w:rPr>
          <w:sz w:val="20"/>
          <w:szCs w:val="20"/>
          <w:color w:val="auto"/>
        </w:rPr>
      </w:pPr>
    </w:p>
    <w:p>
      <w:pPr>
        <w:ind w:left="660" w:right="120" w:hanging="652"/>
        <w:spacing w:after="0" w:line="229" w:lineRule="auto"/>
        <w:tabs>
          <w:tab w:leader="none" w:pos="648"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state and local income tax category of the rate reconciliation is primarily comprised of income taxes in Texas, which represents more than 50 percent of the state and local tax effect.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taxes paid were as follows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state income tax paid</w:t>
            </w: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federal and provincial income and withholding taxes</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6"/>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tax paid</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aggregated by the applicable tax paying entity and jurisdiction and result from the following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8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in excess of tax values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 classification of deferred tax assets/(liabilities):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3"/>
        </w:trPr>
        <w:tc>
          <w:tcPr>
            <w:tcW w:w="8260" w:type="dxa"/>
            <w:vAlign w:val="bottom"/>
          </w:tcPr>
          <w:p>
            <w:pPr>
              <w:spacing w:after="0"/>
              <w:rPr>
                <w:sz w:val="19"/>
                <w:szCs w:val="19"/>
                <w:color w:val="auto"/>
              </w:rPr>
            </w:pPr>
          </w:p>
        </w:tc>
        <w:tc>
          <w:tcPr>
            <w:tcW w:w="94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Generally, tax returns for our Canadian entities are open to audit from 2018 through 2025. Our U.S. and state tax years are generally open to examination from 2022 to 2025.</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2025, in reference to tax years 2012 to 2019, we had received notices of reassessment (“notices”) from the Canada Revenue Agency and the Alberta Tax and Revenue Administration (the “Canadian Tax Authorities”) related primarily to transfer pricing associated with cross-border intercompany financing transactions. The notices include assessments, including penalties and interest, associated with these transfer pricing matters totaling approximately $189 million (based on the exchange rate as of December 31, 2025). Payment of a portion of the assessment is required in order to file a notice of objection to dispute the reassessment. Accordingly, we have remitted approximately $86 million (based on the exchange rate as of December 31, 2025)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2025, we believe that our tax position associated with these matters is “more likely than not” to be sustained and have not recognized any amounts for uncertainty in income taxes related to these notices.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16—Major Customers and Concentration of Credit Risk</w:t>
      </w:r>
    </w:p>
    <w:p>
      <w:pPr>
        <w:spacing w:after="0" w:line="25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ExxonMobil Corporation and its subsidiaries accounted for approximately 31%, 31% and 27% of our revenues for the years ended December 31, 2025, 2024 and 2023, respectively. BP p.l.c. and its subsidiaries accounted for approximately 10% of our revenues for the year ended December 31, 2023. No other customers accounted for 10% or more of our revenues during any of the three years ended December 31, 2025. The majority of revenues from these customers pertain to our Crude Oil segment merchant activities, and sales to these customers occur at multiple locations. If we were to lose one or more of these customers, there is risk that we would not be able to identify and access a replacement market at a comparable margin.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4 for additional discussion of our accounts receivable and our review of credit exposure.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17—Related Party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of PAGP Class C Shares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2025 and 2024, we owned 530,932,175 and 542,004,838, respectively, Class C shares of PAGP. Each Class C share represents a non-economic limited partner interest in PAGP. The Class C shares function as a “pass-through” voting mechanism through which we vote at the direction of and as proxy for our common unitholders (other than AAP) and Series A preferred unitholders in such director elections. The number of Class C shares that we own is equal to the number of outstanding common units and Series A preferred units that are entitled to vote, pro rata with the holders of PAGP Class A and Class B shares, for the election of eligible PAGP GP directors. Common units held by AAP and Series B preferred units are not entitled to vote in the election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of Our General Partner and its Affiliates</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general partner provides services necessary to manage and operate our business, properties and assets, including employing or retaining personnel. We do not pay our general partner a management fee, but we do reimburse our general partner for all direct and indirect costs it incurs or payments it makes on our behalf, including the costs of employee, officer and director compensation and benefits allocable to us as well as all other expenses necessary or appropriate to conduct our business. We record these costs on the accrual basis in the period in which our general partner incurs them. Our partnership agreement provides that our general partner will, in a manner it deems in its sole discretion to be reasonable, determine the expenses that are allocable to us. Total costs reimbursed by us to our general partner for the years ended December 31, 2025, 2024 and 2023 were $570 million, $583 million and $546 million,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Omnibus Agreement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Plains Entities entered into an Omnibus Agreement on November 15, 2016, which provides for, among other things, the following:</w:t>
      </w:r>
    </w:p>
    <w:p>
      <w:pPr>
        <w:spacing w:after="0" w:line="252" w:lineRule="exact"/>
        <w:rPr>
          <w:sz w:val="20"/>
          <w:szCs w:val="20"/>
          <w:color w:val="auto"/>
        </w:rPr>
      </w:pPr>
    </w:p>
    <w:p>
      <w:pPr>
        <w:ind w:left="660" w:right="20" w:hanging="328"/>
        <w:spacing w:after="0" w:line="261"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pay all direct or indirect expenses of any of the PAGP Entities, other than income taxes, including, but not limited to, (i) compensation for the directors of PAGP GP, (ii) director and officer liability insurance, (iii) listing exchange fees, (iv) investor relations expenses and (v) fees related to legal, tax, financial advisory and accounting services. Amounts paid on behalf of the PAGP Entities during the years ended December 31, 2025, 2024 and 2023 were not material;</w:t>
      </w:r>
    </w:p>
    <w:p>
      <w:pPr>
        <w:spacing w:after="0" w:line="20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issue additional Class A shares and use the net proceeds therefrom to purchase a like number of AAP units from AAP, and the corresponding ability of AAP to use the net proceeds therefrom to purchase a like number of our common units from us; and</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PAGP to lend proceeds of any future indebtedness incurred by it to AAP, and AAP’s corresponding ability to lend such proceeds to us, in each case on substantially the same terms as incurred by PAGP.</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years ended December 31, 2025, we and certain Plains entities have issued promissory notes to facilitate financing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 xml:space="preserve">Related Party Notes Payable </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Face Value (in millions)</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Interest Rate per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Payable</w:t>
            </w:r>
          </w:p>
        </w:tc>
        <w:tc>
          <w:tcPr>
            <w:tcW w:w="0" w:type="dxa"/>
            <w:vAlign w:val="bottom"/>
          </w:tcPr>
          <w:p>
            <w:pPr>
              <w:spacing w:after="0"/>
              <w:rPr>
                <w:sz w:val="1"/>
                <w:szCs w:val="1"/>
                <w:color w:val="auto"/>
              </w:rPr>
            </w:pPr>
          </w:p>
        </w:tc>
      </w:tr>
      <w:tr>
        <w:trPr>
          <w:trHeight w:val="200"/>
        </w:trPr>
        <w:tc>
          <w:tcPr>
            <w:tcW w:w="30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Annum</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9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 xml:space="preserve">February 2025 note payable </w:t>
            </w:r>
            <w:r>
              <w:rPr>
                <w:rFonts w:ascii="Times New Roman" w:cs="Times New Roman" w:eastAsia="Times New Roman" w:hAnsi="Times New Roman"/>
                <w:sz w:val="19"/>
                <w:szCs w:val="19"/>
                <w:color w:val="auto"/>
                <w:vertAlign w:val="superscript"/>
              </w:rPr>
              <w:t>(2)</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February</w:t>
            </w:r>
          </w:p>
        </w:tc>
        <w:tc>
          <w:tcPr>
            <w:tcW w:w="1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CAD$473 (approximately</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2035</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ind w:right="17"/>
              <w:spacing w:after="0" w:line="169" w:lineRule="exact"/>
              <w:rPr>
                <w:sz w:val="20"/>
                <w:szCs w:val="20"/>
                <w:color w:val="auto"/>
              </w:rPr>
            </w:pPr>
            <w:r>
              <w:rPr>
                <w:rFonts w:ascii="Times New Roman" w:cs="Times New Roman" w:eastAsia="Times New Roman" w:hAnsi="Times New Roman"/>
                <w:sz w:val="18"/>
                <w:szCs w:val="18"/>
                <w:color w:val="auto"/>
                <w:w w:val="98"/>
              </w:rPr>
              <w:t>5.75%</w:t>
            </w:r>
          </w:p>
        </w:tc>
        <w:tc>
          <w:tcPr>
            <w:tcW w:w="13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July 2024 note payable </w:t>
            </w:r>
            <w:r>
              <w:rPr>
                <w:rFonts w:ascii="Times New Roman" w:cs="Times New Roman" w:eastAsia="Times New Roman" w:hAnsi="Times New Roman"/>
                <w:sz w:val="20"/>
                <w:szCs w:val="20"/>
                <w:color w:val="auto"/>
                <w:vertAlign w:val="superscript"/>
              </w:rPr>
              <w:t>(2)</w:t>
            </w:r>
          </w:p>
        </w:tc>
        <w:tc>
          <w:tcPr>
            <w:tcW w:w="1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July 2024</w:t>
            </w:r>
          </w:p>
        </w:tc>
        <w:tc>
          <w:tcPr>
            <w:tcW w:w="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PAGP</w:t>
            </w:r>
          </w:p>
        </w:tc>
        <w:tc>
          <w:tcPr>
            <w:tcW w:w="20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CAD$865 (approximately</w:t>
            </w:r>
          </w:p>
        </w:tc>
        <w:tc>
          <w:tcPr>
            <w:tcW w:w="16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September 2034</w:t>
            </w:r>
          </w:p>
        </w:tc>
        <w:tc>
          <w:tcPr>
            <w:tcW w:w="1240" w:type="dxa"/>
            <w:vAlign w:val="bottom"/>
          </w:tcPr>
          <w:p>
            <w:pPr>
              <w:jc w:val="center"/>
              <w:ind w:right="17"/>
              <w:spacing w:after="0" w:line="176" w:lineRule="exact"/>
              <w:rPr>
                <w:sz w:val="20"/>
                <w:szCs w:val="20"/>
                <w:color w:val="auto"/>
              </w:rPr>
            </w:pPr>
            <w:r>
              <w:rPr>
                <w:rFonts w:ascii="Times New Roman" w:cs="Times New Roman" w:eastAsia="Times New Roman" w:hAnsi="Times New Roman"/>
                <w:sz w:val="18"/>
                <w:szCs w:val="18"/>
                <w:color w:val="auto"/>
                <w:w w:val="98"/>
              </w:rPr>
              <w:t>6.50%</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$629)</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 xml:space="preserve">March 2023 note payable </w:t>
            </w:r>
            <w:r>
              <w:rPr>
                <w:rFonts w:ascii="Times New Roman" w:cs="Times New Roman" w:eastAsia="Times New Roman" w:hAnsi="Times New Roman"/>
                <w:sz w:val="20"/>
                <w:szCs w:val="20"/>
                <w:color w:val="auto"/>
                <w:vertAlign w:val="superscript"/>
              </w:rPr>
              <w:t>(3)</w:t>
            </w:r>
          </w:p>
        </w:tc>
        <w:tc>
          <w:tcPr>
            <w:tcW w:w="108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8"/>
              </w:rPr>
              <w:t>March 2023</w:t>
            </w:r>
          </w:p>
        </w:tc>
        <w:tc>
          <w:tcPr>
            <w:tcW w:w="82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5"/>
              </w:rPr>
              <w:t>PAGP</w:t>
            </w:r>
          </w:p>
        </w:tc>
        <w:tc>
          <w:tcPr>
            <w:tcW w:w="2080" w:type="dxa"/>
            <w:vAlign w:val="bottom"/>
            <w:gridSpan w:val="2"/>
            <w:shd w:val="clear" w:color="auto" w:fill="CCEEFF"/>
          </w:tcPr>
          <w:p>
            <w:pPr>
              <w:jc w:val="center"/>
              <w:ind w:right="80"/>
              <w:spacing w:after="0" w:line="180" w:lineRule="exact"/>
              <w:rPr>
                <w:sz w:val="20"/>
                <w:szCs w:val="20"/>
                <w:color w:val="auto"/>
              </w:rPr>
            </w:pPr>
            <w:r>
              <w:rPr>
                <w:rFonts w:ascii="Times New Roman" w:cs="Times New Roman" w:eastAsia="Times New Roman" w:hAnsi="Times New Roman"/>
                <w:sz w:val="18"/>
                <w:szCs w:val="18"/>
                <w:color w:val="auto"/>
                <w:w w:val="99"/>
              </w:rPr>
              <w:t>CAD$500 (approximately</w:t>
            </w:r>
          </w:p>
        </w:tc>
        <w:tc>
          <w:tcPr>
            <w:tcW w:w="164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9"/>
              </w:rPr>
              <w:t>April 2027</w:t>
            </w:r>
          </w:p>
        </w:tc>
        <w:tc>
          <w:tcPr>
            <w:tcW w:w="1240" w:type="dxa"/>
            <w:vAlign w:val="bottom"/>
            <w:shd w:val="clear" w:color="auto" w:fill="CCEEFF"/>
          </w:tcPr>
          <w:p>
            <w:pPr>
              <w:jc w:val="center"/>
              <w:ind w:right="17"/>
              <w:spacing w:after="0" w:line="180" w:lineRule="exact"/>
              <w:rPr>
                <w:sz w:val="20"/>
                <w:szCs w:val="20"/>
                <w:color w:val="auto"/>
              </w:rPr>
            </w:pPr>
            <w:r>
              <w:rPr>
                <w:rFonts w:ascii="Times New Roman" w:cs="Times New Roman" w:eastAsia="Times New Roman" w:hAnsi="Times New Roman"/>
                <w:sz w:val="18"/>
                <w:szCs w:val="18"/>
                <w:color w:val="auto"/>
                <w:w w:val="98"/>
              </w:rPr>
              <w:t>8.25%</w:t>
            </w:r>
          </w:p>
        </w:tc>
        <w:tc>
          <w:tcPr>
            <w:tcW w:w="13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30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Related Party Notes Receivable </w:t>
            </w:r>
            <w:r>
              <w:rPr>
                <w:rFonts w:ascii="Times New Roman" w:cs="Times New Roman" w:eastAsia="Times New Roman" w:hAnsi="Times New Roman"/>
                <w:sz w:val="18"/>
                <w:szCs w:val="18"/>
                <w:b w:val="1"/>
                <w:bCs w:val="1"/>
                <w:color w:val="auto"/>
                <w:vertAlign w:val="superscript"/>
              </w:rPr>
              <w:t>(1)</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Face Value (in millions)</w:t>
            </w:r>
          </w:p>
        </w:tc>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Interest rate per</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Payable</w:t>
            </w:r>
          </w:p>
        </w:tc>
        <w:tc>
          <w:tcPr>
            <w:tcW w:w="0" w:type="dxa"/>
            <w:vAlign w:val="bottom"/>
          </w:tcPr>
          <w:p>
            <w:pPr>
              <w:spacing w:after="0"/>
              <w:rPr>
                <w:sz w:val="1"/>
                <w:szCs w:val="1"/>
                <w:color w:val="auto"/>
              </w:rPr>
            </w:pPr>
          </w:p>
        </w:tc>
      </w:tr>
      <w:tr>
        <w:trPr>
          <w:trHeight w:val="200"/>
        </w:trPr>
        <w:tc>
          <w:tcPr>
            <w:tcW w:w="30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2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Annum</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 xml:space="preserve">February 2025 note receivable </w:t>
            </w:r>
            <w:r>
              <w:rPr>
                <w:rFonts w:ascii="Times New Roman" w:cs="Times New Roman" w:eastAsia="Times New Roman" w:hAnsi="Times New Roman"/>
                <w:sz w:val="19"/>
                <w:szCs w:val="19"/>
                <w:color w:val="auto"/>
                <w:vertAlign w:val="superscript"/>
              </w:rPr>
              <w:t>(2)</w:t>
            </w:r>
          </w:p>
        </w:tc>
        <w:tc>
          <w:tcPr>
            <w:tcW w:w="1080" w:type="dxa"/>
            <w:vAlign w:val="bottom"/>
            <w:tcBorders>
              <w:top w:val="single" w:sz="8" w:color="auto"/>
            </w:tcBorders>
            <w:gridSpan w:val="2"/>
            <w:shd w:val="clear" w:color="auto" w:fill="CCEEFF"/>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February</w:t>
            </w:r>
          </w:p>
        </w:tc>
        <w:tc>
          <w:tcPr>
            <w:tcW w:w="7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PAGP</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CAD$473 (approximately</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2035</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ind w:right="17"/>
              <w:spacing w:after="0" w:line="169" w:lineRule="exact"/>
              <w:rPr>
                <w:sz w:val="20"/>
                <w:szCs w:val="20"/>
                <w:color w:val="auto"/>
              </w:rPr>
            </w:pPr>
            <w:r>
              <w:rPr>
                <w:rFonts w:ascii="Times New Roman" w:cs="Times New Roman" w:eastAsia="Times New Roman" w:hAnsi="Times New Roman"/>
                <w:sz w:val="18"/>
                <w:szCs w:val="18"/>
                <w:color w:val="auto"/>
                <w:w w:val="98"/>
              </w:rPr>
              <w:t>5.75%</w:t>
            </w:r>
          </w:p>
        </w:tc>
        <w:tc>
          <w:tcPr>
            <w:tcW w:w="138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 xml:space="preserve">July 2024 note receivable </w:t>
            </w:r>
            <w:r>
              <w:rPr>
                <w:rFonts w:ascii="Times New Roman" w:cs="Times New Roman" w:eastAsia="Times New Roman" w:hAnsi="Times New Roman"/>
                <w:sz w:val="20"/>
                <w:szCs w:val="20"/>
                <w:color w:val="auto"/>
                <w:vertAlign w:val="superscript"/>
              </w:rPr>
              <w:t>(2)</w:t>
            </w:r>
          </w:p>
        </w:tc>
        <w:tc>
          <w:tcPr>
            <w:tcW w:w="10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July 2024</w:t>
            </w:r>
          </w:p>
        </w:tc>
        <w:tc>
          <w:tcPr>
            <w:tcW w:w="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PAGP</w:t>
            </w:r>
          </w:p>
        </w:tc>
        <w:tc>
          <w:tcPr>
            <w:tcW w:w="20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CAD$865 (approximately</w:t>
            </w:r>
          </w:p>
        </w:tc>
        <w:tc>
          <w:tcPr>
            <w:tcW w:w="16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September 2034</w:t>
            </w:r>
          </w:p>
        </w:tc>
        <w:tc>
          <w:tcPr>
            <w:tcW w:w="1240" w:type="dxa"/>
            <w:vAlign w:val="bottom"/>
          </w:tcPr>
          <w:p>
            <w:pPr>
              <w:jc w:val="center"/>
              <w:ind w:right="17"/>
              <w:spacing w:after="0" w:line="176" w:lineRule="exact"/>
              <w:rPr>
                <w:sz w:val="20"/>
                <w:szCs w:val="20"/>
                <w:color w:val="auto"/>
              </w:rPr>
            </w:pPr>
            <w:r>
              <w:rPr>
                <w:rFonts w:ascii="Times New Roman" w:cs="Times New Roman" w:eastAsia="Times New Roman" w:hAnsi="Times New Roman"/>
                <w:sz w:val="18"/>
                <w:szCs w:val="18"/>
                <w:color w:val="auto"/>
                <w:w w:val="98"/>
              </w:rPr>
              <w:t>6.50%</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$629)</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0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 xml:space="preserve">March 2023 note receivable </w:t>
            </w:r>
            <w:r>
              <w:rPr>
                <w:rFonts w:ascii="Times New Roman" w:cs="Times New Roman" w:eastAsia="Times New Roman" w:hAnsi="Times New Roman"/>
                <w:sz w:val="20"/>
                <w:szCs w:val="20"/>
                <w:color w:val="auto"/>
                <w:vertAlign w:val="superscript"/>
              </w:rPr>
              <w:t>(3)</w:t>
            </w:r>
          </w:p>
        </w:tc>
        <w:tc>
          <w:tcPr>
            <w:tcW w:w="108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8"/>
              </w:rPr>
              <w:t>March 2023</w:t>
            </w:r>
          </w:p>
        </w:tc>
        <w:tc>
          <w:tcPr>
            <w:tcW w:w="82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5"/>
              </w:rPr>
              <w:t>PAGP</w:t>
            </w:r>
          </w:p>
        </w:tc>
        <w:tc>
          <w:tcPr>
            <w:tcW w:w="2080" w:type="dxa"/>
            <w:vAlign w:val="bottom"/>
            <w:gridSpan w:val="2"/>
            <w:shd w:val="clear" w:color="auto" w:fill="CCEEFF"/>
          </w:tcPr>
          <w:p>
            <w:pPr>
              <w:jc w:val="center"/>
              <w:ind w:right="80"/>
              <w:spacing w:after="0" w:line="180" w:lineRule="exact"/>
              <w:rPr>
                <w:sz w:val="20"/>
                <w:szCs w:val="20"/>
                <w:color w:val="auto"/>
              </w:rPr>
            </w:pPr>
            <w:r>
              <w:rPr>
                <w:rFonts w:ascii="Times New Roman" w:cs="Times New Roman" w:eastAsia="Times New Roman" w:hAnsi="Times New Roman"/>
                <w:sz w:val="18"/>
                <w:szCs w:val="18"/>
                <w:color w:val="auto"/>
                <w:w w:val="99"/>
              </w:rPr>
              <w:t>CAD$500 (approximately</w:t>
            </w:r>
          </w:p>
        </w:tc>
        <w:tc>
          <w:tcPr>
            <w:tcW w:w="164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w w:val="99"/>
              </w:rPr>
              <w:t>April 2027</w:t>
            </w:r>
          </w:p>
        </w:tc>
        <w:tc>
          <w:tcPr>
            <w:tcW w:w="1240" w:type="dxa"/>
            <w:vAlign w:val="bottom"/>
            <w:shd w:val="clear" w:color="auto" w:fill="CCEEFF"/>
          </w:tcPr>
          <w:p>
            <w:pPr>
              <w:jc w:val="center"/>
              <w:ind w:right="17"/>
              <w:spacing w:after="0" w:line="180" w:lineRule="exact"/>
              <w:rPr>
                <w:sz w:val="20"/>
                <w:szCs w:val="20"/>
                <w:color w:val="auto"/>
              </w:rPr>
            </w:pPr>
            <w:r>
              <w:rPr>
                <w:rFonts w:ascii="Times New Roman" w:cs="Times New Roman" w:eastAsia="Times New Roman" w:hAnsi="Times New Roman"/>
                <w:sz w:val="18"/>
                <w:szCs w:val="18"/>
                <w:color w:val="auto"/>
                <w:w w:val="98"/>
              </w:rPr>
              <w:t>8.25%</w:t>
            </w:r>
          </w:p>
        </w:tc>
        <w:tc>
          <w:tcPr>
            <w:tcW w:w="13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Semi-annually</w:t>
            </w: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hanging="11"/>
        <w:spacing w:after="0" w:line="266" w:lineRule="auto"/>
        <w:rPr>
          <w:sz w:val="20"/>
          <w:szCs w:val="20"/>
          <w:color w:val="auto"/>
        </w:rPr>
      </w:pPr>
      <w:r>
        <w:rPr>
          <w:rFonts w:ascii="Times New Roman" w:cs="Times New Roman" w:eastAsia="Times New Roman" w:hAnsi="Times New Roman"/>
          <w:sz w:val="18"/>
          <w:szCs w:val="18"/>
          <w:color w:val="auto"/>
        </w:rPr>
        <w:t>We determined the interest rates for the related party notes in accordance with the arm’s-length principle set forth in the OECD’s Transfer Pricing Guidelines for Multinational Enterprises and Tax Administrations (the “OECD Guidelines”), issued January 20, 2022, and the transfer pricing provisions of Section 247 of Canada’s Income Tax Act.</w:t>
      </w:r>
    </w:p>
    <w:p>
      <w:pPr>
        <w:spacing w:after="0" w:line="68" w:lineRule="exact"/>
        <w:rPr>
          <w:sz w:val="20"/>
          <w:szCs w:val="20"/>
          <w:color w:val="auto"/>
        </w:rPr>
      </w:pPr>
    </w:p>
    <w:p>
      <w:pPr>
        <w:ind w:hanging="11"/>
        <w:spacing w:after="0" w:line="258" w:lineRule="auto"/>
        <w:rPr>
          <w:sz w:val="20"/>
          <w:szCs w:val="20"/>
          <w:color w:val="auto"/>
        </w:rPr>
      </w:pPr>
      <w:r>
        <w:rPr>
          <w:rFonts w:ascii="Times New Roman" w:cs="Times New Roman" w:eastAsia="Times New Roman" w:hAnsi="Times New Roman"/>
          <w:sz w:val="18"/>
          <w:szCs w:val="18"/>
          <w:color w:val="auto"/>
        </w:rPr>
        <w:t>A consolidated subsidiary issued an unsecured promissory note to PAGP. Concurrently, PAGP issued an unsecured promissory note to us for the same face value amounts. We received cash from PAGP of approximately $330 million and $629 million in connection with the related party notes issued in February 2025 and July 2024, respectively, which are reflected in “Proceeds from the issuance of related party notes” (a component of cash flows from financing activities), and we paid equal and offsetting amounts of cash to PAGP, which are reflected in “Investments in related party notes” (a component of cash flows from investing activities) on our Consolidated Statement of Cash Flows.</w:t>
      </w:r>
    </w:p>
    <w:p>
      <w:pPr>
        <w:spacing w:after="0" w:line="75" w:lineRule="exact"/>
        <w:rPr>
          <w:sz w:val="20"/>
          <w:szCs w:val="20"/>
          <w:color w:val="auto"/>
        </w:rPr>
      </w:pPr>
    </w:p>
    <w:p>
      <w:pPr>
        <w:ind w:right="520" w:hanging="11"/>
        <w:spacing w:after="0" w:line="282" w:lineRule="auto"/>
        <w:rPr>
          <w:sz w:val="20"/>
          <w:szCs w:val="20"/>
          <w:color w:val="auto"/>
        </w:rPr>
      </w:pPr>
      <w:r>
        <w:rPr>
          <w:rFonts w:ascii="Times New Roman" w:cs="Times New Roman" w:eastAsia="Times New Roman" w:hAnsi="Times New Roman"/>
          <w:sz w:val="18"/>
          <w:szCs w:val="18"/>
          <w:color w:val="auto"/>
        </w:rPr>
        <w:t>We assigned PAGP our interest in an existing unsecured promissory note due from a consolidated subsidiary. Concurrently, PAGP issued an unsecured promissory note to us for the same face value amount.</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97"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Accrued and unpaid interest receivable/payable was $30 million and $27 million as of December 31, 2025 and 2024, respectively. Interest income/expense on the related party notes totaled $87 million, $48 million and $25 million for the years ended December 31, 2025, 2024, and 2023, respectively.</w:t>
      </w:r>
    </w:p>
    <w:p>
      <w:pPr>
        <w:spacing w:after="0" w:line="20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our outstanding related party notes receivable and related party notes payable balances were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60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notes receivable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312"/>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notes payable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24599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63" w:lineRule="exact"/>
        <w:rPr>
          <w:sz w:val="20"/>
          <w:szCs w:val="20"/>
          <w:color w:val="auto"/>
        </w:rPr>
      </w:pPr>
    </w:p>
    <w:p>
      <w:pPr>
        <w:ind w:left="660" w:right="40" w:hanging="652"/>
        <w:spacing w:after="0" w:line="229" w:lineRule="auto"/>
        <w:tabs>
          <w:tab w:leader="none" w:pos="648" w:val="left"/>
        </w:tabs>
        <w:numPr>
          <w:ilvl w:val="0"/>
          <w:numId w:val="8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Consolidated Balance Sheets because there is a legal right to offset and we intend to offset with the counterparty.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Other Related Parties</w:t>
      </w:r>
    </w:p>
    <w:p>
      <w:pPr>
        <w:spacing w:after="0" w:line="256"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Our other related parties include entities in which we hold investments and account for under the equity method of accounting (see Note 9 for information regarding such entities). During the three years ended December 31, 2025, we recognized sales and transportation revenues, purchased petroleum products and utilized transportation and storage services from our related parties. These transactions were conducted at posted tariff rates or prices that we believe approximate market.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impact to our Consolidated Statements of Operations from these transactions is included below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Consolidated Balance Sheets were as follows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56"/>
        </w:trPr>
        <w:tc>
          <w:tcPr>
            <w:tcW w:w="388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62"/>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54" w:lineRule="exact"/>
        <w:rPr>
          <w:sz w:val="20"/>
          <w:szCs w:val="20"/>
          <w:color w:val="auto"/>
        </w:rPr>
      </w:pPr>
    </w:p>
    <w:p>
      <w:pPr>
        <w:ind w:left="640" w:hanging="632"/>
        <w:spacing w:after="0"/>
        <w:tabs>
          <w:tab w:leader="none" w:pos="64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includes amounts related to transportation and storage services.</w:t>
      </w:r>
    </w:p>
    <w:p>
      <w:pPr>
        <w:spacing w:after="0" w:line="89"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18—Equity-Indexed Compensation Plans</w:t>
      </w:r>
    </w:p>
    <w:p>
      <w:pPr>
        <w:spacing w:after="0" w:line="256"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7"/>
          <w:szCs w:val="17"/>
          <w:color w:val="auto"/>
        </w:rPr>
        <w:t>Our equity-indexed compensation plans primarily include LTIPs. Although other types of awards are contemplated under certain of the LTIPs, currently outstanding awards are limited to “phantom units,” which mature into the right to receive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PAA common unit. The DERs terminate with the vesting or forfeiture of the underlying LTIP award.</w:t>
      </w:r>
    </w:p>
    <w:p>
      <w:pPr>
        <w:spacing w:after="0" w:line="19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PAA unit at each balance sheet date and adjusted for the present value of any distributions that are estimated to occur on the underlying units over the vesting period that will not be received by the award recipients. The fair value for equity-classified awards is calculated in a similar manner on the respective grant dates. These fair values are recognized as compensation expense over the service period. We have elected to recognize forfeitures of awards when they occur.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right="240" w:firstLine="648"/>
        <w:spacing w:after="0" w:line="274" w:lineRule="auto"/>
        <w:rPr>
          <w:sz w:val="20"/>
          <w:szCs w:val="20"/>
          <w:color w:val="auto"/>
        </w:rPr>
      </w:pPr>
      <w:r>
        <w:rPr>
          <w:rFonts w:ascii="Times New Roman" w:cs="Times New Roman" w:eastAsia="Times New Roman" w:hAnsi="Times New Roman"/>
          <w:sz w:val="17"/>
          <w:szCs w:val="17"/>
          <w:color w:val="auto"/>
        </w:rPr>
        <w:t>Our LTIP awards contain (i) time-based vesting criteria, (ii) performance conditions, (iii) market conditions or (iv) a combination of time-based vesting criteria and performance conditions.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have been if we had been accruing for these awards since the grant date. For awards with market conditions, the probable outcomes are determined on the respective dates that the fair values are calculated, and the resulting expense is accrued over the service period.</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awards authorized under our LTIPs (including those associated with discontinued operations)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LTIP</w:t>
            </w:r>
          </w:p>
        </w:tc>
        <w:tc>
          <w:tcPr>
            <w:tcW w:w="2180" w:type="dxa"/>
            <w:vAlign w:val="bottom"/>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LTIP</w:t>
            </w:r>
          </w:p>
        </w:tc>
        <w:tc>
          <w:tcPr>
            <w:tcW w:w="0" w:type="dxa"/>
            <w:vAlign w:val="bottom"/>
          </w:tcPr>
          <w:p>
            <w:pPr>
              <w:spacing w:after="0"/>
              <w:rPr>
                <w:sz w:val="1"/>
                <w:szCs w:val="1"/>
                <w:color w:val="auto"/>
              </w:rPr>
            </w:pPr>
          </w:p>
        </w:tc>
      </w:tr>
      <w:tr>
        <w:trPr>
          <w:trHeight w:val="195"/>
        </w:trPr>
        <w:tc>
          <w:tcPr>
            <w:tcW w:w="9060" w:type="dxa"/>
            <w:vAlign w:val="bottom"/>
            <w:gridSpan w:val="3"/>
            <w:vMerge w:val="continue"/>
          </w:tcPr>
          <w:p>
            <w:pPr>
              <w:spacing w:after="0"/>
              <w:rPr>
                <w:sz w:val="16"/>
                <w:szCs w:val="16"/>
                <w:color w:val="auto"/>
              </w:rPr>
            </w:pPr>
          </w:p>
        </w:tc>
        <w:tc>
          <w:tcPr>
            <w:tcW w:w="21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Awards Authorized</w:t>
            </w:r>
          </w:p>
        </w:tc>
        <w:tc>
          <w:tcPr>
            <w:tcW w:w="0" w:type="dxa"/>
            <w:vAlign w:val="bottom"/>
          </w:tcPr>
          <w:p>
            <w:pPr>
              <w:spacing w:after="0"/>
              <w:rPr>
                <w:sz w:val="1"/>
                <w:szCs w:val="1"/>
                <w:color w:val="auto"/>
              </w:rPr>
            </w:pPr>
          </w:p>
        </w:tc>
      </w:tr>
      <w:tr>
        <w:trPr>
          <w:trHeight w:val="228"/>
        </w:trPr>
        <w:tc>
          <w:tcPr>
            <w:tcW w:w="89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All American 2021 Long-Term Incentive Plan</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Plains All American PNG Successor Long-Term Incentive Plan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Plains All American GP LLC 2006 Long-Term Incentive Tracking Unit Plan</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906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620" w:type="dxa"/>
            <w:vAlign w:val="bottom"/>
            <w:tcBorders>
              <w:bottom w:val="single" w:sz="8" w:color="auto"/>
            </w:tcBorders>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60" w:hanging="652"/>
        <w:spacing w:after="0" w:line="229" w:lineRule="auto"/>
        <w:tabs>
          <w:tab w:leader="none" w:pos="648" w:val="left"/>
        </w:tabs>
        <w:numPr>
          <w:ilvl w:val="0"/>
          <w:numId w:val="8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Of the 43.5 million total awards authorized, 13.4 million awards are currently available for future grant. The remaining balance has already vested or is currently outstanding.</w:t>
      </w:r>
    </w:p>
    <w:p>
      <w:pPr>
        <w:spacing w:after="0" w:line="22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2025, 10.5 million LTIP awards were outstanding (including those associated with discontinued operations). Of the awards outstanding, 8.9 million include associated DERs. At December 31, 2025, certain of the outstanding LTIP awards were considered probable of vesting and such awards are expected to vest at various dates between August 2026 and August 2030. As of December 31, 2025, the outstanding awards that are considered probable of vesting have a remaining unrecognized fair value of approximately $69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commitments (some of which are leases) related to real property, equipment and operating facilities. Future noncancelable commitments related to these items at December 31, 2025 are summarized below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0" w:type="dxa"/>
            <w:vAlign w:val="bottom"/>
          </w:tcPr>
          <w:p>
            <w:pPr>
              <w:spacing w:after="0"/>
              <w:rPr>
                <w:sz w:val="16"/>
                <w:szCs w:val="16"/>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41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Leases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4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8"/>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181"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420" w:hanging="11"/>
        <w:spacing w:after="0" w:line="282" w:lineRule="auto"/>
        <w:rPr>
          <w:sz w:val="20"/>
          <w:szCs w:val="20"/>
          <w:color w:val="auto"/>
        </w:rPr>
      </w:pPr>
      <w:r>
        <w:rPr>
          <w:rFonts w:ascii="Times New Roman" w:cs="Times New Roman" w:eastAsia="Times New Roman" w:hAnsi="Times New Roman"/>
          <w:sz w:val="18"/>
          <w:szCs w:val="18"/>
          <w:color w:val="auto"/>
        </w:rPr>
        <w:t>Includes both operating and finance leases as defined by FASB guidance. Leases are primarily for (i) office space, (ii) land, (iii) vehicles, (iv) storage tanks and (v) tractor trailers. See Note 14 for additional information.</w:t>
      </w:r>
    </w:p>
    <w:p>
      <w:pPr>
        <w:spacing w:after="0" w:line="54" w:lineRule="exact"/>
        <w:rPr>
          <w:sz w:val="20"/>
          <w:szCs w:val="20"/>
          <w:color w:val="auto"/>
        </w:rPr>
      </w:pPr>
    </w:p>
    <w:p>
      <w:pPr>
        <w:ind w:right="80" w:hanging="11"/>
        <w:spacing w:after="0" w:line="258" w:lineRule="auto"/>
        <w:rPr>
          <w:sz w:val="20"/>
          <w:szCs w:val="20"/>
          <w:color w:val="auto"/>
        </w:rPr>
      </w:pPr>
      <w:r>
        <w:rPr>
          <w:rFonts w:ascii="Times New Roman" w:cs="Times New Roman" w:eastAsia="Times New Roman" w:hAnsi="Times New Roman"/>
          <w:sz w:val="18"/>
          <w:szCs w:val="18"/>
          <w:color w:val="auto"/>
        </w:rPr>
        <w:t>Primarily includes storage, transportation and pipeline throughput agreements. Expense associated with such agreements was approximately $363 million, $341 million and $348 million for 2025, 2024 and 2023, respectively. A majority of the storage, transportation and pipeline throughput commitments are associated with agreements to store crude oil at facilities and transport crude oil on pipelines owned by equity method investees at posted tariff rates or prices that we believe approximate market.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1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21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Consolidated Balance Sheets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right="3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Line 901 Incident</w:t>
      </w:r>
      <w:r>
        <w:rPr>
          <w:rFonts w:ascii="Times New Roman" w:cs="Times New Roman" w:eastAsia="Times New Roman" w:hAnsi="Times New Roman"/>
          <w:sz w:val="17"/>
          <w:szCs w:val="17"/>
          <w:color w:val="auto"/>
        </w:rPr>
        <w:t>. In May 2015, we experienced a release of crude oil from our Las Flores to Gaviota Pipeline (Line 901) in Santa Barbara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County, California. Effective as of December 31, 2025, we estimate that the aggregate total costs we have incurred or will incur with respect to the Line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did not recognize any costs related to the Line 901 incident. During the years ended December 31, 2024 and 2023, we recognized costs, net of amounts probable of recovery from insurance (as applicable) of $345 million and $10 million, respectively. As of December 31, 2025 and 2024, we had a remaining undiscounted gross liability of approximately $22 million and $5 million, respectively, related to the Line 901 incident, which aggregate amounts are reflected in “Current liabilities” on our Consolidated Balance Sheet.</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Consolidated Balance Sheets as of December 31, 2025 and 2024.</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and professional costs during future periods. During the second quarter of 2025, we agreed to confidential settlement terms for various lawsuits filed in California Superior Court in Santa Barbara County by companies and individuals who provided labor, goods, or services associated with oil production activities they claim were disrupted following the Line 901 incident, the agreed aggregate settlement amount has been factored into our Line 901 total cost estimate. The only other remaining Line 901 lawsuit is pending in California Superior Court in Santa Barbara County, in which a landowner on an adjacent pipeline is alleging property damage from the “stigma” of the Line 901 incident. We are vigorously defending this remaining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$20 million. Through December 31, 2025, we incurred $12 million in connection with clean-up and remediation activities.</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Hartree. </w:t>
      </w:r>
      <w:r>
        <w:rPr>
          <w:rFonts w:ascii="Times New Roman" w:cs="Times New Roman" w:eastAsia="Times New Roman" w:hAnsi="Times New Roman"/>
          <w:sz w:val="18"/>
          <w:szCs w:val="18"/>
          <w:color w:val="auto"/>
        </w:rPr>
        <w:t>On July 19, 2022, Hartree Natural Gas Storage, LLC (“Hartree”) filed a lawsuit under seal in the Superior Court for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asserting claims against PAA Natural Gas Storage, L.P. and PAA arising out of a Membership Interest Purchase Agreement relating to the 2021 sale of the Pine Prairie Energy Center natural gas storage facility to Hartree. In early 2025, we entered into a settlement agreement with Hartree; the terms of the settlement are confidential and the amount paid is not material to our operations. All of Hartree’s claims were dismissed with prejudice and without any admission of wrongdoing by Plains.</w:t>
      </w:r>
    </w:p>
    <w:p>
      <w:pPr>
        <w:spacing w:after="0" w:line="21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Louisiana Coastal Erosion Lawsuit. </w:t>
      </w:r>
      <w:r>
        <w:rPr>
          <w:rFonts w:ascii="Times New Roman" w:cs="Times New Roman" w:eastAsia="Times New Roman" w:hAnsi="Times New Roman"/>
          <w:sz w:val="18"/>
          <w:szCs w:val="18"/>
          <w:color w:val="auto"/>
        </w:rPr>
        <w:t>Various coastal parishes, the State of Louisiana and some of its departments have filed lawsuits in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a number of energy companies seeking damages for coastal erosion in connection with oil and gas operations in Louisiana. One of our subsidiaries has been named in such a lawsuit filed by The Louisiana Department of Wildlife and Fisheries (“LADWF”). LADWF filed a lawsuit in the 24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Judicial District Court of Jefferson Parish, Louisiana on October 30, 2023 against our subsidiary, Plains Pipeline, L.P., Chevron Pipe Line Company, BP Oil Pipeline Company and Arrowhead Gulf Coast Pipeline, LLC (collectively, “Defendants”), as the former and current parties to certain pipeline right of way agreements (“ROWs”) in the vicinity of the Elmer Island Wildlife Refuge. LADWF alleges that the Defendants breached the terms of the ROWs by failing to prevent erosion and seeks restoration of the Wildlife Refuge or alternatively monetary compensatory damages including restoration costs, legal fees and disgorgement of profits derived from the alleged trespass. Our subsidiary owned and operated a pipeline in the vicinity of the refuge from 2006 through 2016. We settled this lawsuit in January 2026 for a payment from Plains of $1.5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20—Segment Information</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primarily located in the Southwestern United States.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from continuing operations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42,501</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960" w:type="dxa"/>
            <w:vAlign w:val="bottom"/>
          </w:tcPr>
          <w:p>
            <w:pPr>
              <w:spacing w:after="0"/>
              <w:rPr>
                <w:sz w:val="24"/>
                <w:szCs w:val="24"/>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F-59</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47,199</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(13)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(43,937)</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Line 901 incident </w:t>
            </w:r>
            <w:r>
              <w:rPr>
                <w:rFonts w:ascii="Times New Roman" w:cs="Times New Roman" w:eastAsia="Times New Roman" w:hAnsi="Times New Roman"/>
                <w:sz w:val="23"/>
                <w:szCs w:val="23"/>
                <w:color w:val="auto"/>
                <w:vertAlign w:val="superscript"/>
              </w:rPr>
              <w:t>(13)</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(9)</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(10)</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CEEFF"/>
            </w:tcBorders>
          </w:tcPr>
          <w:p>
            <w:pPr>
              <w:spacing w:after="0"/>
              <w:rPr>
                <w:sz w:val="23"/>
                <w:szCs w:val="23"/>
                <w:color w:val="auto"/>
              </w:rPr>
            </w:pPr>
          </w:p>
        </w:tc>
        <w:tc>
          <w:tcPr>
            <w:tcW w:w="17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(11) (12)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(12)</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117"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7" w:lineRule="exact"/>
        <w:rPr>
          <w:sz w:val="20"/>
          <w:szCs w:val="20"/>
          <w:color w:val="auto"/>
        </w:rPr>
      </w:pPr>
    </w:p>
    <w:p>
      <w:pPr>
        <w:ind w:left="660" w:right="20" w:hanging="652"/>
        <w:spacing w:after="0" w:line="245" w:lineRule="auto"/>
        <w:tabs>
          <w:tab w:leader="none" w:pos="648" w:val="left"/>
        </w:tabs>
        <w:numPr>
          <w:ilvl w:val="0"/>
          <w:numId w:val="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900" w:h="16838" w:orient="portrait"/>
          <w:cols w:equalWidth="0" w:num="1">
            <w:col w:w="11240"/>
          </w:cols>
          <w:pgMar w:left="320" w:top="126"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ind w:left="660" w:right="40" w:hanging="652"/>
        <w:spacing w:after="0" w:line="243" w:lineRule="auto"/>
        <w:tabs>
          <w:tab w:leader="none" w:pos="648"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for information regarding our equity-indexed compensation plans.</w:t>
      </w:r>
    </w:p>
    <w:p>
      <w:pPr>
        <w:sectPr>
          <w:pgSz w:w="11900" w:h="16838" w:orient="portrait"/>
          <w:cols w:equalWidth="0" w:num="1">
            <w:col w:w="11240"/>
          </w:cols>
          <w:pgMar w:left="320" w:top="126"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ind w:right="200" w:hanging="11"/>
        <w:spacing w:after="0" w:line="266" w:lineRule="auto"/>
        <w:rPr>
          <w:sz w:val="20"/>
          <w:szCs w:val="20"/>
          <w:color w:val="auto"/>
        </w:rPr>
      </w:pPr>
      <w:r>
        <w:rPr>
          <w:rFonts w:ascii="Times New Roman" w:cs="Times New Roman" w:eastAsia="Times New Roman" w:hAnsi="Times New Roman"/>
          <w:sz w:val="18"/>
          <w:szCs w:val="18"/>
          <w:color w:val="auto"/>
        </w:rPr>
        <w:t>Primarily related to deal-specific costs incurred during the years presented. See Note 8 for additional discussion. An adjustment for these non-recurring expenses is included in the calculation of Segment Adjusted EBITDA for the years ended December 31, 2025 and 2023 as our CODM does not view such expenses as integral to understanding our core segment operating performance.</w:t>
      </w:r>
    </w:p>
    <w:p>
      <w:pPr>
        <w:spacing w:after="0" w:line="64" w:lineRule="exact"/>
        <w:rPr>
          <w:sz w:val="20"/>
          <w:szCs w:val="20"/>
          <w:color w:val="auto"/>
        </w:rPr>
      </w:pPr>
    </w:p>
    <w:p>
      <w:pPr>
        <w:sectPr>
          <w:pgSz w:w="11900" w:h="16838" w:orient="portrait"/>
          <w:cols w:equalWidth="0" w:num="2">
            <w:col w:w="140" w:space="520"/>
            <w:col w:w="10580"/>
          </w:cols>
          <w:pgMar w:left="320" w:top="12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117" w:lineRule="exact"/>
        <w:rPr>
          <w:sz w:val="20"/>
          <w:szCs w:val="20"/>
          <w:color w:val="auto"/>
        </w:rPr>
      </w:pPr>
    </w:p>
    <w:p>
      <w:pPr>
        <w:sectPr>
          <w:pgSz w:w="11900" w:h="16838" w:orient="portrait"/>
          <w:cols w:equalWidth="0" w:num="2">
            <w:col w:w="200" w:space="440"/>
            <w:col w:w="10600"/>
          </w:cols>
          <w:pgMar w:left="320" w:top="126" w:right="339" w:bottom="1440" w:gutter="0" w:footer="0" w:header="0"/>
          <w:type w:val="continuous"/>
        </w:sectPr>
      </w:pPr>
    </w:p>
    <w:p>
      <w:pPr>
        <w:ind w:left="660" w:right="20" w:hanging="652"/>
        <w:spacing w:after="0" w:line="239" w:lineRule="auto"/>
        <w:tabs>
          <w:tab w:leader="none" w:pos="652" w:val="left"/>
        </w:tabs>
        <w:numPr>
          <w:ilvl w:val="0"/>
          <w:numId w:val="8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recognized during the period related to the Line 901 incident that occurred in May 2015, net of amounts we believe are probable of recovery from insurance (as applicable). The year ended December 31, 2024 includes the write-off of a receivable for Line 901 insurance proceeds in the fourth quarter of 2024 and the impact of settlements in the third quarter of 2024. See Note 19 for additional information regarding the Line 901 incident.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Income from continuing operations, net of tax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tax</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41"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Data</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in the United States and Canada. Set forth below are revenues and long-lived assets attributable to these geographic areas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Revenues </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80" w:type="dxa"/>
            <w:vAlign w:val="bottom"/>
            <w:tcBorders>
              <w:bottom w:val="single" w:sz="8" w:color="auto"/>
            </w:tcBorders>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632"/>
        <w:spacing w:after="0"/>
        <w:tabs>
          <w:tab w:leader="none" w:pos="64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are primarily attributed to each region based on where the services are provided or the product is shipped.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Long-Lived Assets </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40" w:hanging="632"/>
        <w:spacing w:after="0"/>
        <w:tabs>
          <w:tab w:leader="none" w:pos="640"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long-term derivative assets and long-term deferred tax assets.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29"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Index to Financial Statements</w:t>
      </w:r>
    </w:p>
    <w:p>
      <w:pPr>
        <w:spacing w:after="0" w:line="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1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21—Selected Quarterly Financial Data (Unaudited)</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SPA with Keyera, pursuant to which Keyera agreed to acquire all of the issued and outstanding shares of Plains Midstream Canada ULC, our wholly-owned subsidiary that owns substantially all of our Canadian NGL Business. See Note 1 for additional information.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selected quarterly financial data (in millions, except per unit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4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260" w:type="dxa"/>
            <w:vAlign w:val="bottom"/>
          </w:tcPr>
          <w:p>
            <w:pPr>
              <w:spacing w:after="0"/>
              <w:rPr>
                <w:sz w:val="18"/>
                <w:szCs w:val="18"/>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18"/>
                <w:szCs w:val="18"/>
                <w:b w:val="1"/>
                <w:bCs w:val="1"/>
                <w:color w:val="auto"/>
                <w:vertAlign w:val="superscript"/>
              </w:rPr>
              <w:t>(1)</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44,262</w:t>
            </w:r>
          </w:p>
        </w:tc>
      </w:tr>
      <w:tr>
        <w:trPr>
          <w:trHeight w:val="229"/>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70"/>
        </w:trPr>
        <w:tc>
          <w:tcPr>
            <w:tcW w:w="4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21"/>
        </w:trPr>
        <w:tc>
          <w:tcPr>
            <w:tcW w:w="42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48,889</w:t>
            </w: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70"/>
        </w:trPr>
        <w:tc>
          <w:tcPr>
            <w:tcW w:w="4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4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24599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four quarters may not equal the year due to rounding.</w:t>
      </w:r>
    </w:p>
    <w:p>
      <w:pPr>
        <w:spacing w:after="0" w:line="117" w:lineRule="exact"/>
        <w:rPr>
          <w:sz w:val="20"/>
          <w:szCs w:val="20"/>
          <w:color w:val="auto"/>
        </w:rPr>
      </w:pPr>
    </w:p>
    <w:p>
      <w:pPr>
        <w:ind w:left="20" w:right="100" w:hanging="11"/>
        <w:spacing w:after="0" w:line="282" w:lineRule="auto"/>
        <w:rPr>
          <w:sz w:val="20"/>
          <w:szCs w:val="20"/>
          <w:color w:val="auto"/>
        </w:rPr>
      </w:pPr>
      <w:r>
        <w:rPr>
          <w:rFonts w:ascii="Times New Roman" w:cs="Times New Roman" w:eastAsia="Times New Roman" w:hAnsi="Times New Roman"/>
          <w:sz w:val="18"/>
          <w:szCs w:val="18"/>
          <w:color w:val="auto"/>
        </w:rPr>
        <w:t>Gross margin is calculated as Total revenues less (i) Purchases and related costs, (ii) Field operating costs, (iii) Depreciation and amortization and (iv) (Gains)/losses on asset sales, asset impairments and other, net.</w:t>
      </w:r>
    </w:p>
    <w:p>
      <w:pPr>
        <w:spacing w:after="0" w:line="200" w:lineRule="exact"/>
        <w:rPr>
          <w:sz w:val="20"/>
          <w:szCs w:val="20"/>
          <w:color w:val="auto"/>
        </w:rPr>
      </w:pPr>
    </w:p>
    <w:p>
      <w:pPr>
        <w:sectPr>
          <w:pgSz w:w="11900" w:h="16838" w:orient="portrait"/>
          <w:cols w:equalWidth="0" w:num="2">
            <w:col w:w="140" w:space="500"/>
            <w:col w:w="10600"/>
          </w:cols>
          <w:pgMar w:left="320" w:top="126" w:right="33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ectPr>
          <w:pgSz w:w="11900" w:h="16838" w:orient="portrait"/>
          <w:cols w:equalWidth="0" w:num="1">
            <w:col w:w="11240"/>
          </w:cols>
          <w:pgMar w:left="320" w:top="126" w:right="339"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440" w:type="dxa"/>
            <w:vAlign w:val="bottom"/>
            <w:gridSpan w:val="3"/>
          </w:tcPr>
          <w:p>
            <w:pPr>
              <w:jc w:val="center"/>
              <w:ind w:right="3670"/>
              <w:spacing w:after="0"/>
              <w:rPr>
                <w:sz w:val="20"/>
                <w:szCs w:val="20"/>
                <w:color w:val="auto"/>
              </w:rPr>
            </w:pPr>
            <w:r>
              <w:rPr>
                <w:rFonts w:ascii="Times New Roman" w:cs="Times New Roman" w:eastAsia="Times New Roman" w:hAnsi="Times New Roman"/>
                <w:sz w:val="18"/>
                <w:szCs w:val="18"/>
                <w:b w:val="1"/>
                <w:bCs w:val="1"/>
                <w:color w:val="auto"/>
                <w:w w:val="99"/>
              </w:rPr>
              <w:t>SUBSIDIARIES OF</w:t>
            </w:r>
          </w:p>
        </w:tc>
      </w:tr>
      <w:tr>
        <w:trPr>
          <w:trHeight w:val="218"/>
        </w:trPr>
        <w:tc>
          <w:tcPr>
            <w:tcW w:w="3740" w:type="dxa"/>
            <w:vAlign w:val="bottom"/>
          </w:tcPr>
          <w:p>
            <w:pPr>
              <w:spacing w:after="0"/>
              <w:rPr>
                <w:sz w:val="18"/>
                <w:szCs w:val="18"/>
                <w:color w:val="auto"/>
              </w:rPr>
            </w:pPr>
          </w:p>
        </w:tc>
        <w:tc>
          <w:tcPr>
            <w:tcW w:w="7440" w:type="dxa"/>
            <w:vAlign w:val="bottom"/>
            <w:gridSpan w:val="3"/>
          </w:tcPr>
          <w:p>
            <w:pPr>
              <w:jc w:val="center"/>
              <w:ind w:right="3650"/>
              <w:spacing w:after="0"/>
              <w:rPr>
                <w:sz w:val="20"/>
                <w:szCs w:val="20"/>
                <w:color w:val="auto"/>
              </w:rPr>
            </w:pPr>
            <w:r>
              <w:rPr>
                <w:rFonts w:ascii="Times New Roman" w:cs="Times New Roman" w:eastAsia="Times New Roman" w:hAnsi="Times New Roman"/>
                <w:sz w:val="18"/>
                <w:szCs w:val="18"/>
                <w:b w:val="1"/>
                <w:bCs w:val="1"/>
                <w:color w:val="auto"/>
                <w:w w:val="99"/>
              </w:rPr>
              <w:t>PLAINS ALL AMERICAN PIPELINE, L.P.</w:t>
            </w:r>
          </w:p>
        </w:tc>
      </w:tr>
      <w:tr>
        <w:trPr>
          <w:trHeight w:val="236"/>
        </w:trPr>
        <w:tc>
          <w:tcPr>
            <w:tcW w:w="3740" w:type="dxa"/>
            <w:vAlign w:val="bottom"/>
          </w:tcPr>
          <w:p>
            <w:pPr>
              <w:spacing w:after="0"/>
              <w:rPr>
                <w:sz w:val="20"/>
                <w:szCs w:val="20"/>
                <w:color w:val="auto"/>
              </w:rPr>
            </w:pPr>
          </w:p>
        </w:tc>
        <w:tc>
          <w:tcPr>
            <w:tcW w:w="7440" w:type="dxa"/>
            <w:vAlign w:val="bottom"/>
            <w:gridSpan w:val="3"/>
          </w:tcPr>
          <w:p>
            <w:pPr>
              <w:jc w:val="center"/>
              <w:ind w:right="3670"/>
              <w:spacing w:after="0"/>
              <w:rPr>
                <w:sz w:val="20"/>
                <w:szCs w:val="20"/>
                <w:color w:val="auto"/>
              </w:rPr>
            </w:pPr>
            <w:r>
              <w:rPr>
                <w:rFonts w:ascii="Times New Roman" w:cs="Times New Roman" w:eastAsia="Times New Roman" w:hAnsi="Times New Roman"/>
                <w:sz w:val="18"/>
                <w:szCs w:val="18"/>
                <w:i w:val="1"/>
                <w:iCs w:val="1"/>
                <w:color w:val="auto"/>
              </w:rPr>
              <w:t>(As of 12/31/2025)</w:t>
            </w:r>
          </w:p>
        </w:tc>
      </w:t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7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Advantage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Alpha Crude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Aurora Pipeline Company Ltd.</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Bakersfield Crude Terminal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Knight Midstream,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Cactus II Pipeline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Cactus III Crude Holdings GP,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Cactus III Crude Holdings,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Cactus III Crude Services,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Cactus III Crude Marketing,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Cactus III Crude Pipeline,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Cactus III Crude Terminal Company,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Cactus III Pipeline Company, LP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Capline Pipeline Company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Cheyenne Pipeline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Eagle Ford Crude Terminal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 Gathering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Kern-Southland Energy Link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M2 Crude Oil Holdings,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MDE 2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MDE Energy Solutions,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MDE Midstream,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MDE Midstream 2,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MDE Midstream Services,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MDE Pipeline Logistics,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Midway Pipeline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Niobrara Crude Terminal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OMOG JV Holdings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OMOG JV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Oryx Delaware Oil Transport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Midland Oil Gathering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Oryx Midland Oil Marketing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Oryx Midstream Holdings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Oryx Wink Oil Pipeline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Finance Corp.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PAA Luxembourg S.a.r.l.</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Midstream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PAA Natural Gas Storage, L.P.</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Service Corp.</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PAA/Vulcan Gas Storage, LLC</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Pacific Pipeline System LLC</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Emergency Relief Fund, Inc.</w:t>
            </w:r>
          </w:p>
        </w:tc>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bl>
    <w:p>
      <w:pPr>
        <w:sectPr>
          <w:pgSz w:w="11900" w:h="16838" w:orient="portrait"/>
          <w:cols w:equalWidth="0" w:num="1">
            <w:col w:w="11200"/>
          </w:cols>
          <w:pgMar w:left="360" w:top="887"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7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BK Holdco LLC</w:t>
            </w:r>
          </w:p>
        </w:tc>
        <w:tc>
          <w:tcPr>
            <w:tcW w:w="12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Canada Liquid Pipelines ULC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Capline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Eagle Ford Energy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Eagle Ford Gas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EF Holdings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Gas Solutions,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GP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LPG Services CA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LPG Services GP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LPG Services, L.P.</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Marketing Bondholder,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CA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Marketing Canada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Marketing, L.P.</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Midstream Canada ULC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British Columbia</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Midstream Luxembourg S.a.r.l.</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Midstream Superior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Oryx Permian Basin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Oryx Permian Basin Marketing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Oryx Permian Basin Pipeline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Pipeline, L.P.</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Pipeline MidCon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Pipeline Montana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Products Terminals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Rail Holdings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Plains South Texas Gathering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PMC (Nova Scotia) Company</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PNGS GP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POPB NM Crude II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POPBP DE Crude Holdings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Rancho LPG Holdings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Red River Pipeline Company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Rocky Mountain Pipeline Montana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 James Rail Terminal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Sunrise Pipeline LLC</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Corridor Pipeline LLC</w:t>
            </w: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180"/>
          </w:cols>
          <w:pgMar w:left="360" w:top="925" w:right="35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333-138888, 333-155673, 333-162477, 333-214778, 333-221845, 333-267725, 333-281967, and 333-281968) and on Form S-8 (Nos. 333-91141, 333-74920, 333-122806, 333-141185, 333-193139, 333-193140, and 333-256507) of Plains All American Pipeline, L.P. of our report dated February 27, 2026 relating to the financial statements and the effectiveness of internal control over financial reporting, which appears in this Form 10-K.</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2026</w:t>
      </w:r>
    </w:p>
    <w:p>
      <w:pPr>
        <w:sectPr>
          <w:pgSz w:w="11900" w:h="16838" w:orient="portrait"/>
          <w:cols w:equalWidth="0" w:num="1">
            <w:col w:w="11240"/>
          </w:cols>
          <w:pgMar w:left="320" w:top="88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firstLine="656"/>
        <w:spacing w:after="0" w:line="266" w:lineRule="auto"/>
        <w:tabs>
          <w:tab w:leader="none" w:pos="12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2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40" w:firstLine="656"/>
        <w:spacing w:after="0" w:line="282" w:lineRule="auto"/>
        <w:tabs>
          <w:tab w:leader="none" w:pos="129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29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460" w:firstLine="656"/>
        <w:spacing w:after="0" w:line="282" w:lineRule="auto"/>
        <w:tabs>
          <w:tab w:leader="none" w:pos="129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656"/>
        <w:spacing w:after="0" w:line="282" w:lineRule="auto"/>
        <w:tabs>
          <w:tab w:leader="none" w:pos="129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2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2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40" w:firstLine="656"/>
        <w:spacing w:after="0" w:line="282" w:lineRule="auto"/>
        <w:tabs>
          <w:tab w:leader="none" w:pos="12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2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0" w:firstLine="656"/>
        <w:spacing w:after="0" w:line="282" w:lineRule="auto"/>
        <w:tabs>
          <w:tab w:leader="none" w:pos="8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60" w:firstLine="656"/>
        <w:spacing w:after="0" w:line="282" w:lineRule="auto"/>
        <w:tabs>
          <w:tab w:leader="none" w:pos="12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40" w:firstLine="656"/>
        <w:spacing w:after="0" w:line="282" w:lineRule="auto"/>
        <w:tabs>
          <w:tab w:leader="none" w:pos="129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52" w:lineRule="exact"/>
        <w:rPr>
          <w:sz w:val="20"/>
          <w:szCs w:val="20"/>
          <w:color w:val="auto"/>
        </w:rPr>
      </w:pPr>
    </w:p>
    <w:p>
      <w:pPr>
        <w:ind w:right="180" w:firstLine="656"/>
        <w:spacing w:after="0" w:line="266" w:lineRule="auto"/>
        <w:tabs>
          <w:tab w:leader="none" w:pos="133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2025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27, 2026</w:t>
      </w:r>
    </w:p>
    <w:p>
      <w:pPr>
        <w:sectPr>
          <w:pgSz w:w="11900" w:h="16838" w:orient="portrait"/>
          <w:cols w:equalWidth="0" w:num="1">
            <w:col w:w="11240"/>
          </w:cols>
          <w:pgMar w:left="320" w:top="88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180" w:firstLine="656"/>
        <w:spacing w:after="0" w:line="266" w:lineRule="auto"/>
        <w:tabs>
          <w:tab w:leader="none" w:pos="13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10-K for the period ended December 31, 2025 and filed with the Securities and Exchange Commission on the date hereof (the “Report”) by the Company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February 27,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upperLetter"/>
      <w:start w:val="35"/>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lowerRoman"/>
      <w:start w:val="2"/>
    </w:lvl>
  </w:abstractNum>
  <w:abstractNum w:abstractNumId="19">
    <w:nsid w:val="354FE9F9"/>
    <w:multiLevelType w:val="hybridMultilevel"/>
    <w:lvl w:ilvl="0">
      <w:lvlJc w:val="left"/>
      <w:lvlText w:val="(%1)"/>
      <w:numFmt w:val="lowerRoman"/>
      <w:start w:val="3"/>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lowerRoman"/>
      <w:start w:val="5"/>
    </w:lvl>
  </w:abstractNum>
  <w:abstractNum w:abstractNumId="39">
    <w:nsid w:val="6590700B"/>
    <w:multiLevelType w:val="hybridMultilevel"/>
    <w:lvl w:ilvl="0">
      <w:lvlJc w:val="left"/>
      <w:lvlText w:val="(%1)"/>
      <w:numFmt w:val="decimal"/>
      <w:start w:val="5"/>
    </w:lvl>
  </w:abstractNum>
  <w:abstractNum w:abstractNumId="40">
    <w:nsid w:val="15014ACB"/>
    <w:multiLevelType w:val="hybridMultilevel"/>
    <w:lvl w:ilvl="0">
      <w:lvlJc w:val="left"/>
      <w:lvlText w:val="(%1)"/>
      <w:numFmt w:val="decimal"/>
      <w:start w:val="8"/>
    </w:lvl>
  </w:abstractNum>
  <w:abstractNum w:abstractNumId="41">
    <w:nsid w:val="5F5E7FD0"/>
    <w:multiLevelType w:val="hybridMultilevel"/>
    <w:lvl w:ilvl="0">
      <w:lvlJc w:val="left"/>
      <w:lvlText w:val="(%1)"/>
      <w:numFmt w:val="decimal"/>
      <w:start w:val="12"/>
    </w:lvl>
  </w:abstractNum>
  <w:abstractNum w:abstractNumId="42">
    <w:nsid w:val="98A3148"/>
    <w:multiLevelType w:val="hybridMultilevel"/>
    <w:lvl w:ilvl="0">
      <w:lvlJc w:val="left"/>
      <w:lvlText w:val="(%1)"/>
      <w:numFmt w:val="lowerRoman"/>
      <w:start w:val="1"/>
    </w:lvl>
  </w:abstractNum>
  <w:abstractNum w:abstractNumId="43">
    <w:nsid w:val="799D0247"/>
    <w:multiLevelType w:val="hybridMultilevel"/>
    <w:lvl w:ilvl="0">
      <w:lvlJc w:val="left"/>
      <w:lvlText w:val="(%1)"/>
      <w:numFmt w:val="lowerRoman"/>
      <w:start w:val="5"/>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1)"/>
      <w:numFmt w:val="decimal"/>
      <w:start w:val="2"/>
    </w:lvl>
  </w:abstractNum>
  <w:abstractNum w:abstractNumId="53">
    <w:nsid w:val="613EFDC5"/>
    <w:multiLevelType w:val="hybridMultilevel"/>
    <w:lvl w:ilvl="0">
      <w:lvlJc w:val="left"/>
      <w:lvlText w:val="(%1)"/>
      <w:numFmt w:val="decimal"/>
      <w:start w:val="3"/>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lowerRoman"/>
      <w:start w:val="3"/>
    </w:lvl>
  </w:abstractNum>
  <w:abstractNum w:abstractNumId="58">
    <w:nsid w:val="8F2B15E"/>
    <w:multiLevelType w:val="hybridMultilevel"/>
    <w:lvl w:ilvl="0">
      <w:lvlJc w:val="left"/>
      <w:lvlText w:val="(%1)"/>
      <w:numFmt w:val="lowerRoman"/>
      <w:start w:val="12"/>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3"/>
    </w:lvl>
  </w:abstractNum>
  <w:abstractNum w:abstractNumId="69">
    <w:nsid w:val="100F59DC"/>
    <w:multiLevelType w:val="hybridMultilevel"/>
    <w:lvl w:ilvl="0">
      <w:lvlJc w:val="left"/>
      <w:lvlText w:val="(%1)"/>
      <w:numFmt w:val="decimal"/>
      <w:start w:val="5"/>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4"/>
    </w:lvl>
  </w:abstractNum>
  <w:abstractNum w:abstractNumId="83">
    <w:nsid w:val="46B7D447"/>
    <w:multiLevelType w:val="hybridMultilevel"/>
    <w:lvl w:ilvl="0">
      <w:lvlJc w:val="left"/>
      <w:lvlText w:val="(%1)"/>
      <w:numFmt w:val="decimal"/>
      <w:start w:val="7"/>
    </w:lvl>
  </w:abstractNum>
  <w:abstractNum w:abstractNumId="84">
    <w:nsid w:val="4A2AC315"/>
    <w:multiLevelType w:val="hybridMultilevel"/>
    <w:lvl w:ilvl="0">
      <w:lvlJc w:val="left"/>
      <w:lvlText w:val="(%1)"/>
      <w:numFmt w:val="decimal"/>
      <w:start w:val="13"/>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decimal"/>
      <w:start w:val="5"/>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decimal"/>
      <w:start w:val="5"/>
    </w:lvl>
  </w:abstractNum>
  <w:abstractNum w:abstractNumId="95">
    <w:nsid w:val="50801EE1"/>
    <w:multiLevelType w:val="hybridMultilevel"/>
    <w:lvl w:ilvl="0">
      <w:lvlJc w:val="left"/>
      <w:lvlText w:val="(%1)"/>
      <w:numFmt w:val="lowerLetter"/>
      <w:start w:val="1"/>
    </w:lvl>
  </w:abstractNum>
  <w:abstractNum w:abstractNumId="96">
    <w:nsid w:val="488AC1A"/>
    <w:multiLevelType w:val="hybridMultilevel"/>
    <w:lvl w:ilvl="0">
      <w:lvlJc w:val="left"/>
      <w:lvlText w:val="(%1)"/>
      <w:numFmt w:val="lowerRoman"/>
      <w:start w:val="1"/>
    </w:lvl>
  </w:abstractNum>
  <w:abstractNum w:abstractNumId="97">
    <w:nsid w:val="5FB8011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0" Type="http://schemas.openxmlformats.org/officeDocument/2006/relationships/image" Target="media/image123.png"/><Relationship Id="rId159" Type="http://schemas.openxmlformats.org/officeDocument/2006/relationships/image" Target="media/image124.png"/><Relationship Id="rId174" Type="http://schemas.openxmlformats.org/officeDocument/2006/relationships/image" Target="media/image125.png"/><Relationship Id="rId187" Type="http://schemas.openxmlformats.org/officeDocument/2006/relationships/image" Target="media/image126.png"/><Relationship Id="rId204" Type="http://schemas.openxmlformats.org/officeDocument/2006/relationships/image" Target="media/image127.png"/><Relationship Id="rId223" Type="http://schemas.openxmlformats.org/officeDocument/2006/relationships/image" Target="media/image128.png"/><Relationship Id="rId225" Type="http://schemas.openxmlformats.org/officeDocument/2006/relationships/image" Target="media/image129.png"/><Relationship Id="rId226" Type="http://schemas.openxmlformats.org/officeDocument/2006/relationships/image" Target="media/image130.png"/><Relationship Id="rId227" Type="http://schemas.openxmlformats.org/officeDocument/2006/relationships/image" Target="media/image131.png"/><Relationship Id="rId228" Type="http://schemas.openxmlformats.org/officeDocument/2006/relationships/image" Target="media/image132.png"/><Relationship Id="rId229" Type="http://schemas.openxmlformats.org/officeDocument/2006/relationships/image" Target="media/image133.png"/><Relationship Id="rId230" Type="http://schemas.openxmlformats.org/officeDocument/2006/relationships/image" Target="media/image134.png"/><Relationship Id="rId231" Type="http://schemas.openxmlformats.org/officeDocument/2006/relationships/image" Target="media/image135.png"/><Relationship Id="rId232" Type="http://schemas.openxmlformats.org/officeDocument/2006/relationships/image" Target="media/image136.png"/><Relationship Id="rId233" Type="http://schemas.openxmlformats.org/officeDocument/2006/relationships/image" Target="media/image137.png"/><Relationship Id="rId234" Type="http://schemas.openxmlformats.org/officeDocument/2006/relationships/image" Target="media/image138.png"/><Relationship Id="rId235" Type="http://schemas.openxmlformats.org/officeDocument/2006/relationships/image" Target="media/image139.png"/><Relationship Id="rId236" Type="http://schemas.openxmlformats.org/officeDocument/2006/relationships/image" Target="media/image140.png"/><Relationship Id="rId237" Type="http://schemas.openxmlformats.org/officeDocument/2006/relationships/image" Target="media/image141.png"/><Relationship Id="rId238" Type="http://schemas.openxmlformats.org/officeDocument/2006/relationships/image" Target="media/image142.png"/><Relationship Id="rId239" Type="http://schemas.openxmlformats.org/officeDocument/2006/relationships/image" Target="media/image143.png"/><Relationship Id="rId240" Type="http://schemas.openxmlformats.org/officeDocument/2006/relationships/image" Target="media/image144.png"/><Relationship Id="rId241" Type="http://schemas.openxmlformats.org/officeDocument/2006/relationships/image" Target="media/image145.png"/><Relationship Id="rId242" Type="http://schemas.openxmlformats.org/officeDocument/2006/relationships/image" Target="media/image146.png"/><Relationship Id="rId243" Type="http://schemas.openxmlformats.org/officeDocument/2006/relationships/image" Target="media/image147.png"/><Relationship Id="rId244" Type="http://schemas.openxmlformats.org/officeDocument/2006/relationships/image" Target="media/image148.png"/><Relationship Id="rId245" Type="http://schemas.openxmlformats.org/officeDocument/2006/relationships/image" Target="media/image149.png"/><Relationship Id="rId246" Type="http://schemas.openxmlformats.org/officeDocument/2006/relationships/image" Target="media/image150.png"/><Relationship Id="rId247" Type="http://schemas.openxmlformats.org/officeDocument/2006/relationships/image" Target="media/image151.png"/><Relationship Id="rId248" Type="http://schemas.openxmlformats.org/officeDocument/2006/relationships/image" Target="media/image152.png"/><Relationship Id="rId249" Type="http://schemas.openxmlformats.org/officeDocument/2006/relationships/image" Target="media/image153.png"/><Relationship Id="rId250" Type="http://schemas.openxmlformats.org/officeDocument/2006/relationships/image" Target="media/image154.png"/><Relationship Id="rId251" Type="http://schemas.openxmlformats.org/officeDocument/2006/relationships/image" Target="media/image155.png"/><Relationship Id="rId252" Type="http://schemas.openxmlformats.org/officeDocument/2006/relationships/image" Target="media/image156.png"/><Relationship Id="rId253" Type="http://schemas.openxmlformats.org/officeDocument/2006/relationships/image" Target="media/image157.png"/><Relationship Id="rId254" Type="http://schemas.openxmlformats.org/officeDocument/2006/relationships/image" Target="media/image158.png"/><Relationship Id="rId255" Type="http://schemas.openxmlformats.org/officeDocument/2006/relationships/image" Target="media/image159.png"/><Relationship Id="rId256" Type="http://schemas.openxmlformats.org/officeDocument/2006/relationships/image" Target="media/image160.png"/><Relationship Id="rId257" Type="http://schemas.openxmlformats.org/officeDocument/2006/relationships/image" Target="media/image161.png"/><Relationship Id="rId258" Type="http://schemas.openxmlformats.org/officeDocument/2006/relationships/image" Target="media/image162.png"/><Relationship Id="rId259" Type="http://schemas.openxmlformats.org/officeDocument/2006/relationships/image" Target="media/image163.png"/><Relationship Id="rId260" Type="http://schemas.openxmlformats.org/officeDocument/2006/relationships/image" Target="media/image164.png"/><Relationship Id="rId261" Type="http://schemas.openxmlformats.org/officeDocument/2006/relationships/image" Target="media/image165.png"/><Relationship Id="rId262" Type="http://schemas.openxmlformats.org/officeDocument/2006/relationships/image" Target="media/image166.png"/><Relationship Id="rId263" Type="http://schemas.openxmlformats.org/officeDocument/2006/relationships/image" Target="media/image167.png"/><Relationship Id="rId264" Type="http://schemas.openxmlformats.org/officeDocument/2006/relationships/image" Target="media/image168.png"/><Relationship Id="rId265" Type="http://schemas.openxmlformats.org/officeDocument/2006/relationships/image" Target="media/image169.png"/><Relationship Id="rId266" Type="http://schemas.openxmlformats.org/officeDocument/2006/relationships/image" Target="media/image170.png"/><Relationship Id="rId267" Type="http://schemas.openxmlformats.org/officeDocument/2006/relationships/image" Target="media/image171.png"/><Relationship Id="rId268" Type="http://schemas.openxmlformats.org/officeDocument/2006/relationships/image" Target="media/image172.png"/><Relationship Id="rId269" Type="http://schemas.openxmlformats.org/officeDocument/2006/relationships/image" Target="media/image173.png"/><Relationship Id="rId270" Type="http://schemas.openxmlformats.org/officeDocument/2006/relationships/image" Target="media/image174.png"/><Relationship Id="rId271" Type="http://schemas.openxmlformats.org/officeDocument/2006/relationships/image" Target="media/image175.png"/><Relationship Id="rId272" Type="http://schemas.openxmlformats.org/officeDocument/2006/relationships/image" Target="media/image176.png"/><Relationship Id="rId273" Type="http://schemas.openxmlformats.org/officeDocument/2006/relationships/image" Target="media/image177.png"/><Relationship Id="rId274" Type="http://schemas.openxmlformats.org/officeDocument/2006/relationships/image" Target="media/image178.png"/><Relationship Id="rId275" Type="http://schemas.openxmlformats.org/officeDocument/2006/relationships/image" Target="media/image179.png"/><Relationship Id="rId276" Type="http://schemas.openxmlformats.org/officeDocument/2006/relationships/image" Target="media/image180.png"/><Relationship Id="rId277" Type="http://schemas.openxmlformats.org/officeDocument/2006/relationships/image" Target="media/image181.png"/><Relationship Id="rId278" Type="http://schemas.openxmlformats.org/officeDocument/2006/relationships/image" Target="media/image182.png"/><Relationship Id="rId279" Type="http://schemas.openxmlformats.org/officeDocument/2006/relationships/image" Target="media/image183.png"/><Relationship Id="rId280" Type="http://schemas.openxmlformats.org/officeDocument/2006/relationships/image" Target="media/image184.png"/><Relationship Id="rId281" Type="http://schemas.openxmlformats.org/officeDocument/2006/relationships/image" Target="media/image185.png"/><Relationship Id="rId282" Type="http://schemas.openxmlformats.org/officeDocument/2006/relationships/image" Target="media/image186.png"/><Relationship Id="rId283" Type="http://schemas.openxmlformats.org/officeDocument/2006/relationships/image" Target="media/image187.png"/><Relationship Id="rId284" Type="http://schemas.openxmlformats.org/officeDocument/2006/relationships/image" Target="media/image188.png"/><Relationship Id="rId285" Type="http://schemas.openxmlformats.org/officeDocument/2006/relationships/image" Target="media/image189.png"/><Relationship Id="rId286" Type="http://schemas.openxmlformats.org/officeDocument/2006/relationships/image" Target="media/image190.png"/><Relationship Id="rId287" Type="http://schemas.openxmlformats.org/officeDocument/2006/relationships/image" Target="media/image191.png"/><Relationship Id="rId288" Type="http://schemas.openxmlformats.org/officeDocument/2006/relationships/image" Target="media/image192.png"/><Relationship Id="rId289" Type="http://schemas.openxmlformats.org/officeDocument/2006/relationships/image" Target="media/image193.png"/><Relationship Id="rId290" Type="http://schemas.openxmlformats.org/officeDocument/2006/relationships/image" Target="media/image194.png"/><Relationship Id="rId291" Type="http://schemas.openxmlformats.org/officeDocument/2006/relationships/image" Target="media/image195.png"/><Relationship Id="rId292" Type="http://schemas.openxmlformats.org/officeDocument/2006/relationships/image" Target="media/image196.png"/><Relationship Id="rId293" Type="http://schemas.openxmlformats.org/officeDocument/2006/relationships/image" Target="media/image197.png"/><Relationship Id="rId294" Type="http://schemas.openxmlformats.org/officeDocument/2006/relationships/image" Target="media/image198.png"/><Relationship Id="rId295" Type="http://schemas.openxmlformats.org/officeDocument/2006/relationships/image" Target="media/image199.png"/><Relationship Id="rId296" Type="http://schemas.openxmlformats.org/officeDocument/2006/relationships/image" Target="media/image200.png"/><Relationship Id="rId297" Type="http://schemas.openxmlformats.org/officeDocument/2006/relationships/image" Target="media/image201.png"/><Relationship Id="rId298" Type="http://schemas.openxmlformats.org/officeDocument/2006/relationships/image" Target="media/image202.png"/><Relationship Id="rId299" Type="http://schemas.openxmlformats.org/officeDocument/2006/relationships/image" Target="media/image203.png"/><Relationship Id="rId300" Type="http://schemas.openxmlformats.org/officeDocument/2006/relationships/image" Target="media/image204.png"/><Relationship Id="rId301" Type="http://schemas.openxmlformats.org/officeDocument/2006/relationships/image" Target="media/image205.png"/><Relationship Id="rId302" Type="http://schemas.openxmlformats.org/officeDocument/2006/relationships/image" Target="media/image206.png"/><Relationship Id="rId303" Type="http://schemas.openxmlformats.org/officeDocument/2006/relationships/image" Target="media/image207.png"/><Relationship Id="rId304" Type="http://schemas.openxmlformats.org/officeDocument/2006/relationships/image" Target="media/image208.png"/><Relationship Id="rId305" Type="http://schemas.openxmlformats.org/officeDocument/2006/relationships/image" Target="media/image209.png"/><Relationship Id="rId306" Type="http://schemas.openxmlformats.org/officeDocument/2006/relationships/image" Target="media/image210.png"/><Relationship Id="rId307" Type="http://schemas.openxmlformats.org/officeDocument/2006/relationships/image" Target="media/image211.png"/><Relationship Id="rId308" Type="http://schemas.openxmlformats.org/officeDocument/2006/relationships/image" Target="media/image212.png"/><Relationship Id="rId309" Type="http://schemas.openxmlformats.org/officeDocument/2006/relationships/image" Target="media/image213.png"/><Relationship Id="rId310" Type="http://schemas.openxmlformats.org/officeDocument/2006/relationships/image" Target="media/image214.png"/><Relationship Id="rId311" Type="http://schemas.openxmlformats.org/officeDocument/2006/relationships/image" Target="media/image215.png"/><Relationship Id="rId312" Type="http://schemas.openxmlformats.org/officeDocument/2006/relationships/image" Target="media/image216.png"/><Relationship Id="rId313" Type="http://schemas.openxmlformats.org/officeDocument/2006/relationships/image" Target="media/image217.png"/><Relationship Id="rId314" Type="http://schemas.openxmlformats.org/officeDocument/2006/relationships/image" Target="media/image218.png"/><Relationship Id="rId315" Type="http://schemas.openxmlformats.org/officeDocument/2006/relationships/image" Target="media/image219.png"/><Relationship Id="rId316" Type="http://schemas.openxmlformats.org/officeDocument/2006/relationships/image" Target="media/image220.png"/><Relationship Id="rId317" Type="http://schemas.openxmlformats.org/officeDocument/2006/relationships/image" Target="media/image221.png"/><Relationship Id="rId318" Type="http://schemas.openxmlformats.org/officeDocument/2006/relationships/image" Target="media/image222.png"/><Relationship Id="rId319" Type="http://schemas.openxmlformats.org/officeDocument/2006/relationships/image" Target="media/image223.png"/><Relationship Id="rId320" Type="http://schemas.openxmlformats.org/officeDocument/2006/relationships/image" Target="media/image224.png"/><Relationship Id="rId321" Type="http://schemas.openxmlformats.org/officeDocument/2006/relationships/image" Target="media/image225.png"/><Relationship Id="rId322" Type="http://schemas.openxmlformats.org/officeDocument/2006/relationships/image" Target="media/image226.png"/><Relationship Id="rId323" Type="http://schemas.openxmlformats.org/officeDocument/2006/relationships/image" Target="media/image227.png"/><Relationship Id="rId324" Type="http://schemas.openxmlformats.org/officeDocument/2006/relationships/image" Target="media/image228.png"/><Relationship Id="rId325" Type="http://schemas.openxmlformats.org/officeDocument/2006/relationships/image" Target="media/image229.png"/><Relationship Id="rId130" Type="http://schemas.openxmlformats.org/officeDocument/2006/relationships/hyperlink" Target="https://www.sec.gov/Archives/edgar/data/1070423/000110465916132668/a16-14925_1ex2d1.htm" TargetMode="External"/><Relationship Id="rId131" Type="http://schemas.openxmlformats.org/officeDocument/2006/relationships/hyperlink" Target="https://www.sec.gov/Archives/edgar/data/1070423/000110465921091443/tm2121935d1_ex2-1.htm" TargetMode="External"/><Relationship Id="rId132" Type="http://schemas.openxmlformats.org/officeDocument/2006/relationships/hyperlink" Target="https://www.sec.gov/Archives/edgar/data/1070423/000107042325000020/paaq22025exhibit21.htm" TargetMode="External"/><Relationship Id="rId133" Type="http://schemas.openxmlformats.org/officeDocument/2006/relationships/hyperlink" Target="https://www.sec.gov/Archives/edgar/data/1070423/000110465925107695/tm2530339d1_ex2-1.htm" TargetMode="External"/><Relationship Id="rId134" Type="http://schemas.openxmlformats.org/officeDocument/2006/relationships/hyperlink" Target="https://www.sec.gov/Archives/edgar/data/1070423/000110465925107695/tm2530339d1_ex2-2.htm" TargetMode="External"/><Relationship Id="rId135" Type="http://schemas.openxmlformats.org/officeDocument/2006/relationships/hyperlink" Target="https://www.sec.gov/Archives/edgar/data/1070423/000110465917061889/a17-22685_5ex3d1.htm" TargetMode="External"/><Relationship Id="rId136" Type="http://schemas.openxmlformats.org/officeDocument/2006/relationships/hyperlink" Target="https://www.sec.gov/Archives/edgar/data/1070423/000104746904016502/a2135501zex-3_2.htm" TargetMode="External"/><Relationship Id="rId137" Type="http://schemas.openxmlformats.org/officeDocument/2006/relationships/hyperlink" Target="https://www.sec.gov/Archives/edgar/data/1070423/000110465911010359/a11-2319_1ex3d9.htm" TargetMode="External"/><Relationship Id="rId138" Type="http://schemas.openxmlformats.org/officeDocument/2006/relationships/hyperlink" Target="https://www.sec.gov/Archives/edgar/data/1070423/000110465911010359/a11-2319_1ex3d10.htm" TargetMode="External"/><Relationship Id="rId139" Type="http://schemas.openxmlformats.org/officeDocument/2006/relationships/hyperlink" Target="https://www.sec.gov/Archives/edgar/data/1070423/000110465914014322/a13-25941_1ex3d7.htm" TargetMode="External"/><Relationship Id="rId141" Type="http://schemas.openxmlformats.org/officeDocument/2006/relationships/hyperlink" Target="https://www.sec.gov/Archives/edgar/data/1070423/000110465914014322/a13-25941_1ex3d8.htm" TargetMode="External"/><Relationship Id="rId142" Type="http://schemas.openxmlformats.org/officeDocument/2006/relationships/hyperlink" Target="https://www.sec.gov/Archives/edgar/data/1070423/000107042320000004/paa201910-kexhibit37.htm" TargetMode="External"/><Relationship Id="rId143" Type="http://schemas.openxmlformats.org/officeDocument/2006/relationships/hyperlink" Target="https://www.sec.gov/Archives/edgar/data/1070423/000104746904016502/a2135501zex-3_3.htm" TargetMode="External"/><Relationship Id="rId144" Type="http://schemas.openxmlformats.org/officeDocument/2006/relationships/hyperlink" Target="https://www.sec.gov/Archives/edgar/data/1070423/000110465914014322/a13-25941_1ex3d10.htm" TargetMode="External"/><Relationship Id="rId145" Type="http://schemas.openxmlformats.org/officeDocument/2006/relationships/hyperlink" Target="https://www.sec.gov/Archives/edgar/data/1070423/000110465916158355/a16-21841_1ex3d3.htm" TargetMode="External"/><Relationship Id="rId146" Type="http://schemas.openxmlformats.org/officeDocument/2006/relationships/hyperlink" Target="https://www.sec.gov/Archives/edgar/data/1070423/000110465916158355/a16-21841_1ex3d4.htm" TargetMode="External"/><Relationship Id="rId147" Type="http://schemas.openxmlformats.org/officeDocument/2006/relationships/hyperlink" Target="https://www.sec.gov/Archives/edgar/data/1070423/000110465918060011/a18-36196_1ex3d1.htm" TargetMode="External"/><Relationship Id="rId148" Type="http://schemas.openxmlformats.org/officeDocument/2006/relationships/hyperlink" Target="https://www.sec.gov/Archives/edgar/data/1070423/000110465919032810/a19-10856_1ex3d1.htm" TargetMode="External"/><Relationship Id="rId149" Type="http://schemas.openxmlformats.org/officeDocument/2006/relationships/hyperlink" Target="https://www.sec.gov/Archives/edgar/data/1070423/000110465923093997/tm2324104d2_ex3-1.htm" TargetMode="External"/><Relationship Id="rId150" Type="http://schemas.openxmlformats.org/officeDocument/2006/relationships/hyperlink" Target="https://www.sec.gov/Archives/edgar/data/1070423/000095012907001096/h43224exv3w10.htm" TargetMode="External"/><Relationship Id="rId151" Type="http://schemas.openxmlformats.org/officeDocument/2006/relationships/hyperlink" Target="https://www.sec.gov/Archives/edgar/data/1070423/000095012907001096/h43224exv3w11.htm" TargetMode="External"/><Relationship Id="rId152" Type="http://schemas.openxmlformats.org/officeDocument/2006/relationships/hyperlink" Target="https://www.sec.gov/Archives/edgar/data/1070423/000095012908000071/h52770exv3w3.htm" TargetMode="External"/><Relationship Id="rId153" Type="http://schemas.openxmlformats.org/officeDocument/2006/relationships/hyperlink" Target="https://www.sec.gov/Archives/edgar/data/1581990/000104746913007875/a2216069zex-3_1.htm" TargetMode="External"/><Relationship Id="rId154" Type="http://schemas.openxmlformats.org/officeDocument/2006/relationships/hyperlink" Target="https://www.sec.gov/Archives/edgar/data/1581990/000110465916158356/a16-21845_1ex3d2.htm" TargetMode="External"/><Relationship Id="rId155" Type="http://schemas.openxmlformats.org/officeDocument/2006/relationships/hyperlink" Target="https://www.sec.gov/Archives/edgar/data/1581990/000158199020000012/exhibit31.htm" TargetMode="External"/><Relationship Id="rId156" Type="http://schemas.openxmlformats.org/officeDocument/2006/relationships/hyperlink" Target="https://www.sec.gov/Archives/edgar/data/1581990/000104746913007875/a2216069zex-3_3.htm" TargetMode="External"/><Relationship Id="rId157" Type="http://schemas.openxmlformats.org/officeDocument/2006/relationships/hyperlink" Target="https://www.sec.gov/Archives/edgar/data/1070423/000107042322000006/paa202110-kexhibite69.htm" TargetMode="External"/><Relationship Id="rId158" Type="http://schemas.openxmlformats.org/officeDocument/2006/relationships/hyperlink" Target="https://www.sec.gov/Archives/edgar/data/1070423/000089924302002834/dex41.txt" TargetMode="External"/><Relationship Id="rId160" Type="http://schemas.openxmlformats.org/officeDocument/2006/relationships/hyperlink" Target="https://www.sec.gov/Archives/edgar/data/1070423/000110465906034368/a06-11663_1ex4d1.htm" TargetMode="External"/><Relationship Id="rId161" Type="http://schemas.openxmlformats.org/officeDocument/2006/relationships/hyperlink" Target="https://www.sec.gov/Archives/edgar/data/1070423/000095012906009235/h40667exv4w2.htm" TargetMode="External"/><Relationship Id="rId162" Type="http://schemas.openxmlformats.org/officeDocument/2006/relationships/hyperlink" Target="https://www.sec.gov/Archives/edgar/data/1070423/000119312512132295/d321017dex43.htm" TargetMode="External"/><Relationship Id="rId163" Type="http://schemas.openxmlformats.org/officeDocument/2006/relationships/hyperlink" Target="https://www.sec.gov/Archives/edgar/data/1070423/000119312512499932/d453762dex43.htm" TargetMode="External"/><Relationship Id="rId164" Type="http://schemas.openxmlformats.org/officeDocument/2006/relationships/hyperlink" Target="https://www.sec.gov/Archives/edgar/data/1070423/000119312514164183/d713938dex41.htm" TargetMode="External"/><Relationship Id="rId165" Type="http://schemas.openxmlformats.org/officeDocument/2006/relationships/hyperlink" Target="https://www.sec.gov/Archives/edgar/data/1070423/000119312514440007/d833885dex43.htm" TargetMode="External"/><Relationship Id="rId166" Type="http://schemas.openxmlformats.org/officeDocument/2006/relationships/hyperlink" Target="https://www.sec.gov/Archives/edgar/data/1070423/000110465916159593/a16-22232_1ex4d1.htm" TargetMode="External"/><Relationship Id="rId167" Type="http://schemas.openxmlformats.org/officeDocument/2006/relationships/hyperlink" Target="https://www.sec.gov/Archives/edgar/data/1070423/000141057819001281/tv529555_ex4-1.htm" TargetMode="External"/><Relationship Id="rId168" Type="http://schemas.openxmlformats.org/officeDocument/2006/relationships/hyperlink" Target="https://www.sec.gov/Archives/edgar/data/1070423/000110465920072270/tm2022235d1_ex4-1.htm" TargetMode="External"/><Relationship Id="rId169" Type="http://schemas.openxmlformats.org/officeDocument/2006/relationships/hyperlink" Target="https://www.sec.gov/Archives/edgar/data/1070423/000110465924075672/tm2418387d1_ex4-1.htm" TargetMode="External"/><Relationship Id="rId170" Type="http://schemas.openxmlformats.org/officeDocument/2006/relationships/hyperlink" Target="https://www.sec.gov/Archives/edgar/data/1070423/000110465925003785/tm253436d1_ex4-1.htm" TargetMode="External"/><Relationship Id="rId171" Type="http://schemas.openxmlformats.org/officeDocument/2006/relationships/hyperlink" Target="https://www.sec.gov/Archives/edgar/data/1070423/000110465925088257/tm2524999d4_ex4-1.htm" TargetMode="External"/><Relationship Id="rId172" Type="http://schemas.openxmlformats.org/officeDocument/2006/relationships/hyperlink" Target="https://www.sec.gov/Archives/edgar/data/1070423/000110465925088257/tm2524999d4_ex4-3.htm" TargetMode="External"/><Relationship Id="rId173" Type="http://schemas.openxmlformats.org/officeDocument/2006/relationships/hyperlink" Target="https://www.sec.gov/Archives/edgar/data/1070423/000095012309050401/h68193exv4w1.htm" TargetMode="External"/><Relationship Id="rId175" Type="http://schemas.openxmlformats.org/officeDocument/2006/relationships/hyperlink" Target="https://www.sec.gov/Archives/edgar/data/1070423/000110465916093299/a16-3362_1ex4d1.htm" TargetMode="External"/><Relationship Id="rId176" Type="http://schemas.openxmlformats.org/officeDocument/2006/relationships/hyperlink" Target="https://www.sec.gov/Archives/edgar/data/1070423/000110465916158355/a16-21841_1ex10d4.htm" TargetMode="External"/><Relationship Id="rId177" Type="http://schemas.openxmlformats.org/officeDocument/2006/relationships/hyperlink" Target="https://www.sec.gov/Archives/edgar/data/1070423/000107042325000006/paa202410-kexhibit417.htm" TargetMode="External"/><Relationship Id="rId178" Type="http://schemas.openxmlformats.org/officeDocument/2006/relationships/hyperlink" Target="https://www.sec.gov/Archives/edgar/data/1070423/000110465921109829/tm2125729d3_ex10-1.htm" TargetMode="External"/><Relationship Id="rId179" Type="http://schemas.openxmlformats.org/officeDocument/2006/relationships/hyperlink" Target="https://www.sec.gov/Archives/edgar/data/1070423/000110465922094478/tm2224524d1_ex10-1.htm" TargetMode="External"/><Relationship Id="rId180" Type="http://schemas.openxmlformats.org/officeDocument/2006/relationships/hyperlink" Target="https://www.sec.gov/Archives/edgar/data/1070423/000110465924092056/tm2422213d1_ex10-1.htm" TargetMode="External"/><Relationship Id="rId181" Type="http://schemas.openxmlformats.org/officeDocument/2006/relationships/hyperlink" Target="https://www.sec.gov/Archives/edgar/data/1070423/000110465921109829/tm2125729d3_ex10-2.htm" TargetMode="External"/><Relationship Id="rId182" Type="http://schemas.openxmlformats.org/officeDocument/2006/relationships/hyperlink" Target="https://www.sec.gov/Archives/edgar/data/1070423/000110465922094478/tm2224524d1_ex10-2.htm" TargetMode="External"/><Relationship Id="rId183" Type="http://schemas.openxmlformats.org/officeDocument/2006/relationships/hyperlink" Target="https://www.sec.gov/Archives/edgar/data/1070423/000110465924092056/tm2422213d1_ex10-2.htm" TargetMode="External"/><Relationship Id="rId184" Type="http://schemas.openxmlformats.org/officeDocument/2006/relationships/hyperlink" Target="https://www.sec.gov/Archives/edgar/data/1070423/000110465925107695/tm2530339d1_ex10-1.htm" TargetMode="External"/><Relationship Id="rId185" Type="http://schemas.openxmlformats.org/officeDocument/2006/relationships/hyperlink" Target="https://www.sec.gov/Archives/edgar/data/1070423/000110465925118133/tm2532637d1_ex10-1.htm" TargetMode="External"/><Relationship Id="rId186" Type="http://schemas.openxmlformats.org/officeDocument/2006/relationships/hyperlink" Target="https://www.sec.gov/Archives/edgar/data/1070423/000095012908000071/h52770exv10w2.htm" TargetMode="External"/><Relationship Id="rId188" Type="http://schemas.openxmlformats.org/officeDocument/2006/relationships/hyperlink" Target="https://www.sec.gov/Archives/edgar/data/1070423/000110465916158355/a16-21841_1ex10d1.htm" TargetMode="External"/><Relationship Id="rId189" Type="http://schemas.openxmlformats.org/officeDocument/2006/relationships/hyperlink" Target="https://www.sec.gov/Archives/edgar/data/1070423/000110465916158355/a16-21841_1ex10d2.htm" TargetMode="External"/><Relationship Id="rId190" Type="http://schemas.openxmlformats.org/officeDocument/2006/relationships/hyperlink" Target="https://www.sec.gov/Archives/edgar/data/1070423/000089924301501783/dex101.txt" TargetMode="External"/><Relationship Id="rId191" Type="http://schemas.openxmlformats.org/officeDocument/2006/relationships/hyperlink" Target="https://www.sec.gov/Archives/edgar/data/1070423/000104746909001897/a2190434zex-10_49.htm" TargetMode="External"/><Relationship Id="rId192" Type="http://schemas.openxmlformats.org/officeDocument/2006/relationships/hyperlink" Target="https://www.sec.gov/Archives/edgar/data/1070423/000110465911010359/a11-2319_1ex10d31.htm" TargetMode="External"/><Relationship Id="rId193" Type="http://schemas.openxmlformats.org/officeDocument/2006/relationships/hyperlink" Target="https://www.sec.gov/Archives/edgar/data/1070423/000110465913078056/a13-22862_1ex10d2.htm" TargetMode="External"/><Relationship Id="rId194" Type="http://schemas.openxmlformats.org/officeDocument/2006/relationships/hyperlink" Target="https://www.sec.gov/Archives/edgar/data/1070423/000107042318000015/paaq32018exhibit106.htm" TargetMode="External"/><Relationship Id="rId195" Type="http://schemas.openxmlformats.org/officeDocument/2006/relationships/hyperlink" Target="https://www.sec.gov/Archives/edgar/data/1070423/000107042320000004/paa201910-kexhibit1031.htm" TargetMode="External"/><Relationship Id="rId196" Type="http://schemas.openxmlformats.org/officeDocument/2006/relationships/hyperlink" Target="https://www.sec.gov/Archives/edgar/data/1070423/000107042322000006/paa202110-kexhibit1012.htm" TargetMode="External"/><Relationship Id="rId197" Type="http://schemas.openxmlformats.org/officeDocument/2006/relationships/hyperlink" Target="https://www.sec.gov/Archives/edgar/data/1070423/000107042325000026/paaq32025exhibit101.htm" TargetMode="External"/><Relationship Id="rId198" Type="http://schemas.openxmlformats.org/officeDocument/2006/relationships/hyperlink" Target="https://www.sec.gov/Archives/edgar/data/1070423/000089924301501783/dex102.txt" TargetMode="External"/><Relationship Id="rId199" Type="http://schemas.openxmlformats.org/officeDocument/2006/relationships/hyperlink" Target="https://www.sec.gov/Archives/edgar/data/1070423/000104746909001897/a2190434zex-10_50.htm" TargetMode="External"/><Relationship Id="rId200" Type="http://schemas.openxmlformats.org/officeDocument/2006/relationships/hyperlink" Target="https://www.sec.gov/Archives/edgar/data/1070423/000107042319000013/paaq32019exhibit101.htm" TargetMode="External"/><Relationship Id="rId201" Type="http://schemas.openxmlformats.org/officeDocument/2006/relationships/hyperlink" Target="https://www.sec.gov/Archives/edgar/data/1070423/000110465911010359/a11-2319_1ex10d32.htm" TargetMode="External"/><Relationship Id="rId202" Type="http://schemas.openxmlformats.org/officeDocument/2006/relationships/hyperlink" Target="https://www.sec.gov/Archives/edgar/data/1070423/000110465913078056/a13-22862_1ex10d3.htm" TargetMode="External"/><Relationship Id="rId203" Type="http://schemas.openxmlformats.org/officeDocument/2006/relationships/hyperlink" Target="https://www.sec.gov/Archives/edgar/data/1070423/000107042325000026/paaq32025exhibit102.htm" TargetMode="External"/><Relationship Id="rId205" Type="http://schemas.openxmlformats.org/officeDocument/2006/relationships/hyperlink" Target="https://www.sec.gov/Archives/edgar/data/1070423/000110465916100030/a15-24557_1ex10d53.htm" TargetMode="External"/><Relationship Id="rId206" Type="http://schemas.openxmlformats.org/officeDocument/2006/relationships/hyperlink" Target="https://www.sec.gov/Archives/edgar/data/1070423/000107042318000015/paaq32018exhibit107.htm" TargetMode="External"/><Relationship Id="rId207" Type="http://schemas.openxmlformats.org/officeDocument/2006/relationships/hyperlink" Target="https://www.sec.gov/Archives/edgar/data/1070423/000107042318000015/paaq32018exhibit108.htm" TargetMode="External"/><Relationship Id="rId208" Type="http://schemas.openxmlformats.org/officeDocument/2006/relationships/hyperlink" Target="https://www.sec.gov/Archives/edgar/data/1070423/000107042325000026/paaq32025exhibit106.htm" TargetMode="External"/><Relationship Id="rId209" Type="http://schemas.openxmlformats.org/officeDocument/2006/relationships/hyperlink" Target="https://www.sec.gov/Archives/edgar/data/1070423/000110465921049049/tm212450-1_def14a.htm#tAPPA" TargetMode="External"/><Relationship Id="rId210" Type="http://schemas.openxmlformats.org/officeDocument/2006/relationships/hyperlink" Target="https://www.sec.gov/Archives/edgar/data/1070423/000119312513390367/d597666ddef14a.htm#rom597666_10" TargetMode="External"/><Relationship Id="rId211" Type="http://schemas.openxmlformats.org/officeDocument/2006/relationships/hyperlink" Target="https://www.sec.gov/Archives/edgar/data/1070423/000110465913093006/a13-26950_1ex4d4.htm" TargetMode="External"/><Relationship Id="rId212" Type="http://schemas.openxmlformats.org/officeDocument/2006/relationships/hyperlink" Target="https://www.sec.gov/Archives/edgar/data/1481506/000095012310047963/h72950exv10w2.htm" TargetMode="External"/><Relationship Id="rId213" Type="http://schemas.openxmlformats.org/officeDocument/2006/relationships/hyperlink" Target="https://www.sec.gov/Archives/edgar/data/1581990/000110465913078057/a13-22338_2ex10d3.htm" TargetMode="External"/><Relationship Id="rId214" Type="http://schemas.openxmlformats.org/officeDocument/2006/relationships/hyperlink" Target="https://www.sec.gov/Archives/edgar/data/1070423/000107042321000008/paa202010-kexhibit1053.htm" TargetMode="External"/><Relationship Id="rId215" Type="http://schemas.openxmlformats.org/officeDocument/2006/relationships/hyperlink" Target="https://www.sec.gov/Archives/edgar/data/1070423/000107042322000012/paaq12022exhibit101.htm" TargetMode="External"/><Relationship Id="rId216" Type="http://schemas.openxmlformats.org/officeDocument/2006/relationships/hyperlink" Target="https://www.sec.gov/Archives/edgar/data/1070423/000107042323000024/paaq32023exhibit101.htm" TargetMode="External"/><Relationship Id="rId217" Type="http://schemas.openxmlformats.org/officeDocument/2006/relationships/hyperlink" Target="https://www.sec.gov/Archives/edgar/data/1070423/000107042324000027/paaq32024exhibit103.htm" TargetMode="External"/><Relationship Id="rId218" Type="http://schemas.openxmlformats.org/officeDocument/2006/relationships/hyperlink" Target="https://www.sec.gov/Archives/edgar/data/1070423/000107042325000026/paaq32025exhibit103.htm" TargetMode="External"/><Relationship Id="rId219" Type="http://schemas.openxmlformats.org/officeDocument/2006/relationships/hyperlink" Target="https://www.sec.gov/Archives/edgar/data/1070423/000107042325000026/paaq32025exhibit104.htm" TargetMode="External"/><Relationship Id="rId220" Type="http://schemas.openxmlformats.org/officeDocument/2006/relationships/hyperlink" Target="https://www.sec.gov/Archives/edgar/data/1070423/000107042325000026/paaq32025exhibit105.htm" TargetMode="External"/><Relationship Id="rId221" Type="http://schemas.openxmlformats.org/officeDocument/2006/relationships/hyperlink" Target="https://www.sec.gov/Archives/edgar/data/1070423/000107042325000006/paa202410-kexhibit191.htm" TargetMode="External"/><Relationship Id="rId222" Type="http://schemas.openxmlformats.org/officeDocument/2006/relationships/hyperlink" Target="https://www.sec.gov/Archives/edgar/data/1070423/000107042325000006/paa202410-kexhibit192.htm" TargetMode="External"/><Relationship Id="rId224" Type="http://schemas.openxmlformats.org/officeDocument/2006/relationships/hyperlink" Target="https://www.sec.gov/Archives/edgar/data/1070423/000107042324000008/paa2023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2026-02-27T17:20:24Z</dcterms:created>
  <dcterms:modified xsi:type="dcterms:W3CDTF">2026-02-27T17:20:24Z</dcterms:modified>
</cp:coreProperties>
</file>