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November 6, 2026</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15" w:right="359" w:bottom="1440" w:gutter="0" w:footer="0" w:header="0"/>
        </w:sectPr>
      </w:pPr>
    </w:p>
    <w:p>
      <w:pPr>
        <w:spacing w:after="0" w:line="39"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4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40"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2520" w:space="720"/>
            <w:col w:w="3360"/>
          </w:cols>
          <w:pgMar w:left="320" w:top="1415" w:right="359" w:bottom="1440" w:gutter="0" w:footer="0" w:header="0"/>
          <w:type w:val="continuous"/>
        </w:sectPr>
      </w:pPr>
    </w:p>
    <w:p>
      <w:pPr>
        <w:ind w:left="1620"/>
        <w:spacing w:after="0" w:line="235" w:lineRule="auto"/>
        <w:rPr>
          <w:sz w:val="20"/>
          <w:szCs w:val="20"/>
          <w:color w:val="auto"/>
        </w:rPr>
      </w:pPr>
      <w:r>
        <w:rPr>
          <w:rFonts w:ascii="Times New Roman" w:cs="Times New Roman" w:eastAsia="Times New Roman" w:hAnsi="Times New Roman"/>
          <w:sz w:val="18"/>
          <w:szCs w:val="18"/>
          <w:color w:val="auto"/>
        </w:rPr>
        <w:t>incorporation)</w:t>
      </w:r>
    </w:p>
    <w:p>
      <w:pPr>
        <w:spacing w:after="0" w:line="31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20"/>
          </w:cols>
          <w:pgMar w:left="320" w:top="1415" w:right="35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61"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0" w:type="dxa"/>
        <w:tblCellMar>
          <w:top w:w="0" w:type="dxa"/>
          <w:left w:w="0" w:type="dxa"/>
          <w:bottom w:w="0" w:type="dxa"/>
          <w:right w:w="0" w:type="dxa"/>
        </w:tblCellMar>
      </w:tblPr>
      <w:tr>
        <w:trPr>
          <w:trHeight w:val="238"/>
        </w:trPr>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0"/>
                <w:szCs w:val="20"/>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Units</w:t>
            </w:r>
          </w:p>
        </w:tc>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PAA</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31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22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59690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On November 6, 2026, the Registrant issued a press release reporting its third-quarter 2026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46"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6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20" w:type="dxa"/>
            <w:vAlign w:val="bottom"/>
            <w:tcBorders>
              <w:top w:val="single" w:sz="8" w:color="auto"/>
              <w:bottom w:val="single" w:sz="8" w:color="0000FF"/>
            </w:tcBorders>
          </w:tcPr>
          <w:p>
            <w:pPr>
              <w:spacing w:after="0" w:line="198" w:lineRule="exact"/>
              <w:rPr>
                <w:sz w:val="20"/>
                <w:szCs w:val="20"/>
                <w:color w:val="auto"/>
              </w:rPr>
            </w:pPr>
            <w:r>
              <w:rPr>
                <w:rFonts w:ascii="Times New Roman" w:cs="Times New Roman" w:eastAsia="Times New Roman" w:hAnsi="Times New Roman"/>
                <w:sz w:val="18"/>
                <w:szCs w:val="18"/>
                <w:color w:val="0000FF"/>
                <w:w w:val="99"/>
              </w:rPr>
              <w:t>Press Release dated November 6, 2026</w:t>
            </w:r>
          </w:p>
        </w:tc>
        <w:tc>
          <w:tcPr>
            <w:tcW w:w="4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860" w:hanging="792"/>
        <w:spacing w:after="0"/>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513"/>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513"/>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513"/>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51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8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37"/>
        </w:trPr>
        <w:tc>
          <w:tcPr>
            <w:tcW w:w="3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43"/>
        </w:trPr>
        <w:tc>
          <w:tcPr>
            <w:tcW w:w="31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448310</wp:posOffset>
            </wp:positionV>
            <wp:extent cx="2468880" cy="95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888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Plains All American Reports Third-Quarter 2026 Results</w:t>
      </w:r>
    </w:p>
    <w:p>
      <w:pPr>
        <w:spacing w:after="0" w:line="25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Houston, TX – November 6, 2026 – Plains All American Pipeline, L.P. (Nasdaq: PAA) and Plains GP Holdings (Nasdaq: PAGP) today reported third-quarter 2026 results and provided the following highlights: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Third-Quarter 2026 Results</w:t>
      </w:r>
    </w:p>
    <w:p>
      <w:pPr>
        <w:spacing w:after="0" w:line="14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Third-quarter Net income attributable to PAA of $363 million and Net cash provided by operating activities of $669 million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strong third-quarter Adjusted EBITDA attributable to PAA of $711 million</w:t>
      </w:r>
    </w:p>
    <w:p>
      <w:pPr>
        <w:spacing w:after="0" w:line="130"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leverage ratio at quarter-end was ~3.6x reflecting the issuance of $1.5 billion of Junior Subordinated notes and redemption of $2.3 billion of Series A and Series B Preferred Units (includes all announced transactions); recent balance sheet optimization is expected to generate ~$60 million ($0.09/unit) of distributable cash flow accretion to common unitholders annually</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 quarterly cash distribution of $0.4175 per unit ($1.67 per unit annualized), representing a current distribution yield of ~7%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and Recent Announcements</w:t>
      </w:r>
    </w:p>
    <w:p>
      <w:pPr>
        <w:spacing w:after="0" w:line="135" w:lineRule="exact"/>
        <w:rPr>
          <w:sz w:val="20"/>
          <w:szCs w:val="20"/>
          <w:color w:val="auto"/>
        </w:rPr>
      </w:pPr>
    </w:p>
    <w:p>
      <w:pPr>
        <w:ind w:left="660" w:right="80" w:hanging="328"/>
        <w:spacing w:after="0" w:line="31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the Permian JV gathering system adding ~270,000 dedicated acres in the Midland Basin supported by 10-year agreements with a large integrated producer with estimated gross volumes of ~225mbbl/d commencing in the fourth quarter of 2027 with opportunity for future growth</w:t>
      </w:r>
    </w:p>
    <w:p>
      <w:pPr>
        <w:spacing w:after="0" w:line="58" w:lineRule="exact"/>
        <w:rPr>
          <w:rFonts w:ascii="Times New Roman" w:cs="Times New Roman" w:eastAsia="Times New Roman" w:hAnsi="Times New Roman"/>
          <w:sz w:val="17"/>
          <w:szCs w:val="17"/>
          <w:color w:val="auto"/>
        </w:rPr>
      </w:pPr>
    </w:p>
    <w:p>
      <w:pPr>
        <w:ind w:left="660" w:right="2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the previously announced acquisition of a Powder River Basin gathering system and related assets (“Silver Creek”) from subsidiaries of Tailwater Capital and The Energy &amp; Minerals Group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for aggregate cash consideration of approximately $585 million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track to deliver full-year 2026 Adjusted EBITDA guidance attributable to PAA of $2.880 billion +/- $50 million</w:t>
      </w:r>
    </w:p>
    <w:p>
      <w:pPr>
        <w:spacing w:after="0" w:line="13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growth estimated ~$370 million in 2026 versus 2025, or ~16% (includes full year contribution from Cactus III acquisition)</w:t>
      </w:r>
    </w:p>
    <w:p>
      <w:pPr>
        <w:spacing w:after="0" w:line="14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on three key initiatives for the year: closed the NGL sale in May 2026, captured $50 million of synergies on the Cactus III acquisition and on track to deliver $50 million of efficiencies across the organization in 2026</w:t>
      </w:r>
    </w:p>
    <w:p>
      <w:pPr>
        <w:spacing w:after="0" w:line="18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“Our company delivered solid operational performance year-to-date with continued execution across the organization on our key initiatives for the year. We are driving efficient growth through multiple avenues including a further expansion of our Permian gathering footprint to service additional acreage in the Midland Basin with a large integrated producer. The recent acquisition of Silver Creek provides Plains with immediate scale in the Powder River Basin, where we expect significant production growth over the coming years, and enhanced integration with our existing downstream assets. The recent junior subordinated notes offering and corresponding redemption of preferred securities is expected to generate distributable cash flow accretion to common unitholders. Finally, the oil macro environment remains volatile, yet constructive, and we see multiple tailwinds for our business as we build momentum into 2027. We remain focused on a disciplined growth strategy, maintaining financial flexibility and increasing return of capital to our unitholders,” said Willie Chiang, Chairman, CEO and President.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Reporting Considerations</w:t>
      </w:r>
    </w:p>
    <w:p>
      <w:pPr>
        <w:spacing w:after="0" w:line="25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Sale of Canadian NGL Business</w:t>
      </w:r>
      <w:r>
        <w:rPr>
          <w:rFonts w:ascii="Times New Roman" w:cs="Times New Roman" w:eastAsia="Times New Roman" w:hAnsi="Times New Roman"/>
          <w:sz w:val="18"/>
          <w:szCs w:val="18"/>
          <w:color w:val="auto"/>
        </w:rPr>
        <w:t>. On May 12, 2026, we completed the sale of our NGL business in Canada (the “Canadian NGL Business”)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Keyera Corp. (“Keyera”), pursuant to a definitive share purchase agreement (as amended to date, the “SPA”) entered into on June 17, 2025. We determined that the operations of the Canadian NGL Business met the criteria for classification as held for sale and for discontinued operations reporting. Results throughout this release specify if they are presented from continuing operations (which exclude results related to the Canadian NGL Business) and/or discontinued operations.</w:t>
      </w:r>
    </w:p>
    <w:p>
      <w:pPr>
        <w:spacing w:after="0" w:line="21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During the third quarter of 2026, we reorganized our historical operating and reportable segments, Crude Oil and NGL,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consolidated segment. The change in our segment reflects changes in our business structure and the manner in which our management views and evaluates the business. This was driven by several factors, including (i) the completion of initiatives to (a) divest NGL assets (including the sale of the Canadian NGL Business in May 2026), (b) enhance the connectivity of our core asset base, and (c) streamline operations and management with a focused emphasis on our consolidated crude oil business, and (ii) management of commercial opportunities and operations across North America with a focus on optimization of profit, without regard to market or geographic location. All segment data and related disclosures for earlier periods presented herein have been recast to reflect the new segment reporting structure.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unit and per unit data)</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4"/>
        </w:trPr>
        <w:tc>
          <w:tcPr>
            <w:tcW w:w="52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GAAP Results </w:t>
            </w:r>
            <w:r>
              <w:rPr>
                <w:rFonts w:ascii="Times New Roman" w:cs="Times New Roman" w:eastAsia="Times New Roman" w:hAnsi="Times New Roman"/>
                <w:sz w:val="18"/>
                <w:szCs w:val="18"/>
                <w:b w:val="1"/>
                <w:bCs w:val="1"/>
                <w:i w:val="1"/>
                <w:iCs w:val="1"/>
                <w:color w:val="auto"/>
                <w:vertAlign w:val="superscript"/>
              </w:rPr>
              <w:t>(1)</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5200" w:type="dxa"/>
            <w:vAlign w:val="bottom"/>
            <w:gridSpan w:val="4"/>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Net income attributable to PAA </w:t>
            </w:r>
            <w:r>
              <w:rPr>
                <w:rFonts w:ascii="Times New Roman" w:cs="Times New Roman" w:eastAsia="Times New Roman" w:hAnsi="Times New Roman"/>
                <w:sz w:val="23"/>
                <w:szCs w:val="23"/>
                <w:color w:val="auto"/>
                <w:vertAlign w:val="superscript"/>
              </w:rPr>
              <w:t>(2)</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43"/>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Borders>
              <w:right w:val="single" w:sz="8" w:color="auto"/>
            </w:tcBorders>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43"/>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1"/>
                <w:szCs w:val="21"/>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right w:val="single" w:sz="8" w:color="auto"/>
            </w:tcBorders>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0.4175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0.3800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8"/>
                <w:szCs w:val="18"/>
                <w:b w:val="1"/>
                <w:bCs w:val="1"/>
                <w:i w:val="1"/>
                <w:iCs w:val="1"/>
                <w:color w:val="auto"/>
                <w:vertAlign w:val="superscript"/>
              </w:rPr>
              <w:t>(1) (3)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200" w:type="dxa"/>
            <w:vAlign w:val="bottom"/>
            <w:gridSpan w:val="4"/>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Adjusted net income attributable to PAA </w:t>
            </w:r>
            <w:r>
              <w:rPr>
                <w:rFonts w:ascii="Times New Roman" w:cs="Times New Roman" w:eastAsia="Times New Roman" w:hAnsi="Times New Roman"/>
                <w:sz w:val="23"/>
                <w:szCs w:val="23"/>
                <w:color w:val="auto"/>
                <w:vertAlign w:val="superscript"/>
              </w:rPr>
              <w:t>(2)</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Diluted adjusted net income/(loss) per common unit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right w:val="single" w:sz="8" w:color="auto"/>
            </w:tcBorders>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520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Borders>
              <w:right w:val="single" w:sz="8" w:color="auto"/>
            </w:tcBorders>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520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(4)</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tcBorders>
              <w:right w:val="single" w:sz="8" w:color="auto"/>
            </w:tcBorders>
          </w:tcPr>
          <w:p>
            <w:pPr>
              <w:spacing w:after="0"/>
              <w:rPr>
                <w:sz w:val="21"/>
                <w:szCs w:val="2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gridSpan w:val="4"/>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(4)</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2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Adjusted Free Cash Flow (Excluding Changes in Assets &amp; Liabilities)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3880" w:type="dxa"/>
            <w:vAlign w:val="bottom"/>
          </w:tcPr>
          <w:p>
            <w:pPr>
              <w:ind w:left="180"/>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gridSpan w:val="2"/>
            <w:vMerge w:val="restart"/>
          </w:tcPr>
          <w:p>
            <w:pPr>
              <w:jc w:val="right"/>
              <w:ind w:righ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569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vMerge w:val="restart"/>
          </w:tcPr>
          <w:p>
            <w:pPr>
              <w:jc w:val="right"/>
              <w:ind w:righ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0"/>
                <w:szCs w:val="10"/>
                <w:color w:val="auto"/>
              </w:rPr>
            </w:pPr>
          </w:p>
        </w:tc>
        <w:tc>
          <w:tcPr>
            <w:tcW w:w="96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152 %</w:t>
            </w:r>
          </w:p>
        </w:tc>
        <w:tc>
          <w:tcPr>
            <w:tcW w:w="140" w:type="dxa"/>
            <w:vAlign w:val="bottom"/>
            <w:tcBorders>
              <w:right w:val="single" w:sz="8" w:color="auto"/>
            </w:tcBorders>
          </w:tcPr>
          <w:p>
            <w:pPr>
              <w:spacing w:after="0"/>
              <w:rPr>
                <w:sz w:val="10"/>
                <w:szCs w:val="10"/>
                <w:color w:val="auto"/>
              </w:rPr>
            </w:pPr>
          </w:p>
        </w:tc>
        <w:tc>
          <w:tcPr>
            <w:tcW w:w="280" w:type="dxa"/>
            <w:vAlign w:val="bottom"/>
            <w:gridSpan w:val="2"/>
            <w:vMerge w:val="restart"/>
          </w:tcPr>
          <w:p>
            <w:pPr>
              <w:jc w:val="right"/>
              <w:ind w:righ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4,764</w:t>
            </w:r>
          </w:p>
        </w:tc>
        <w:tc>
          <w:tcPr>
            <w:tcW w:w="120" w:type="dxa"/>
            <w:vAlign w:val="bottom"/>
          </w:tcPr>
          <w:p>
            <w:pPr>
              <w:spacing w:after="0"/>
              <w:rPr>
                <w:sz w:val="10"/>
                <w:szCs w:val="10"/>
                <w:color w:val="auto"/>
              </w:rPr>
            </w:pPr>
          </w:p>
        </w:tc>
        <w:tc>
          <w:tcPr>
            <w:tcW w:w="200" w:type="dxa"/>
            <w:vAlign w:val="bottom"/>
            <w:vMerge w:val="restart"/>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0"/>
                <w:szCs w:val="10"/>
                <w:color w:val="auto"/>
              </w:rPr>
            </w:pPr>
          </w:p>
        </w:tc>
        <w:tc>
          <w:tcPr>
            <w:tcW w:w="98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2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0" w:type="dxa"/>
            <w:vAlign w:val="bottom"/>
            <w:gridSpan w:val="4"/>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Assets &amp; Liabilities) </w:t>
            </w:r>
            <w:r>
              <w:rPr>
                <w:rFonts w:ascii="Times New Roman" w:cs="Times New Roman" w:eastAsia="Times New Roman" w:hAnsi="Times New Roman"/>
                <w:sz w:val="23"/>
                <w:szCs w:val="23"/>
                <w:color w:val="auto"/>
                <w:vertAlign w:val="superscript"/>
              </w:rPr>
              <w:t>(4)</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Indicates that variance as a percentage is not meaningful.</w:t>
      </w:r>
    </w:p>
    <w:p>
      <w:pPr>
        <w:spacing w:after="0" w:line="32"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results from continuing operations and discontinued operations for the applicable periods presented. See the tables attached hereto for additional information.</w:t>
      </w:r>
    </w:p>
    <w:p>
      <w:pPr>
        <w:spacing w:after="0" w:line="59" w:lineRule="exact"/>
        <w:rPr>
          <w:rFonts w:ascii="Times New Roman" w:cs="Times New Roman" w:eastAsia="Times New Roman" w:hAnsi="Times New Roman"/>
          <w:sz w:val="19"/>
          <w:szCs w:val="19"/>
          <w:color w:val="auto"/>
          <w:vertAlign w:val="superscript"/>
        </w:rPr>
      </w:pPr>
    </w:p>
    <w:p>
      <w:pPr>
        <w:ind w:left="340" w:right="460" w:hanging="332"/>
        <w:spacing w:after="0" w:line="220" w:lineRule="auto"/>
        <w:tabs>
          <w:tab w:leader="none" w:pos="331"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amounts attributable to noncontrolling interests in the Plains Oryx Permian Basin LLC (the “Permian JV”), Cactus II Pipeline LLC and Red River Pipeline LLC joint ventures.</w:t>
      </w:r>
    </w:p>
    <w:p>
      <w:pPr>
        <w:spacing w:after="0" w:line="37" w:lineRule="exact"/>
        <w:rPr>
          <w:rFonts w:ascii="Times New Roman" w:cs="Times New Roman" w:eastAsia="Times New Roman" w:hAnsi="Times New Roman"/>
          <w:sz w:val="19"/>
          <w:szCs w:val="19"/>
          <w:color w:val="auto"/>
          <w:vertAlign w:val="superscript"/>
        </w:rPr>
      </w:pPr>
    </w:p>
    <w:p>
      <w:pPr>
        <w:jc w:val="both"/>
        <w:ind w:left="340" w:right="240" w:hanging="332"/>
        <w:spacing w:after="0" w:line="237" w:lineRule="auto"/>
        <w:tabs>
          <w:tab w:leader="none" w:pos="331"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37" w:lineRule="exact"/>
        <w:rPr>
          <w:rFonts w:ascii="Times New Roman" w:cs="Times New Roman" w:eastAsia="Times New Roman" w:hAnsi="Times New Roman"/>
          <w:sz w:val="19"/>
          <w:szCs w:val="19"/>
          <w:color w:val="auto"/>
          <w:vertAlign w:val="superscript"/>
        </w:rPr>
      </w:pPr>
    </w:p>
    <w:p>
      <w:pPr>
        <w:ind w:left="340" w:right="300" w:hanging="332"/>
        <w:spacing w:after="0" w:line="226" w:lineRule="auto"/>
        <w:tabs>
          <w:tab w:leader="none" w:pos="331"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For the nine months ended September 30, 2026, includes a net cash inflow of approximately $3.527 billion for proceeds (net of cash divested) from the sale of the Canadian NGL Business. For the nine months ended September 30, 2025, includes a net cash outflow of $865 million for bolt-on acquisitions.</w:t>
      </w:r>
    </w:p>
    <w:p>
      <w:pPr>
        <w:ind w:left="5440" w:hanging="106"/>
        <w:spacing w:after="0"/>
        <w:tabs>
          <w:tab w:leader="none" w:pos="5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60"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Third-quarter 2026 Adjusted EBITDA attributable to PAA increased 6% versus comparable 2025 results. Favorable results in the 2026 period from (i) contributions from the Cactus III acquisition completed in the fourth quarter of 2025, (ii) volume growth across our pipeline systems largely driven by increased production in the Permian Basin region and (iii) market opportunities and optimization initiatives were partially offset by (iv) the impact from certain Permian long-haul contract rates resetting to market in 2025, (v) higher operating costs driven by environmental remediation expenses and property tax expense and (vi) contributions in the 2025 period from the Canadian NGL Business, which was sold in May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and Webcast Instructions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joint conference call at 9:00 a.m. CT on Friday, November 6, 2026 to discuss third-quarter performance and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access the internet webcast, please go to https://edge.media-server.com/mmc/p/v5tv2qp6.</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1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21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the Investor Relations section of our website at www.plains.com (navigate to the “Financials” tab, then click on “Quarterly Results”), which presents a reconciliation of our commonly used non-GAAP and supplemental financial measures. We do not reconcile non-GAAP financial measures on a forward-looking basis as it is impractical to do so without unreasonable effort.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defined as earnings before (i) interest expense, (ii) income tax (expense)/benefit, (iii) depreciation and amortization (including our proportionate share of depreciation and amortization, including write-downs related to cancelled projects and impairments, of unconsolidated entities), (iv) gains and losses on asset sales, asset impairments and other, net, (v) gains and losses on and impairments of investments in unconsolidated entities, net and (vi) interest income on promissory notes by and among certain Plains entities, and adjusted for (vii) certain selected items impacting comparability. Adjusted EBITDA attributable to PAA excludes the portion of Adjusted EBITDA that is attributable to noncontrolling interests. Adjusted EBITDA from discontinued operations reflects Adjusted EBITDA amounts attributable to the Canadian NGL Business, while Adjusted EBITDA from continuing operations reflects Adjusted EBITDA attributable to PAA, excluding amounts attributable to discontinued operations.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6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From June 17, 2025, the date we entered into the SPA with Keyera to sell the Canadian NGL Business, through the closing of the divestiture on May 12, 2026, management reviewed such business as a component of our overall company performance and ability to fund distributions to our unitholders in the near term. As such, certain Non-GAAP financial performance measures, such as Adjusted EBITDA, Adjusted EBITDA attributable to PAA, Implied DCF, and certain Non-GAAP financial liquidity measures, such as Adjusted Free Cash Flow and Adjusted Free Cash Flow (Excluding Changes in Assets &amp; Liabilities), are presented on a consolidated basis (e.g., the aggregate of continuing operations and discontinued operations) to provide relevant and useful information regarding our historical performance and results of operations and to assist in reconciling results presented in historical periods.</w:t>
      </w:r>
    </w:p>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1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Liquidity Measures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6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4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In addition, we exclude impacts related to the Canadian NGL Business divestiture.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6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40"/>
          </w:cols>
          <w:pgMar w:left="320" w:top="364"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r>
      <w:tr>
        <w:trPr>
          <w:trHeight w:val="192"/>
        </w:trPr>
        <w:tc>
          <w:tcPr>
            <w:tcW w:w="38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388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33,698</w:t>
            </w:r>
          </w:p>
        </w:tc>
      </w:tr>
      <w:tr>
        <w:trPr>
          <w:trHeight w:val="148"/>
        </w:trPr>
        <w:tc>
          <w:tcPr>
            <w:tcW w:w="3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30,862</w:t>
            </w:r>
          </w:p>
        </w:tc>
      </w:tr>
      <w:tr>
        <w:trPr>
          <w:trHeight w:val="23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General and administrative expenses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27"/>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(Gains)/losses on asset sales, asset impairments and other, net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26"/>
        </w:trPr>
        <w:tc>
          <w:tcPr>
            <w:tcW w:w="6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32,618</w:t>
            </w:r>
          </w:p>
        </w:tc>
      </w:tr>
      <w:tr>
        <w:trPr>
          <w:trHeight w:val="149"/>
        </w:trPr>
        <w:tc>
          <w:tcPr>
            <w:tcW w:w="3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148"/>
        </w:trPr>
        <w:tc>
          <w:tcPr>
            <w:tcW w:w="3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7"/>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32"/>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on/(impairment of) investments in unconsolidated entities, net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Interest expense, net </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Other income, net </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128"/>
        </w:trPr>
        <w:tc>
          <w:tcPr>
            <w:tcW w:w="38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r>
      <w:tr>
        <w:trPr>
          <w:trHeight w:val="22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benefit/(expense) from continuing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benefit/(expense) from continuing operations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2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152"/>
        </w:trPr>
        <w:tc>
          <w:tcPr>
            <w:tcW w:w="388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27"/>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TAX</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151"/>
        </w:trPr>
        <w:tc>
          <w:tcPr>
            <w:tcW w:w="388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2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r>
      <w:tr>
        <w:trPr>
          <w:trHeight w:val="23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2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PAA</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19"/>
        </w:trPr>
        <w:tc>
          <w:tcPr>
            <w:tcW w:w="3880" w:type="dxa"/>
            <w:vAlign w:val="bottom"/>
            <w:shd w:val="clear" w:color="auto" w:fill="CCEEFF"/>
          </w:tcPr>
          <w:p>
            <w:pPr>
              <w:spacing w:after="0"/>
              <w:rPr>
                <w:sz w:val="10"/>
                <w:szCs w:val="10"/>
                <w:color w:val="auto"/>
              </w:rPr>
            </w:pPr>
          </w:p>
        </w:tc>
        <w:tc>
          <w:tcPr>
            <w:tcW w:w="2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22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PER COMMON UNIT: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3"/>
        </w:trPr>
        <w:tc>
          <w:tcPr>
            <w:tcW w:w="6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income/(loss) allocated to common unitholders — Basic and Diluted</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6"/>
        </w:trPr>
        <w:tc>
          <w:tcPr>
            <w:tcW w:w="6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30"/>
        </w:trPr>
        <w:tc>
          <w:tcPr>
            <w:tcW w:w="6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2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income/(loss) allocated to common unitholders — Basic and Diluted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18"/>
        </w:trPr>
        <w:tc>
          <w:tcPr>
            <w:tcW w:w="3880" w:type="dxa"/>
            <w:vAlign w:val="bottom"/>
            <w:shd w:val="clear" w:color="auto" w:fill="CCEEFF"/>
          </w:tcPr>
          <w:p>
            <w:pPr>
              <w:spacing w:after="0"/>
              <w:rPr>
                <w:sz w:val="10"/>
                <w:szCs w:val="10"/>
                <w:color w:val="auto"/>
              </w:rPr>
            </w:pPr>
          </w:p>
        </w:tc>
        <w:tc>
          <w:tcPr>
            <w:tcW w:w="2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r>
      <w:tr>
        <w:trPr>
          <w:trHeight w:val="227"/>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weighted average common units outstanding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152"/>
        </w:trPr>
        <w:tc>
          <w:tcPr>
            <w:tcW w:w="388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226"/>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income/(loss) per common unit: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3"/>
        </w:trPr>
        <w:tc>
          <w:tcPr>
            <w:tcW w:w="6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r>
      <w:tr>
        <w:trPr>
          <w:trHeight w:val="226"/>
        </w:trPr>
        <w:tc>
          <w:tcPr>
            <w:tcW w:w="63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48"/>
        </w:trPr>
        <w:tc>
          <w:tcPr>
            <w:tcW w:w="63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income/(loss) per common unit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388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135" w:lineRule="exact"/>
        <w:rPr>
          <w:sz w:val="20"/>
          <w:szCs w:val="20"/>
          <w:color w:val="auto"/>
        </w:rPr>
      </w:pPr>
    </w:p>
    <w:p>
      <w:pPr>
        <w:ind w:left="340" w:right="100" w:hanging="332"/>
        <w:spacing w:after="0" w:line="225"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nine months ended September 30, 2026, General and administrative expenses include approximately $33 million related to the acceleration of certain expenses primarily during the second quarter of 2026 resulting from exit costs associated with the Canadian NGL Business.</w:t>
      </w:r>
    </w:p>
    <w:p>
      <w:pPr>
        <w:spacing w:after="0" w:line="46" w:lineRule="exact"/>
        <w:rPr>
          <w:rFonts w:ascii="Times New Roman" w:cs="Times New Roman" w:eastAsia="Times New Roman" w:hAnsi="Times New Roman"/>
          <w:sz w:val="21"/>
          <w:szCs w:val="21"/>
          <w:color w:val="auto"/>
          <w:vertAlign w:val="superscript"/>
        </w:rPr>
      </w:pPr>
    </w:p>
    <w:p>
      <w:pPr>
        <w:ind w:left="340" w:right="100" w:hanging="332"/>
        <w:spacing w:after="0" w:line="225"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“Interest expense, net” and “Other income, net” each include $15 million and $56 million for the three and nine months ended September 30, 2026, respectively, and $23 million and $65 million for the three and nine months ended September 30, 2025, respectively, related to interest on such related party promissory notes. These amounts offset and do not impact Net Income or Non-GAAP metrics such as Adjusted EBITDA, Implied DCF and Adjusted Free Cash Flow.</w:t>
      </w:r>
    </w:p>
    <w:p>
      <w:pPr>
        <w:ind w:left="5440" w:hanging="106"/>
        <w:spacing w:after="0"/>
        <w:tabs>
          <w:tab w:leader="none" w:pos="54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3880" w:type="dxa"/>
            <w:vAlign w:val="bottom"/>
            <w:tcBorders>
              <w:bottom w:val="single" w:sz="8" w:color="CCEEFF"/>
            </w:tcBorders>
          </w:tcPr>
          <w:p>
            <w:pPr>
              <w:spacing w:after="0"/>
              <w:rPr>
                <w:sz w:val="17"/>
                <w:szCs w:val="17"/>
                <w:color w:val="auto"/>
              </w:rPr>
            </w:pPr>
          </w:p>
        </w:tc>
        <w:tc>
          <w:tcPr>
            <w:tcW w:w="48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87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Current assets (including Cash and cash equivalents of $879 and $328, respectively) </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r>
      <w:tr>
        <w:trPr>
          <w:trHeight w:val="24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r>
      <w:tr>
        <w:trPr>
          <w:trHeight w:val="24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r>
      <w:tr>
        <w:trPr>
          <w:trHeight w:val="24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4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4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assets of discontinued operations</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43"/>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62"/>
        </w:trPr>
        <w:tc>
          <w:tcPr>
            <w:tcW w:w="8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87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r>
      <w:tr>
        <w:trPr>
          <w:trHeight w:val="243"/>
        </w:trPr>
        <w:tc>
          <w:tcPr>
            <w:tcW w:w="87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r>
      <w:tr>
        <w:trPr>
          <w:trHeight w:val="24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 of discontinued operations</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43"/>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37"/>
        </w:trPr>
        <w:tc>
          <w:tcPr>
            <w:tcW w:w="8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w:t>
            </w:r>
          </w:p>
        </w:tc>
      </w:tr>
      <w:tr>
        <w:trPr>
          <w:trHeight w:val="24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Partners’ capital</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8720" w:type="dxa"/>
            <w:vAlign w:val="bottom"/>
            <w:gridSpan w:val="2"/>
            <w:shd w:val="clear" w:color="auto" w:fill="CCEEFF"/>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Series A preferred unitholders </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43"/>
        </w:trPr>
        <w:tc>
          <w:tcPr>
            <w:tcW w:w="87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Series B preferred unitholders </w:t>
            </w:r>
            <w:r>
              <w:rPr>
                <w:rFonts w:ascii="Times New Roman" w:cs="Times New Roman" w:eastAsia="Times New Roman" w:hAnsi="Times New Roman"/>
                <w:sz w:val="23"/>
                <w:szCs w:val="23"/>
                <w:color w:val="auto"/>
                <w:vertAlign w:val="superscript"/>
              </w:rPr>
              <w:t>(5)</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43"/>
        </w:trPr>
        <w:tc>
          <w:tcPr>
            <w:tcW w:w="8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unitholders</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r>
      <w:tr>
        <w:trPr>
          <w:trHeight w:val="243"/>
        </w:trPr>
        <w:tc>
          <w:tcPr>
            <w:tcW w:w="87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36"/>
        </w:trPr>
        <w:tc>
          <w:tcPr>
            <w:tcW w:w="8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r>
      <w:tr>
        <w:trPr>
          <w:trHeight w:val="237"/>
        </w:trPr>
        <w:tc>
          <w:tcPr>
            <w:tcW w:w="8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30,169</w:t>
            </w:r>
          </w:p>
        </w:tc>
      </w:tr>
      <w:tr>
        <w:trPr>
          <w:trHeight w:val="20"/>
        </w:trPr>
        <w:tc>
          <w:tcPr>
            <w:tcW w:w="3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02"/>
        </w:trPr>
        <w:tc>
          <w:tcPr>
            <w:tcW w:w="388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14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current assets of discontinued operations of $479 million as of December 31, 2025.</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203" w:lineRule="auto"/>
        <w:tabs>
          <w:tab w:leader="none" w:pos="32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liabilities of discontinued operations of $125 million and $382 million as of September 30, 2026 and December 31, 2025, respectively.</w:t>
      </w:r>
    </w:p>
    <w:p>
      <w:pPr>
        <w:spacing w:after="0" w:line="56" w:lineRule="exact"/>
        <w:rPr>
          <w:rFonts w:ascii="Times New Roman" w:cs="Times New Roman" w:eastAsia="Times New Roman" w:hAnsi="Times New Roman"/>
          <w:sz w:val="22"/>
          <w:szCs w:val="22"/>
          <w:color w:val="auto"/>
          <w:vertAlign w:val="superscript"/>
        </w:rPr>
      </w:pPr>
    </w:p>
    <w:p>
      <w:pPr>
        <w:ind w:left="320" w:hanging="312"/>
        <w:spacing w:after="0" w:line="194" w:lineRule="auto"/>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“Debt Capitalization Ratios” table below for detail.</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September 14, 2026, we repurchased all 58.4 million Series A preferred units for a purchase price of approximately $1.687 billion.</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87" w:lineRule="auto"/>
        <w:tabs>
          <w:tab w:leader="none" w:pos="32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October 9, 2026, we repurchased all 0.8 million Series B preferred units for a purchase price of approximately $800 million.</w:t>
      </w:r>
    </w:p>
    <w:p>
      <w:pPr>
        <w:ind w:left="5440" w:hanging="106"/>
        <w:spacing w:after="0"/>
        <w:tabs>
          <w:tab w:leader="none" w:pos="54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CAPITALIZATION RATIOS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percentages)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3880" w:type="dxa"/>
            <w:vAlign w:val="bottom"/>
            <w:tcBorders>
              <w:bottom w:val="single" w:sz="8" w:color="CCEEFF"/>
            </w:tcBorders>
          </w:tcPr>
          <w:p>
            <w:pPr>
              <w:spacing w:after="0"/>
              <w:rPr>
                <w:sz w:val="17"/>
                <w:szCs w:val="17"/>
                <w:color w:val="auto"/>
              </w:rPr>
            </w:pPr>
          </w:p>
        </w:tc>
        <w:tc>
          <w:tcPr>
            <w:tcW w:w="45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3"/>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564</w:t>
            </w:r>
          </w:p>
        </w:tc>
      </w:tr>
      <w:tr>
        <w:trPr>
          <w:trHeight w:val="24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notes, net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9,118</w:t>
            </w:r>
          </w:p>
        </w:tc>
      </w:tr>
      <w:tr>
        <w:trPr>
          <w:trHeight w:val="24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Junior subordinated notes, net</w:t>
            </w:r>
          </w:p>
        </w:tc>
        <w:tc>
          <w:tcPr>
            <w:tcW w:w="16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Other long-term debt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1,580</w:t>
            </w:r>
          </w:p>
        </w:tc>
      </w:tr>
      <w:tr>
        <w:trPr>
          <w:trHeight w:val="237"/>
        </w:trPr>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10,698</w:t>
            </w:r>
          </w:p>
        </w:tc>
      </w:tr>
      <w:tr>
        <w:trPr>
          <w:trHeight w:val="262"/>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9,920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10,698</w:t>
            </w:r>
          </w:p>
        </w:tc>
      </w:tr>
      <w:tr>
        <w:trPr>
          <w:trHeight w:val="243"/>
        </w:trPr>
        <w:tc>
          <w:tcPr>
            <w:tcW w:w="8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9,462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9,836</w:t>
            </w:r>
          </w:p>
        </w:tc>
      </w:tr>
      <w:tr>
        <w:trPr>
          <w:trHeight w:val="237"/>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book capitalization excluding noncontrolling interests (“Total book capitalization”)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19,373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20,534</w:t>
            </w:r>
          </w:p>
        </w:tc>
      </w:tr>
      <w:tr>
        <w:trPr>
          <w:trHeight w:val="237"/>
        </w:trPr>
        <w:tc>
          <w:tcPr>
            <w:tcW w:w="8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19,382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21,098</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162"/>
        </w:trPr>
        <w:tc>
          <w:tcPr>
            <w:tcW w:w="3880" w:type="dxa"/>
            <w:vAlign w:val="bottom"/>
            <w:tcBorders>
              <w:bottom w:val="single" w:sz="8" w:color="auto"/>
            </w:tcBorders>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1"/>
          <w:szCs w:val="21"/>
          <w:color w:val="auto"/>
          <w:vertAlign w:val="superscript"/>
        </w:rPr>
        <w:t>(1)</w:t>
      </w:r>
      <w:r>
        <w:rPr>
          <w:sz w:val="20"/>
          <w:szCs w:val="20"/>
          <w:color w:val="auto"/>
        </w:rPr>
        <w:tab/>
      </w:r>
      <w:r>
        <w:rPr>
          <w:rFonts w:ascii="Times New Roman" w:cs="Times New Roman" w:eastAsia="Times New Roman" w:hAnsi="Times New Roman"/>
          <w:sz w:val="16"/>
          <w:szCs w:val="16"/>
          <w:color w:val="auto"/>
        </w:rPr>
        <w:t>As of December 31, 2025, includes $2 million attributable to discontinued operations.</w:t>
      </w: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ind w:right="40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INCOME/(LOSS) PER COMMON UNIT </w:t>
      </w:r>
      <w:r>
        <w:rPr>
          <w:rFonts w:ascii="Times New Roman" w:cs="Times New Roman" w:eastAsia="Times New Roman" w:hAnsi="Times New Roman"/>
          <w:sz w:val="18"/>
          <w:szCs w:val="18"/>
          <w:color w:val="auto"/>
        </w:rPr>
        <w:t>(in millions, except per unit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2"/>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3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Income/(Loss) per Common Unit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6"/>
        </w:trPr>
        <w:tc>
          <w:tcPr>
            <w:tcW w:w="3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4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3"/>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43"/>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7"/>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PAA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43"/>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69"/>
        </w:trPr>
        <w:tc>
          <w:tcPr>
            <w:tcW w:w="6380" w:type="dxa"/>
            <w:vAlign w:val="bottom"/>
            <w:gridSpan w:val="2"/>
          </w:tcPr>
          <w:p>
            <w:pPr>
              <w:ind w:left="240"/>
              <w:spacing w:after="0" w:line="169" w:lineRule="exact"/>
              <w:rPr>
                <w:sz w:val="20"/>
                <w:szCs w:val="20"/>
                <w:color w:val="auto"/>
              </w:rPr>
            </w:pPr>
            <w:r>
              <w:rPr>
                <w:rFonts w:ascii="Times New Roman" w:cs="Times New Roman" w:eastAsia="Times New Roman" w:hAnsi="Times New Roman"/>
                <w:sz w:val="18"/>
                <w:szCs w:val="18"/>
                <w:color w:val="auto"/>
              </w:rPr>
              <w:t>Net income/(loss) from continuing operations allocated to common unitholders -</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43"/>
        </w:trPr>
        <w:tc>
          <w:tcPr>
            <w:tcW w:w="63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18"/>
                <w:szCs w:val="18"/>
                <w:color w:val="auto"/>
              </w:rPr>
              <w:t xml:space="preserve">Basic and Diluted </w:t>
            </w:r>
            <w:r>
              <w:rPr>
                <w:rFonts w:ascii="Times New Roman" w:cs="Times New Roman" w:eastAsia="Times New Roman" w:hAnsi="Times New Roman"/>
                <w:sz w:val="23"/>
                <w:szCs w:val="23"/>
                <w:color w:val="auto"/>
                <w:vertAlign w:val="superscript"/>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57"/>
        </w:trPr>
        <w:tc>
          <w:tcPr>
            <w:tcW w:w="388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189"/>
        </w:trPr>
        <w:tc>
          <w:tcPr>
            <w:tcW w:w="6380" w:type="dxa"/>
            <w:vAlign w:val="bottom"/>
            <w:gridSpan w:val="2"/>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Net income from discontinued operations allocated to common unitholders - Basic</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43"/>
        </w:trPr>
        <w:tc>
          <w:tcPr>
            <w:tcW w:w="6380" w:type="dxa"/>
            <w:vAlign w:val="bottom"/>
            <w:gridSpan w:val="2"/>
            <w:shd w:val="clear" w:color="auto" w:fill="CCEEFF"/>
          </w:tcPr>
          <w:p>
            <w:pPr>
              <w:ind w:left="400"/>
              <w:spacing w:after="0" w:line="243" w:lineRule="exact"/>
              <w:rPr>
                <w:sz w:val="20"/>
                <w:szCs w:val="20"/>
                <w:color w:val="auto"/>
              </w:rPr>
            </w:pPr>
            <w:r>
              <w:rPr>
                <w:rFonts w:ascii="Times New Roman" w:cs="Times New Roman" w:eastAsia="Times New Roman" w:hAnsi="Times New Roman"/>
                <w:sz w:val="18"/>
                <w:szCs w:val="18"/>
                <w:color w:val="auto"/>
              </w:rPr>
              <w:t xml:space="preserve">and Diluted </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56"/>
        </w:trPr>
        <w:tc>
          <w:tcPr>
            <w:tcW w:w="388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r>
      <w:tr>
        <w:trPr>
          <w:trHeight w:val="262"/>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 allocated to common unitholders - 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43"/>
        </w:trPr>
        <w:tc>
          <w:tcPr>
            <w:tcW w:w="63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(4) (5)</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57"/>
        </w:trPr>
        <w:tc>
          <w:tcPr>
            <w:tcW w:w="388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4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3"/>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43"/>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37"/>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29"/>
        </w:trPr>
        <w:tc>
          <w:tcPr>
            <w:tcW w:w="388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r>
    </w:tbl>
    <w:p>
      <w:pPr>
        <w:spacing w:after="0" w:line="135" w:lineRule="exact"/>
        <w:rPr>
          <w:sz w:val="20"/>
          <w:szCs w:val="20"/>
          <w:color w:val="auto"/>
        </w:rPr>
      </w:pPr>
    </w:p>
    <w:p>
      <w:pPr>
        <w:ind w:left="340" w:right="20" w:hanging="332"/>
        <w:spacing w:after="0" w:line="237"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repurchased approximately 12.7 million Series A preferred units on January 31, 2025, and we repurchased all remaining outstanding 58.4 million Series A preferred units on September 14, 2026. The difference between the cash we paid for the repurchase of such units and their carrying value on our balance sheet is considered a return to Series A preferred unitholders for the calculation of net income/(loss) from continuing operations allocated to common unitholders.</w:t>
      </w:r>
    </w:p>
    <w:p>
      <w:pPr>
        <w:spacing w:after="0" w:line="32" w:lineRule="exact"/>
        <w:rPr>
          <w:rFonts w:ascii="Times New Roman" w:cs="Times New Roman" w:eastAsia="Times New Roman" w:hAnsi="Times New Roman"/>
          <w:sz w:val="21"/>
          <w:szCs w:val="21"/>
          <w:color w:val="auto"/>
          <w:vertAlign w:val="superscript"/>
        </w:rPr>
      </w:pPr>
    </w:p>
    <w:p>
      <w:pPr>
        <w:ind w:left="340" w:right="20" w:hanging="332"/>
        <w:spacing w:after="0" w:line="239"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calculate net income/(loss) from continuing operations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46" w:lineRule="exact"/>
        <w:rPr>
          <w:rFonts w:ascii="Times New Roman" w:cs="Times New Roman" w:eastAsia="Times New Roman" w:hAnsi="Times New Roman"/>
          <w:sz w:val="21"/>
          <w:szCs w:val="21"/>
          <w:color w:val="auto"/>
          <w:vertAlign w:val="superscript"/>
        </w:rPr>
      </w:pPr>
    </w:p>
    <w:p>
      <w:pPr>
        <w:ind w:left="340" w:right="560" w:hanging="332"/>
        <w:spacing w:after="0" w:line="225"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income from discontinued operations allocated to common unitholders is “Income from discontinued operations, net of tax” as presented on our Condensed Consolidated Statements of Operations.</w:t>
      </w:r>
    </w:p>
    <w:p>
      <w:pPr>
        <w:spacing w:after="0" w:line="33" w:lineRule="exact"/>
        <w:rPr>
          <w:rFonts w:ascii="Times New Roman" w:cs="Times New Roman" w:eastAsia="Times New Roman" w:hAnsi="Times New Roman"/>
          <w:sz w:val="21"/>
          <w:szCs w:val="21"/>
          <w:color w:val="auto"/>
          <w:vertAlign w:val="superscript"/>
        </w:rPr>
      </w:pPr>
    </w:p>
    <w:p>
      <w:pPr>
        <w:ind w:left="340" w:right="60" w:hanging="332"/>
        <w:spacing w:after="0" w:line="232"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net income/(loss) per common unit from continuing operations for each of the three and nine months ended September 30, 2026 and 2025 as the effect was antidilutive.</w:t>
      </w:r>
    </w:p>
    <w:p>
      <w:pPr>
        <w:spacing w:after="0" w:line="34" w:lineRule="exact"/>
        <w:rPr>
          <w:rFonts w:ascii="Times New Roman" w:cs="Times New Roman" w:eastAsia="Times New Roman" w:hAnsi="Times New Roman"/>
          <w:sz w:val="21"/>
          <w:szCs w:val="21"/>
          <w:color w:val="auto"/>
          <w:vertAlign w:val="superscript"/>
        </w:rPr>
      </w:pPr>
    </w:p>
    <w:p>
      <w:pPr>
        <w:ind w:left="340" w:right="120" w:hanging="332"/>
        <w:spacing w:after="0" w:line="225"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ind w:left="5440" w:hanging="106"/>
        <w:spacing w:after="0"/>
        <w:tabs>
          <w:tab w:leader="none" w:pos="54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CASH FLOW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30"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22225</wp:posOffset>
            </wp:positionV>
            <wp:extent cx="15944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88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4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43"/>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43"/>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Gains/(losses) on asset sales, asset impairments and other, net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(benefit)/expense</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(Gain)/loss on foreign currency revaluation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of terminated interest rate hedging instruments</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43"/>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43"/>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 on)/impairment of investments in unconsolidated entities, net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8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8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provided by operating activities - continuing operations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43"/>
        </w:trPr>
        <w:tc>
          <w:tcPr>
            <w:tcW w:w="87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Cash provided by operating activities - discontinued operations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37"/>
        </w:trPr>
        <w:tc>
          <w:tcPr>
            <w:tcW w:w="8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16"/>
        </w:trPr>
        <w:tc>
          <w:tcPr>
            <w:tcW w:w="3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 - continuing operations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43"/>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provided by/(used in) investing activities - discontinued operations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7"/>
        </w:trPr>
        <w:tc>
          <w:tcPr>
            <w:tcW w:w="8700" w:type="dxa"/>
            <w:vAlign w:val="bottom"/>
            <w:gridSpan w:val="2"/>
          </w:tcPr>
          <w:p>
            <w:pPr>
              <w:ind w:left="240"/>
              <w:spacing w:after="0" w:line="236" w:lineRule="exact"/>
              <w:rPr>
                <w:sz w:val="20"/>
                <w:szCs w:val="20"/>
                <w:color w:val="auto"/>
              </w:rPr>
            </w:pPr>
            <w:r>
              <w:rPr>
                <w:rFonts w:ascii="Times New Roman" w:cs="Times New Roman" w:eastAsia="Times New Roman" w:hAnsi="Times New Roman"/>
                <w:sz w:val="18"/>
                <w:szCs w:val="18"/>
                <w:color w:val="auto"/>
              </w:rPr>
              <w:t xml:space="preserve">Net cash provided by/(used in) investing activities </w:t>
            </w:r>
            <w:r>
              <w:rPr>
                <w:rFonts w:ascii="Times New Roman" w:cs="Times New Roman" w:eastAsia="Times New Roman" w:hAnsi="Times New Roman"/>
                <w:sz w:val="23"/>
                <w:szCs w:val="23"/>
                <w:color w:val="auto"/>
                <w:vertAlign w:val="superscript"/>
              </w:rPr>
              <w:t>(1) (2)</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16"/>
        </w:trPr>
        <w:tc>
          <w:tcPr>
            <w:tcW w:w="38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8700" w:type="dxa"/>
            <w:vAlign w:val="bottom"/>
            <w:gridSpan w:val="2"/>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Net cash provided by/(used in) financing activities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translation adjustment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3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3"/>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7"/>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0"/>
        </w:trPr>
        <w:tc>
          <w:tcPr>
            <w:tcW w:w="38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4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35" w:lineRule="exact"/>
        <w:rPr>
          <w:sz w:val="20"/>
          <w:szCs w:val="20"/>
          <w:color w:val="auto"/>
        </w:rPr>
      </w:pPr>
    </w:p>
    <w:p>
      <w:pPr>
        <w:ind w:left="340" w:right="180" w:hanging="332"/>
        <w:spacing w:after="0" w:line="237"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For the nine months ended September 30, 2025, “Net cash provided by/(used in) investing activities” includes a cash outflow of approximately $330 million associated with our investment in related party notes. An equal and offsetting cash inflow associated with our issuance of related party notes is included in “Net cash provided by/(used in) financing activities.”</w:t>
      </w:r>
    </w:p>
    <w:p>
      <w:pPr>
        <w:spacing w:after="0" w:line="32" w:lineRule="exact"/>
        <w:rPr>
          <w:rFonts w:ascii="Times New Roman" w:cs="Times New Roman" w:eastAsia="Times New Roman" w:hAnsi="Times New Roman"/>
          <w:sz w:val="21"/>
          <w:szCs w:val="21"/>
          <w:color w:val="auto"/>
          <w:vertAlign w:val="superscript"/>
        </w:rPr>
      </w:pPr>
    </w:p>
    <w:p>
      <w:pPr>
        <w:ind w:left="340" w:right="380" w:hanging="332"/>
        <w:spacing w:after="0" w:line="232"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nine months ended September 30, 2026, includes a net cash inflow of approximately $3.527 billion for proceeds (net of cash divested) from the sale of the Canadian NGL Business. For the nine months ended September 30, 2025, includes a net cash outflow of $865 million for bolt-on acquisitions.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6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EXPENDITURES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18"/>
                <w:szCs w:val="18"/>
                <w:b w:val="1"/>
                <w:bCs w:val="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5"/>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2"/>
                <w:szCs w:val="12"/>
                <w:color w:val="auto"/>
              </w:rPr>
            </w:pPr>
          </w:p>
        </w:tc>
        <w:tc>
          <w:tcPr>
            <w:tcW w:w="1760" w:type="dxa"/>
            <w:vAlign w:val="bottom"/>
            <w:gridSpan w:val="5"/>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2"/>
                <w:szCs w:val="12"/>
                <w:color w:val="auto"/>
              </w:rPr>
            </w:pPr>
          </w:p>
        </w:tc>
        <w:tc>
          <w:tcPr>
            <w:tcW w:w="1700" w:type="dxa"/>
            <w:vAlign w:val="bottom"/>
            <w:gridSpan w:val="5"/>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2"/>
                <w:szCs w:val="12"/>
                <w:color w:val="auto"/>
              </w:rPr>
            </w:pPr>
          </w:p>
        </w:tc>
        <w:tc>
          <w:tcPr>
            <w:tcW w:w="1620" w:type="dxa"/>
            <w:vAlign w:val="bottom"/>
            <w:gridSpan w:val="4"/>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7"/>
                <w:szCs w:val="17"/>
                <w:color w:val="auto"/>
              </w:rPr>
            </w:pPr>
          </w:p>
        </w:tc>
        <w:tc>
          <w:tcPr>
            <w:tcW w:w="17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7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7"/>
                <w:szCs w:val="17"/>
                <w:color w:val="auto"/>
              </w:rPr>
            </w:pPr>
          </w:p>
        </w:tc>
        <w:tc>
          <w:tcPr>
            <w:tcW w:w="162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capital expenditures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169"/>
        </w:trPr>
        <w:tc>
          <w:tcPr>
            <w:tcW w:w="36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Investment and Maintenance capital</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6"/>
        </w:trPr>
        <w:tc>
          <w:tcPr>
            <w:tcW w:w="364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expenditures </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6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the applicable periods presented.</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expenditures attributable to noncontrolling interests.</w:t>
      </w:r>
    </w:p>
    <w:p>
      <w:pPr>
        <w:spacing w:after="0" w:line="64" w:lineRule="exact"/>
        <w:rPr>
          <w:rFonts w:ascii="Times New Roman" w:cs="Times New Roman" w:eastAsia="Times New Roman" w:hAnsi="Times New Roman"/>
          <w:sz w:val="21"/>
          <w:szCs w:val="21"/>
          <w:color w:val="auto"/>
          <w:vertAlign w:val="superscript"/>
        </w:rPr>
      </w:pPr>
    </w:p>
    <w:p>
      <w:pPr>
        <w:ind w:left="320" w:hanging="312"/>
        <w:spacing w:after="0" w:line="184" w:lineRule="auto"/>
        <w:tabs>
          <w:tab w:leader="none" w:pos="320"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See the “Discontinued Operations Detail” section for amounts attributable to discontinued operations.</w:t>
      </w:r>
    </w:p>
    <w:p>
      <w:pPr>
        <w:ind w:left="5440" w:hanging="106"/>
        <w:spacing w:after="0"/>
        <w:tabs>
          <w:tab w:leader="none" w:pos="54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ratio data)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Computation of Basic and Diluted Adjusted Net Income/(Loss) Per Common Unit </w:t>
      </w:r>
      <w:r>
        <w:rPr>
          <w:rFonts w:ascii="Times New Roman" w:cs="Times New Roman" w:eastAsia="Times New Roman" w:hAnsi="Times New Roman"/>
          <w:sz w:val="23"/>
          <w:szCs w:val="23"/>
          <w:b w:val="1"/>
          <w:bCs w:val="1"/>
          <w:color w:val="auto"/>
          <w:vertAlign w:val="superscript"/>
        </w:rPr>
        <w:t>(1) (2)</w:t>
      </w:r>
      <w:r>
        <w:rPr>
          <w:rFonts w:ascii="Times New Roman" w:cs="Times New Roman" w:eastAsia="Times New Roman" w:hAnsi="Times New Roman"/>
          <w:sz w:val="18"/>
          <w:szCs w:val="18"/>
          <w:b w:val="1"/>
          <w:bCs w:val="1"/>
          <w:color w:val="auto"/>
        </w:rPr>
        <w: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388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Adjusted Net Income/(Loss) per Common Unit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43"/>
        </w:trPr>
        <w:tc>
          <w:tcPr>
            <w:tcW w:w="63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w w:val="99"/>
              </w:rPr>
              <w:t xml:space="preserve">Selected items impacting comparability - Adjusted net income attributable to PAA </w:t>
            </w:r>
            <w:r>
              <w:rPr>
                <w:rFonts w:ascii="Times New Roman" w:cs="Times New Roman" w:eastAsia="Times New Roman" w:hAnsi="Times New Roman"/>
                <w:sz w:val="23"/>
                <w:szCs w:val="23"/>
                <w:color w:val="auto"/>
                <w:w w:val="99"/>
                <w:vertAlign w:val="superscript"/>
              </w:rPr>
              <w:t>(3)</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7"/>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0"/>
                <w:szCs w:val="20"/>
                <w:color w:val="auto"/>
              </w:rPr>
            </w:pP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43"/>
        </w:trPr>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3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6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income/(loss) allocated to common unitholders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3"/>
        </w:trPr>
        <w:tc>
          <w:tcPr>
            <w:tcW w:w="63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(5) (6)</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56"/>
        </w:trPr>
        <w:tc>
          <w:tcPr>
            <w:tcW w:w="388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income/(loss) per common unit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3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r>
    </w:tbl>
    <w:p>
      <w:pPr>
        <w:spacing w:after="0" w:line="126" w:lineRule="exact"/>
        <w:rPr>
          <w:sz w:val="20"/>
          <w:szCs w:val="20"/>
          <w:color w:val="auto"/>
        </w:rPr>
      </w:pPr>
    </w:p>
    <w:p>
      <w:pPr>
        <w:ind w:left="340" w:right="60" w:hanging="332"/>
        <w:spacing w:after="0" w:line="233" w:lineRule="auto"/>
        <w:tabs>
          <w:tab w:leader="none" w:pos="327"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adjusted net income/(loss)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2"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the applicable periods presented.</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55" w:lineRule="exact"/>
        <w:rPr>
          <w:rFonts w:ascii="Times New Roman" w:cs="Times New Roman" w:eastAsia="Times New Roman" w:hAnsi="Times New Roman"/>
          <w:sz w:val="19"/>
          <w:szCs w:val="19"/>
          <w:color w:val="auto"/>
          <w:vertAlign w:val="superscript"/>
        </w:rPr>
      </w:pPr>
    </w:p>
    <w:p>
      <w:pPr>
        <w:jc w:val="both"/>
        <w:ind w:left="340" w:right="80" w:hanging="332"/>
        <w:spacing w:after="0" w:line="227" w:lineRule="auto"/>
        <w:tabs>
          <w:tab w:leader="none" w:pos="327"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repurchased approximately 12.7 million Series A preferred units on January 31, 2025, and we repurchased all remaining outstanding 58.4 million Series A preferred units on September 14, 2026. The difference between the cash we paid for the repurchase of such units and their carrying value on our balance sheet is considered a return to Series A preferred unitholders for the calculation of adjusted net income/(loss) allocated to common unitholders.</w:t>
      </w:r>
    </w:p>
    <w:p>
      <w:pPr>
        <w:spacing w:after="0" w:line="42" w:lineRule="exact"/>
        <w:rPr>
          <w:rFonts w:ascii="Times New Roman" w:cs="Times New Roman" w:eastAsia="Times New Roman" w:hAnsi="Times New Roman"/>
          <w:sz w:val="19"/>
          <w:szCs w:val="19"/>
          <w:color w:val="auto"/>
          <w:vertAlign w:val="superscript"/>
        </w:rPr>
      </w:pPr>
    </w:p>
    <w:p>
      <w:pPr>
        <w:ind w:left="340" w:right="380" w:hanging="332"/>
        <w:spacing w:after="0" w:line="230" w:lineRule="auto"/>
        <w:tabs>
          <w:tab w:leader="none" w:pos="327"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possible conversion of our Series A preferred units was excluded from the calculation of diluted adjusted net income/(loss) per common unit for each of the three and nine months ended September 30, 2026 and 2025 as the effect was antidilutive.</w:t>
      </w:r>
    </w:p>
    <w:p>
      <w:pPr>
        <w:spacing w:after="0" w:line="41" w:lineRule="exact"/>
        <w:rPr>
          <w:rFonts w:ascii="Times New Roman" w:cs="Times New Roman" w:eastAsia="Times New Roman" w:hAnsi="Times New Roman"/>
          <w:sz w:val="19"/>
          <w:szCs w:val="19"/>
          <w:color w:val="auto"/>
          <w:vertAlign w:val="superscript"/>
        </w:rPr>
      </w:pPr>
    </w:p>
    <w:p>
      <w:pPr>
        <w:ind w:left="340" w:right="100" w:hanging="332"/>
        <w:spacing w:after="0" w:line="233" w:lineRule="auto"/>
        <w:tabs>
          <w:tab w:leader="none" w:pos="327"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Income/(Loss) Per Common Unit to Adjusted Net Income/(Loss) Per Common Unit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3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8"/>
                <w:szCs w:val="18"/>
                <w:color w:val="auto"/>
                <w:w w:val="96"/>
              </w:rPr>
              <w:t>(0.06)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5"/>
              </w:rPr>
              <w:t>1.25</w:t>
            </w:r>
          </w:p>
        </w:tc>
      </w:tr>
      <w:tr>
        <w:trPr>
          <w:trHeight w:val="243"/>
        </w:trPr>
        <w:tc>
          <w:tcPr>
            <w:tcW w:w="6380" w:type="dxa"/>
            <w:vAlign w:val="bottom"/>
            <w:tcBorders>
              <w:bottom w:val="single" w:sz="8" w:color="CCEEFF"/>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left="155"/>
              <w:spacing w:after="0"/>
              <w:rPr>
                <w:sz w:val="20"/>
                <w:szCs w:val="20"/>
                <w:color w:val="auto"/>
              </w:rPr>
            </w:pPr>
            <w:r>
              <w:rPr>
                <w:rFonts w:ascii="Times New Roman" w:cs="Times New Roman" w:eastAsia="Times New Roman" w:hAnsi="Times New Roman"/>
                <w:sz w:val="18"/>
                <w:szCs w:val="18"/>
                <w:color w:val="auto"/>
                <w:w w:val="96"/>
              </w:rPr>
              <w:t>(0.16)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left="155"/>
              <w:spacing w:after="0"/>
              <w:rPr>
                <w:sz w:val="20"/>
                <w:szCs w:val="20"/>
                <w:color w:val="auto"/>
              </w:rPr>
            </w:pPr>
            <w:r>
              <w:rPr>
                <w:rFonts w:ascii="Times New Roman" w:cs="Times New Roman" w:eastAsia="Times New Roman" w:hAnsi="Times New Roman"/>
                <w:sz w:val="18"/>
                <w:szCs w:val="18"/>
                <w:color w:val="auto"/>
              </w:rPr>
              <w:t>(0.11)</w:t>
            </w:r>
          </w:p>
        </w:tc>
      </w:tr>
      <w:tr>
        <w:trPr>
          <w:trHeight w:val="261"/>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income/(loss)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299"/>
              <w:spacing w:after="0"/>
              <w:rPr>
                <w:sz w:val="20"/>
                <w:szCs w:val="20"/>
                <w:color w:val="auto"/>
              </w:rPr>
            </w:pPr>
            <w:r>
              <w:rPr>
                <w:rFonts w:ascii="Times New Roman" w:cs="Times New Roman" w:eastAsia="Times New Roman" w:hAnsi="Times New Roman"/>
                <w:sz w:val="18"/>
                <w:szCs w:val="18"/>
                <w:color w:val="auto"/>
                <w:w w:val="96"/>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5"/>
              </w:rPr>
              <w:t>1.14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112"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results from continuing operations and discontinued operations for the applicable periods presented.</w:t>
      </w:r>
    </w:p>
    <w:p>
      <w:pPr>
        <w:spacing w:after="0" w:line="53"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the “Selected Items Impacting Comparability” and the “Computation of Basic and Diluted Net Income/(Loss) Per Common Unit” tables for additional information.</w:t>
      </w:r>
    </w:p>
    <w:p>
      <w:pPr>
        <w:ind w:left="5440" w:hanging="106"/>
        <w:spacing w:after="0"/>
        <w:tabs>
          <w:tab w:leader="none" w:pos="54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attributable to PAA and Implied DCF Reconciliation: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60" w:type="dxa"/>
            <w:vAlign w:val="bottom"/>
          </w:tcPr>
          <w:p>
            <w:pPr>
              <w:spacing w:after="0"/>
              <w:rPr>
                <w:sz w:val="12"/>
                <w:szCs w:val="12"/>
                <w:color w:val="auto"/>
              </w:rPr>
            </w:pPr>
          </w:p>
        </w:tc>
        <w:tc>
          <w:tcPr>
            <w:tcW w:w="2120" w:type="dxa"/>
            <w:vAlign w:val="bottom"/>
            <w:gridSpan w:val="4"/>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84"/>
        </w:trPr>
        <w:tc>
          <w:tcPr>
            <w:tcW w:w="6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1,342</w:t>
            </w:r>
          </w:p>
        </w:tc>
        <w:tc>
          <w:tcPr>
            <w:tcW w:w="0" w:type="dxa"/>
            <w:vAlign w:val="bottom"/>
          </w:tcPr>
          <w:p>
            <w:pPr>
              <w:spacing w:after="0"/>
              <w:rPr>
                <w:sz w:val="1"/>
                <w:szCs w:val="1"/>
                <w:color w:val="auto"/>
              </w:rPr>
            </w:pPr>
          </w:p>
        </w:tc>
      </w:tr>
      <w:tr>
        <w:trPr>
          <w:trHeight w:val="229"/>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Interest expense, net of certain items </w:t>
            </w:r>
            <w:r>
              <w:rPr>
                <w:rFonts w:ascii="Times New Roman" w:cs="Times New Roman" w:eastAsia="Times New Roman" w:hAnsi="Times New Roman"/>
                <w:sz w:val="20"/>
                <w:szCs w:val="20"/>
                <w:color w:val="auto"/>
                <w:vertAlign w:val="superscript"/>
              </w:rPr>
              <w:t>(2)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 expense from continuing operations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8"/>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expense from discontinued operations</w:t>
            </w: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2"/>
        </w:trPr>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from continuing operations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208"/>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from discontinued operations</w:t>
            </w: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2"/>
        </w:trPr>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(Gains)/losses on asset sales, asset impairments and other, net from continuing operations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8"/>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(Gains)/losses on asset sales and other, net from discontinued operations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
        </w:trPr>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on)/impairment of investments in unconsolidated entities, net</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30"/>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0"/>
                <w:szCs w:val="20"/>
                <w:color w:val="auto"/>
                <w:vertAlign w:val="superscript"/>
              </w:rPr>
              <w:t>(3)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0"/>
                <w:szCs w:val="20"/>
                <w:color w:val="auto"/>
                <w:vertAlign w:val="superscript"/>
              </w:rPr>
              <w:t>(1) (4)</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2,577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2,499</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23"/>
        </w:trPr>
        <w:tc>
          <w:tcPr>
            <w:tcW w:w="6360" w:type="dxa"/>
            <w:vAlign w:val="bottom"/>
          </w:tcPr>
          <w:p>
            <w:pPr>
              <w:ind w:left="40"/>
              <w:spacing w:after="0" w:line="223" w:lineRule="exact"/>
              <w:rPr>
                <w:sz w:val="20"/>
                <w:szCs w:val="20"/>
                <w:color w:val="auto"/>
              </w:rPr>
            </w:pPr>
            <w:r>
              <w:rPr>
                <w:rFonts w:ascii="Times New Roman" w:cs="Times New Roman" w:eastAsia="Times New Roman" w:hAnsi="Times New Roman"/>
                <w:sz w:val="16"/>
                <w:szCs w:val="16"/>
                <w:color w:val="auto"/>
              </w:rPr>
              <w:t xml:space="preserve">Adjusted EBITDA attributable to PAA </w:t>
            </w:r>
            <w:r>
              <w:rPr>
                <w:rFonts w:ascii="Times New Roman" w:cs="Times New Roman" w:eastAsia="Times New Roman" w:hAnsi="Times New Roman"/>
                <w:sz w:val="20"/>
                <w:szCs w:val="20"/>
                <w:color w:val="auto"/>
                <w:vertAlign w:val="superscript"/>
              </w:rPr>
              <w:t>(1)</w:t>
            </w: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2,179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2,095</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0"/>
                <w:szCs w:val="20"/>
                <w:color w:val="auto"/>
                <w:vertAlign w:val="superscript"/>
              </w:rPr>
              <w:t>(1)</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9"/>
                <w:szCs w:val="19"/>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2,577</w:t>
            </w:r>
          </w:p>
        </w:tc>
        <w:tc>
          <w:tcPr>
            <w:tcW w:w="100" w:type="dxa"/>
            <w:vAlign w:val="bottom"/>
          </w:tcPr>
          <w:p>
            <w:pPr>
              <w:spacing w:after="0"/>
              <w:rPr>
                <w:sz w:val="19"/>
                <w:szCs w:val="19"/>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2,499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Interest expense, net of certain non-cash and other items </w:t>
            </w:r>
            <w:r>
              <w:rPr>
                <w:rFonts w:ascii="Times New Roman" w:cs="Times New Roman" w:eastAsia="Times New Roman" w:hAnsi="Times New Roman"/>
                <w:sz w:val="20"/>
                <w:szCs w:val="20"/>
                <w:color w:val="auto"/>
                <w:vertAlign w:val="superscript"/>
              </w:rPr>
              <w:t>(5)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08"/>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Maintenance capital from continuing operations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2"/>
        </w:trPr>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Maintenance capital from discontinued operations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30"/>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0"/>
                <w:szCs w:val="20"/>
                <w:color w:val="auto"/>
                <w:vertAlign w:val="superscript"/>
              </w:rPr>
              <w:t>(6)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62"/>
        </w:trPr>
        <w:tc>
          <w:tcPr>
            <w:tcW w:w="636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6"/>
                <w:szCs w:val="16"/>
                <w:color w:val="auto"/>
              </w:rPr>
              <w:t>Current income tax benefit/(expense), net of certain tax effects related to the Canadian NGL</w:t>
            </w:r>
          </w:p>
        </w:tc>
        <w:tc>
          <w:tcPr>
            <w:tcW w:w="2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60"/>
              <w:spacing w:after="0" w:line="216" w:lineRule="exact"/>
              <w:rPr>
                <w:sz w:val="20"/>
                <w:szCs w:val="20"/>
                <w:color w:val="auto"/>
              </w:rPr>
            </w:pPr>
            <w:r>
              <w:rPr>
                <w:rFonts w:ascii="Times New Roman" w:cs="Times New Roman" w:eastAsia="Times New Roman" w:hAnsi="Times New Roman"/>
                <w:sz w:val="16"/>
                <w:szCs w:val="16"/>
                <w:color w:val="auto"/>
              </w:rPr>
              <w:t xml:space="preserve">Business divestiture </w:t>
            </w:r>
            <w:r>
              <w:rPr>
                <w:rFonts w:ascii="Times New Roman" w:cs="Times New Roman" w:eastAsia="Times New Roman" w:hAnsi="Times New Roman"/>
                <w:sz w:val="20"/>
                <w:szCs w:val="20"/>
                <w:color w:val="auto"/>
                <w:vertAlign w:val="superscript"/>
              </w:rPr>
              <w:t>(1) (7)</w:t>
            </w:r>
          </w:p>
        </w:tc>
        <w:tc>
          <w:tcPr>
            <w:tcW w:w="2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0"/>
                <w:szCs w:val="20"/>
                <w:color w:val="auto"/>
                <w:vertAlign w:val="superscript"/>
              </w:rPr>
              <w:t>(8)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0"/>
                <w:szCs w:val="20"/>
                <w:color w:val="auto"/>
                <w:vertAlign w:val="superscript"/>
              </w:rPr>
              <w:t>(9)</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Implied DCF </w:t>
            </w:r>
            <w:r>
              <w:rPr>
                <w:rFonts w:ascii="Times New Roman" w:cs="Times New Roman" w:eastAsia="Times New Roman" w:hAnsi="Times New Roman"/>
                <w:sz w:val="20"/>
                <w:szCs w:val="20"/>
                <w:color w:val="auto"/>
                <w:vertAlign w:val="superscript"/>
              </w:rPr>
              <w:t>(1)</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9"/>
                <w:szCs w:val="19"/>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1,591</w:t>
            </w:r>
          </w:p>
        </w:tc>
        <w:tc>
          <w:tcPr>
            <w:tcW w:w="100" w:type="dxa"/>
            <w:vAlign w:val="bottom"/>
          </w:tcPr>
          <w:p>
            <w:pPr>
              <w:spacing w:after="0"/>
              <w:rPr>
                <w:sz w:val="19"/>
                <w:szCs w:val="19"/>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1,528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Preferred unit cash distributions paid </w:t>
            </w:r>
            <w:r>
              <w:rPr>
                <w:rFonts w:ascii="Times New Roman" w:cs="Times New Roman" w:eastAsia="Times New Roman" w:hAnsi="Times New Roman"/>
                <w:sz w:val="20"/>
                <w:szCs w:val="20"/>
                <w:color w:val="auto"/>
                <w:vertAlign w:val="superscript"/>
              </w:rPr>
              <w:t>(9)</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Implied DCF Available to Common Unitholders </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1,357</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0"/>
                <w:szCs w:val="20"/>
                <w:color w:val="auto"/>
                <w:vertAlign w:val="superscript"/>
              </w:rPr>
              <w:t>(1) (10)</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tcPr>
          <w:p>
            <w:pPr>
              <w:spacing w:after="0"/>
              <w:rPr>
                <w:sz w:val="19"/>
                <w:szCs w:val="19"/>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12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9"/>
                <w:szCs w:val="19"/>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0.4175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1.2525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1.1400</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0"/>
                <w:szCs w:val="20"/>
                <w:color w:val="auto"/>
                <w:vertAlign w:val="superscript"/>
              </w:rPr>
              <w:t>(9)</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9"/>
                <w:szCs w:val="19"/>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19"/>
                <w:szCs w:val="19"/>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Common Unit Distribution Coverage Ratio </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1.61x</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1.61x</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1.59x</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1.69x</w:t>
            </w:r>
          </w:p>
        </w:tc>
        <w:tc>
          <w:tcPr>
            <w:tcW w:w="0" w:type="dxa"/>
            <w:vAlign w:val="bottom"/>
          </w:tcPr>
          <w:p>
            <w:pPr>
              <w:spacing w:after="0"/>
              <w:rPr>
                <w:sz w:val="1"/>
                <w:szCs w:val="1"/>
                <w:color w:val="auto"/>
              </w:rPr>
            </w:pPr>
          </w:p>
        </w:tc>
      </w:tr>
      <w:tr>
        <w:trPr>
          <w:trHeight w:val="27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Implied DCF Excess </w:t>
            </w:r>
            <w:r>
              <w:rPr>
                <w:rFonts w:ascii="Times New Roman" w:cs="Times New Roman" w:eastAsia="Times New Roman" w:hAnsi="Times New Roman"/>
                <w:sz w:val="20"/>
                <w:szCs w:val="20"/>
                <w:color w:val="auto"/>
                <w:vertAlign w:val="superscript"/>
              </w:rPr>
              <w:t>(1)</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3"/>
                <w:szCs w:val="23"/>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23"/>
                <w:szCs w:val="23"/>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23"/>
                <w:szCs w:val="23"/>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459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45" w:lineRule="exact"/>
        <w:rPr>
          <w:sz w:val="20"/>
          <w:szCs w:val="20"/>
          <w:color w:val="auto"/>
        </w:rPr>
      </w:pPr>
    </w:p>
    <w:p>
      <w:pPr>
        <w:ind w:left="340" w:right="160" w:hanging="332"/>
        <w:spacing w:after="0" w:line="229" w:lineRule="auto"/>
        <w:tabs>
          <w:tab w:leader="none" w:pos="33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results from continuing operations and discontinued operations for the applicable periods presented. See the “Discontinued Operations Detail” section for additional information regarding amounts attributable to discontinued operations.</w:t>
      </w:r>
    </w:p>
    <w:p>
      <w:pPr>
        <w:spacing w:after="0" w:line="18" w:lineRule="exact"/>
        <w:rPr>
          <w:rFonts w:ascii="Times New Roman" w:cs="Times New Roman" w:eastAsia="Times New Roman" w:hAnsi="Times New Roman"/>
          <w:sz w:val="16"/>
          <w:szCs w:val="16"/>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“Interest expense, net” as reported on our Condensed Consolidated Statements of Operations, net of interest income associated with promissory notes by and among certain Plains entities.</w:t>
      </w:r>
    </w:p>
    <w:p>
      <w:pPr>
        <w:spacing w:after="0" w:line="53" w:lineRule="exact"/>
        <w:rPr>
          <w:rFonts w:ascii="Times New Roman" w:cs="Times New Roman" w:eastAsia="Times New Roman" w:hAnsi="Times New Roman"/>
          <w:sz w:val="16"/>
          <w:szCs w:val="16"/>
          <w:color w:val="auto"/>
          <w:vertAlign w:val="superscript"/>
        </w:rPr>
      </w:pPr>
    </w:p>
    <w:p>
      <w:pPr>
        <w:ind w:left="320" w:hanging="312"/>
        <w:spacing w:after="0" w:line="194" w:lineRule="auto"/>
        <w:tabs>
          <w:tab w:leader="none" w:pos="32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to exclude our proportionate share of depreciation and amortization expense (including write-downs related to cancelled projects and impairments) of unconsolidated entities.</w:t>
      </w:r>
    </w:p>
    <w:p>
      <w:pPr>
        <w:spacing w:after="0" w:line="40" w:lineRule="exact"/>
        <w:rPr>
          <w:rFonts w:ascii="Times New Roman" w:cs="Times New Roman" w:eastAsia="Times New Roman" w:hAnsi="Times New Roman"/>
          <w:sz w:val="16"/>
          <w:szCs w:val="16"/>
          <w:color w:val="auto"/>
          <w:vertAlign w:val="superscript"/>
        </w:rPr>
      </w:pPr>
    </w:p>
    <w:p>
      <w:pPr>
        <w:ind w:left="320" w:hanging="312"/>
        <w:spacing w:after="0" w:line="194" w:lineRule="auto"/>
        <w:tabs>
          <w:tab w:leader="none" w:pos="32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the “Selected Items Impacting Comparability” table for additional information.</w:t>
      </w:r>
    </w:p>
    <w:p>
      <w:pPr>
        <w:spacing w:after="0" w:line="53" w:lineRule="exact"/>
        <w:rPr>
          <w:rFonts w:ascii="Times New Roman" w:cs="Times New Roman" w:eastAsia="Times New Roman" w:hAnsi="Times New Roman"/>
          <w:sz w:val="16"/>
          <w:szCs w:val="16"/>
          <w:color w:val="auto"/>
          <w:vertAlign w:val="superscript"/>
        </w:rPr>
      </w:pPr>
    </w:p>
    <w:p>
      <w:pPr>
        <w:ind w:left="340" w:right="340" w:hanging="332"/>
        <w:spacing w:after="0" w:line="221" w:lineRule="auto"/>
        <w:tabs>
          <w:tab w:leader="none" w:pos="33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 excludes certain non-cash items impacting interest expense such as amortization of debt issuance costs and terminated interest rate swaps and is net of interest income associated with promissory notes by and among certain Plains entities.</w:t>
      </w:r>
    </w:p>
    <w:p>
      <w:pPr>
        <w:spacing w:after="0" w:line="19" w:lineRule="exact"/>
        <w:rPr>
          <w:rFonts w:ascii="Times New Roman" w:cs="Times New Roman" w:eastAsia="Times New Roman" w:hAnsi="Times New Roman"/>
          <w:sz w:val="16"/>
          <w:szCs w:val="16"/>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Investment capital expenditures attributable to noncontrolling interests that reduce Implied DCF available to PAA common unitholders.</w:t>
      </w:r>
    </w:p>
    <w:p>
      <w:pPr>
        <w:spacing w:after="0" w:line="53" w:lineRule="exact"/>
        <w:rPr>
          <w:rFonts w:ascii="Times New Roman" w:cs="Times New Roman" w:eastAsia="Times New Roman" w:hAnsi="Times New Roman"/>
          <w:sz w:val="16"/>
          <w:szCs w:val="16"/>
          <w:color w:val="auto"/>
          <w:vertAlign w:val="superscript"/>
        </w:rPr>
      </w:pPr>
    </w:p>
    <w:p>
      <w:pPr>
        <w:ind w:left="340" w:right="140" w:hanging="332"/>
        <w:spacing w:after="0" w:line="221" w:lineRule="auto"/>
        <w:tabs>
          <w:tab w:leader="none" w:pos="33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current income tax expense from continuing operations and discontinued operations, adjusted for current income tax expense associated with certain planning and restructuring activities within our organizational structure in connection with the Canadian NGL Business divestiture that had income tax consequences that required recognition during the first and second quarters of 2026.</w:t>
      </w:r>
    </w:p>
    <w:p>
      <w:pPr>
        <w:spacing w:after="0" w:line="44" w:lineRule="exact"/>
        <w:rPr>
          <w:rFonts w:ascii="Times New Roman" w:cs="Times New Roman" w:eastAsia="Times New Roman" w:hAnsi="Times New Roman"/>
          <w:sz w:val="16"/>
          <w:szCs w:val="16"/>
          <w:color w:val="auto"/>
          <w:vertAlign w:val="superscript"/>
        </w:rPr>
      </w:pPr>
    </w:p>
    <w:p>
      <w:pPr>
        <w:ind w:left="340" w:right="100" w:hanging="332"/>
        <w:spacing w:after="0" w:line="229" w:lineRule="auto"/>
        <w:tabs>
          <w:tab w:leader="none" w:pos="338"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5" w:lineRule="exact"/>
        <w:rPr>
          <w:rFonts w:ascii="Times New Roman" w:cs="Times New Roman" w:eastAsia="Times New Roman" w:hAnsi="Times New Roman"/>
          <w:sz w:val="16"/>
          <w:szCs w:val="16"/>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distributions paid during the period presented.</w:t>
      </w:r>
    </w:p>
    <w:p>
      <w:pPr>
        <w:spacing w:after="0" w:line="53" w:lineRule="exact"/>
        <w:rPr>
          <w:rFonts w:ascii="Times New Roman" w:cs="Times New Roman" w:eastAsia="Times New Roman" w:hAnsi="Times New Roman"/>
          <w:sz w:val="16"/>
          <w:szCs w:val="16"/>
          <w:color w:val="auto"/>
          <w:vertAlign w:val="superscript"/>
        </w:rPr>
      </w:pPr>
    </w:p>
    <w:p>
      <w:pPr>
        <w:ind w:left="320" w:hanging="312"/>
        <w:spacing w:after="0" w:line="198" w:lineRule="auto"/>
        <w:tabs>
          <w:tab w:leader="none" w:pos="320" w:val="left"/>
        </w:tabs>
        <w:numPr>
          <w:ilvl w:val="0"/>
          <w:numId w:val="1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Implied DCF Available to Common Unitholders for the period divided by the weighted average common units outstanding for the period.</w:t>
      </w:r>
    </w:p>
    <w:p>
      <w:pPr>
        <w:ind w:left="5440" w:hanging="106"/>
        <w:spacing w:after="0"/>
        <w:tabs>
          <w:tab w:leader="none" w:pos="5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Income/(Loss) Per Common Unit to Implied DCF Per Common Unit Reconciliation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2"/>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38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0.55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6280" w:type="dxa"/>
            <w:vAlign w:val="bottom"/>
            <w:tcBorders>
              <w:bottom w:val="single" w:sz="8" w:color="CCEEFF"/>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(2) (3)</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0.06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62"/>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100"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the applicable periods presented.</w:t>
      </w:r>
    </w:p>
    <w:p>
      <w:pPr>
        <w:spacing w:after="0" w:line="55" w:lineRule="exact"/>
        <w:rPr>
          <w:rFonts w:ascii="Times New Roman" w:cs="Times New Roman" w:eastAsia="Times New Roman" w:hAnsi="Times New Roman"/>
          <w:sz w:val="23"/>
          <w:szCs w:val="23"/>
          <w:color w:val="auto"/>
          <w:vertAlign w:val="superscript"/>
        </w:rPr>
      </w:pPr>
    </w:p>
    <w:p>
      <w:pPr>
        <w:ind w:left="340" w:right="540" w:hanging="332"/>
        <w:spacing w:after="0" w:line="21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1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of 707 million, 704 million, 706 million and 704 million for the periods presented,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Adjusted EBITDA attributable to PAA Reconciliation: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6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38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43"/>
        </w:trPr>
        <w:tc>
          <w:tcPr>
            <w:tcW w:w="62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Adjusted EBITDA from Discontinued Operations </w:t>
            </w:r>
            <w:r>
              <w:rPr>
                <w:rFonts w:ascii="Times New Roman" w:cs="Times New Roman" w:eastAsia="Times New Roman" w:hAnsi="Times New Roman"/>
                <w:sz w:val="23"/>
                <w:szCs w:val="23"/>
                <w:color w:val="auto"/>
                <w:vertAlign w:val="superscript"/>
              </w:rPr>
              <w:t>(1)</w:t>
            </w:r>
          </w:p>
        </w:tc>
        <w:tc>
          <w:tcPr>
            <w:tcW w:w="72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61"/>
        </w:trPr>
        <w:tc>
          <w:tcPr>
            <w:tcW w:w="6280" w:type="dxa"/>
            <w:vAlign w:val="bottom"/>
            <w:tcBorders>
              <w:top w:val="single" w:sz="8" w:color="CCEEFF"/>
              <w:bottom w:val="single" w:sz="8" w:color="CCEEFF"/>
            </w:tcBorders>
            <w:gridSpan w:val="2"/>
            <w:shd w:val="clear" w:color="auto" w:fill="CCEEFF"/>
          </w:tcPr>
          <w:p>
            <w:pPr>
              <w:ind w:left="240"/>
              <w:spacing w:after="0" w:line="236"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72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Borders>
              <w:bottom w:val="single" w:sz="8" w:color="auto"/>
            </w:tcBorders>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117" w:lineRule="exact"/>
        <w:rPr>
          <w:sz w:val="20"/>
          <w:szCs w:val="20"/>
          <w:color w:val="auto"/>
        </w:rPr>
      </w:pPr>
    </w:p>
    <w:p>
      <w:pPr>
        <w:ind w:left="340" w:right="280" w:hanging="332"/>
        <w:spacing w:after="0" w:line="229"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“Reconciliation of Adjusted EBITDA from Discontinued Operations” table for a reconciliation to the most directly comparable measure as reported in accordance with GAAP.</w:t>
      </w:r>
    </w:p>
    <w:p>
      <w:pPr>
        <w:spacing w:after="0" w:line="36" w:lineRule="exact"/>
        <w:rPr>
          <w:rFonts w:ascii="Times New Roman" w:cs="Times New Roman" w:eastAsia="Times New Roman" w:hAnsi="Times New Roman"/>
          <w:sz w:val="23"/>
          <w:szCs w:val="23"/>
          <w:color w:val="auto"/>
          <w:vertAlign w:val="superscript"/>
        </w:rPr>
      </w:pPr>
    </w:p>
    <w:p>
      <w:pPr>
        <w:ind w:left="340" w:right="620" w:hanging="332"/>
        <w:spacing w:after="0" w:line="209"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attributable to PAA and Implied DCF Reconciliation” table for a reconciliation to the most directly comparable measure as reported in accordance with GAAP.</w:t>
      </w:r>
    </w:p>
    <w:p>
      <w:pPr>
        <w:ind w:left="5440" w:hanging="106"/>
        <w:spacing w:after="0"/>
        <w:tabs>
          <w:tab w:leader="none" w:pos="5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to Non-GAAP Financial Liquidity Measures Reconciliation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960" w:type="dxa"/>
            <w:vAlign w:val="bottom"/>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189"/>
        </w:trPr>
        <w:tc>
          <w:tcPr>
            <w:tcW w:w="63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Flow:</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CEEFF"/>
          </w:tcPr>
          <w:p>
            <w:pPr>
              <w:ind w:left="140"/>
              <w:spacing w:after="0" w:line="247" w:lineRule="exact"/>
              <w:rPr>
                <w:sz w:val="20"/>
                <w:szCs w:val="20"/>
                <w:color w:val="auto"/>
              </w:rPr>
            </w:pPr>
            <w:r>
              <w:rPr>
                <w:rFonts w:ascii="Times New Roman" w:cs="Times New Roman" w:eastAsia="Times New Roman" w:hAnsi="Times New Roman"/>
                <w:sz w:val="18"/>
                <w:szCs w:val="18"/>
                <w:color w:val="auto"/>
              </w:rPr>
              <w:t xml:space="preserve">Net cash provided by/(used in) investing activities </w:t>
            </w:r>
            <w:r>
              <w:rPr>
                <w:rFonts w:ascii="Times New Roman" w:cs="Times New Roman" w:eastAsia="Times New Roman" w:hAnsi="Times New Roman"/>
                <w:sz w:val="23"/>
                <w:szCs w:val="23"/>
                <w:color w:val="auto"/>
                <w:vertAlign w:val="superscript"/>
              </w:rPr>
              <w:t>(2) (3)</w:t>
            </w:r>
          </w:p>
        </w:tc>
        <w:tc>
          <w:tcPr>
            <w:tcW w:w="7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43"/>
        </w:trPr>
        <w:tc>
          <w:tcPr>
            <w:tcW w:w="6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72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(4)</w:t>
            </w:r>
          </w:p>
        </w:tc>
        <w:tc>
          <w:tcPr>
            <w:tcW w:w="7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(112)</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3"/>
        </w:trPr>
        <w:tc>
          <w:tcPr>
            <w:tcW w:w="63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(2)</w:t>
            </w:r>
          </w:p>
        </w:tc>
        <w:tc>
          <w:tcPr>
            <w:tcW w:w="72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62"/>
        </w:trPr>
        <w:tc>
          <w:tcPr>
            <w:tcW w:w="6380" w:type="dxa"/>
            <w:vAlign w:val="bottom"/>
            <w:tcBorders>
              <w:top w:val="single" w:sz="8" w:color="CCEEFF"/>
              <w:bottom w:val="single" w:sz="8" w:color="CCEEFF"/>
            </w:tcBorders>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(5)</w:t>
            </w:r>
          </w:p>
        </w:tc>
        <w:tc>
          <w:tcPr>
            <w:tcW w:w="720" w:type="dxa"/>
            <w:vAlign w:val="bottom"/>
            <w:tcBorders>
              <w:top w:val="single" w:sz="8" w:color="auto"/>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2"/>
            <w:vMerge w:val="restart"/>
          </w:tcPr>
          <w:p>
            <w:pPr>
              <w:ind w:left="140"/>
              <w:spacing w:after="0" w:line="257"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(6)</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80" w:type="dxa"/>
            <w:vAlign w:val="bottom"/>
            <w:tcBorders>
              <w:bottom w:val="single" w:sz="8" w:color="CCEEFF"/>
            </w:tcBorders>
            <w:gridSpan w:val="2"/>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(377)</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62"/>
        </w:trPr>
        <w:tc>
          <w:tcPr>
            <w:tcW w:w="6380" w:type="dxa"/>
            <w:vAlign w:val="bottom"/>
            <w:tcBorders>
              <w:bottom w:val="single" w:sz="8" w:color="CCEEFF"/>
            </w:tcBorders>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(5) (7)</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960" w:type="dxa"/>
            <w:vAlign w:val="bottom"/>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38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(5)</w:t>
            </w: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3"/>
        </w:trPr>
        <w:tc>
          <w:tcPr>
            <w:tcW w:w="6380" w:type="dxa"/>
            <w:vAlign w:val="bottom"/>
            <w:tcBorders>
              <w:bottom w:val="single" w:sz="8" w:color="CCEEFF"/>
            </w:tcBorders>
            <w:gridSpan w:val="2"/>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Changes in assets and liabilities, net of acquisitions </w:t>
            </w:r>
            <w:r>
              <w:rPr>
                <w:rFonts w:ascii="Times New Roman" w:cs="Times New Roman" w:eastAsia="Times New Roman" w:hAnsi="Times New Roman"/>
                <w:sz w:val="23"/>
                <w:szCs w:val="23"/>
                <w:color w:val="auto"/>
                <w:vertAlign w:val="superscript"/>
              </w:rPr>
              <w:t>(8)</w:t>
            </w:r>
          </w:p>
        </w:tc>
        <w:tc>
          <w:tcPr>
            <w:tcW w:w="7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62"/>
        </w:trPr>
        <w:tc>
          <w:tcPr>
            <w:tcW w:w="6380" w:type="dxa"/>
            <w:vAlign w:val="bottom"/>
            <w:tcBorders>
              <w:bottom w:val="single" w:sz="8" w:color="CCEEFF"/>
            </w:tcBorders>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Adjusted Free Cash Flow (Excluding Changes in Assets &amp; Liabilities) </w:t>
            </w:r>
            <w:r>
              <w:rPr>
                <w:rFonts w:ascii="Times New Roman" w:cs="Times New Roman" w:eastAsia="Times New Roman" w:hAnsi="Times New Roman"/>
                <w:sz w:val="23"/>
                <w:szCs w:val="23"/>
                <w:color w:val="auto"/>
                <w:vertAlign w:val="superscript"/>
              </w:rPr>
              <w:t>(9)</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2"/>
            <w:vMerge w:val="restart"/>
          </w:tcPr>
          <w:p>
            <w:pPr>
              <w:ind w:left="140"/>
              <w:spacing w:after="0" w:line="257"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(6)</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80" w:type="dxa"/>
            <w:vAlign w:val="bottom"/>
            <w:tcBorders>
              <w:bottom w:val="single" w:sz="8" w:color="CCEEFF"/>
            </w:tcBorders>
            <w:gridSpan w:val="2"/>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(377)</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169"/>
        </w:trPr>
        <w:tc>
          <w:tcPr>
            <w:tcW w:w="638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 Assets &amp;</w:t>
            </w:r>
          </w:p>
        </w:tc>
        <w:tc>
          <w:tcPr>
            <w:tcW w:w="720" w:type="dxa"/>
            <w:vAlign w:val="bottom"/>
            <w:vMerge w:val="restart"/>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(9)</w:t>
            </w: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the applicable periods presented.</w:t>
      </w:r>
    </w:p>
    <w:p>
      <w:pPr>
        <w:spacing w:after="0" w:line="50" w:lineRule="exact"/>
        <w:rPr>
          <w:rFonts w:ascii="Times New Roman" w:cs="Times New Roman" w:eastAsia="Times New Roman" w:hAnsi="Times New Roman"/>
          <w:sz w:val="21"/>
          <w:szCs w:val="21"/>
          <w:color w:val="auto"/>
          <w:vertAlign w:val="superscript"/>
        </w:rPr>
      </w:pPr>
    </w:p>
    <w:p>
      <w:pPr>
        <w:ind w:left="340" w:right="80" w:hanging="332"/>
        <w:spacing w:after="0" w:line="229"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provided by/(used in) investing activities.”</w:t>
      </w:r>
    </w:p>
    <w:p>
      <w:pPr>
        <w:spacing w:after="0" w:line="48" w:lineRule="exact"/>
        <w:rPr>
          <w:rFonts w:ascii="Times New Roman" w:cs="Times New Roman" w:eastAsia="Times New Roman" w:hAnsi="Times New Roman"/>
          <w:sz w:val="21"/>
          <w:szCs w:val="21"/>
          <w:color w:val="auto"/>
          <w:vertAlign w:val="superscript"/>
        </w:rPr>
      </w:pPr>
    </w:p>
    <w:p>
      <w:pPr>
        <w:ind w:left="340" w:right="400" w:hanging="332"/>
        <w:spacing w:after="0" w:line="225"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nine months ended September 30, 2026, includes a net cash inflow of approximately $3.527 billion for proceeds (net of cash divested) from the sale of the Canadian NGL Business. For the nine months ended September 30, 2025, includes a net cash outflow of $865 million for bolt-on acquisitions.</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64" w:lineRule="exact"/>
        <w:rPr>
          <w:rFonts w:ascii="Times New Roman" w:cs="Times New Roman" w:eastAsia="Times New Roman" w:hAnsi="Times New Roman"/>
          <w:sz w:val="21"/>
          <w:szCs w:val="21"/>
          <w:color w:val="auto"/>
          <w:vertAlign w:val="superscript"/>
        </w:rPr>
      </w:pPr>
    </w:p>
    <w:p>
      <w:pPr>
        <w:ind w:left="340" w:right="140" w:hanging="332"/>
        <w:spacing w:after="0" w:line="215"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w:t>
      </w:r>
    </w:p>
    <w:p>
      <w:pPr>
        <w:spacing w:after="0" w:line="1"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4" w:lineRule="exact"/>
        <w:rPr>
          <w:rFonts w:ascii="Times New Roman" w:cs="Times New Roman" w:eastAsia="Times New Roman" w:hAnsi="Times New Roman"/>
          <w:sz w:val="21"/>
          <w:szCs w:val="21"/>
          <w:color w:val="auto"/>
          <w:vertAlign w:val="superscript"/>
        </w:rPr>
      </w:pPr>
    </w:p>
    <w:p>
      <w:pPr>
        <w:jc w:val="both"/>
        <w:ind w:left="340" w:right="180" w:hanging="332"/>
        <w:spacing w:after="0" w:line="229"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the income tax impacts related to the Canadian NGL Business divestiture.</w:t>
      </w:r>
    </w:p>
    <w:p>
      <w:pPr>
        <w:spacing w:after="0" w:line="50" w:lineRule="exact"/>
        <w:rPr>
          <w:rFonts w:ascii="Times New Roman" w:cs="Times New Roman" w:eastAsia="Times New Roman" w:hAnsi="Times New Roman"/>
          <w:sz w:val="21"/>
          <w:szCs w:val="21"/>
          <w:color w:val="auto"/>
          <w:vertAlign w:val="superscript"/>
        </w:rPr>
      </w:pPr>
    </w:p>
    <w:p>
      <w:pPr>
        <w:jc w:val="both"/>
        <w:ind w:left="340" w:right="320" w:hanging="332"/>
        <w:spacing w:after="0" w:line="211"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1"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960" w:type="dxa"/>
            <w:vAlign w:val="bottom"/>
            <w:gridSpan w:val="4"/>
          </w:tcPr>
          <w:p>
            <w:pPr>
              <w:jc w:val="right"/>
              <w:ind w:right="147"/>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4"/>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35"/>
        </w:trPr>
        <w:tc>
          <w:tcPr>
            <w:tcW w:w="38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327"/>
              <w:spacing w:after="0" w:line="13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Borders>
              <w:bottom w:val="single" w:sz="8" w:color="auto"/>
            </w:tcBorders>
          </w:tcPr>
          <w:p>
            <w:pPr>
              <w:spacing w:after="0"/>
              <w:rPr>
                <w:sz w:val="11"/>
                <w:szCs w:val="11"/>
                <w:color w:val="auto"/>
              </w:rPr>
            </w:pPr>
          </w:p>
        </w:tc>
      </w:tr>
      <w:tr>
        <w:trPr>
          <w:trHeight w:val="196"/>
        </w:trPr>
        <w:tc>
          <w:tcPr>
            <w:tcW w:w="6480" w:type="dxa"/>
            <w:vAlign w:val="bottom"/>
            <w:tcBorders>
              <w:bottom w:val="single" w:sz="8" w:color="CCEEFF"/>
            </w:tcBorders>
            <w:gridSpan w:val="2"/>
          </w:tcPr>
          <w:p>
            <w:pPr>
              <w:ind w:left="20"/>
              <w:spacing w:after="0" w:line="196" w:lineRule="exact"/>
              <w:rPr>
                <w:sz w:val="20"/>
                <w:szCs w:val="20"/>
                <w:color w:val="auto"/>
              </w:rPr>
            </w:pPr>
            <w:r>
              <w:rPr>
                <w:rFonts w:ascii="Times New Roman" w:cs="Times New Roman" w:eastAsia="Times New Roman" w:hAnsi="Times New Roman"/>
                <w:sz w:val="15"/>
                <w:szCs w:val="15"/>
                <w:b w:val="1"/>
                <w:bCs w:val="1"/>
                <w:color w:val="auto"/>
              </w:rPr>
              <w:t xml:space="preserve">Selected Items Impacting Comparability: </w:t>
            </w:r>
            <w:r>
              <w:rPr>
                <w:rFonts w:ascii="Times New Roman" w:cs="Times New Roman" w:eastAsia="Times New Roman" w:hAnsi="Times New Roman"/>
                <w:sz w:val="19"/>
                <w:szCs w:val="19"/>
                <w:b w:val="1"/>
                <w:bCs w:val="1"/>
                <w:color w:val="auto"/>
                <w:vertAlign w:val="superscript"/>
              </w:rPr>
              <w:t>(1) (2)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210"/>
        </w:trPr>
        <w:tc>
          <w:tcPr>
            <w:tcW w:w="648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Derivative activities and inventory valuation adjustments </w:t>
            </w:r>
            <w:r>
              <w:rPr>
                <w:rFonts w:ascii="Times New Roman" w:cs="Times New Roman" w:eastAsia="Times New Roman" w:hAnsi="Times New Roman"/>
                <w:sz w:val="19"/>
                <w:szCs w:val="19"/>
                <w:color w:val="auto"/>
                <w:vertAlign w:val="superscript"/>
              </w:rPr>
              <w:t>(2) (3)</w:t>
            </w:r>
          </w:p>
        </w:tc>
        <w:tc>
          <w:tcPr>
            <w:tcW w:w="74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216"/>
        </w:trPr>
        <w:tc>
          <w:tcPr>
            <w:tcW w:w="64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 xml:space="preserve">Long-term inventory costing adjustments </w:t>
            </w:r>
            <w:r>
              <w:rPr>
                <w:rFonts w:ascii="Times New Roman" w:cs="Times New Roman" w:eastAsia="Times New Roman" w:hAnsi="Times New Roman"/>
                <w:sz w:val="19"/>
                <w:szCs w:val="19"/>
                <w:color w:val="auto"/>
                <w:vertAlign w:val="superscript"/>
              </w:rPr>
              <w:t>(2) (4)</w:t>
            </w:r>
          </w:p>
        </w:tc>
        <w:tc>
          <w:tcPr>
            <w:tcW w:w="740" w:type="dxa"/>
            <w:vAlign w:val="bottom"/>
          </w:tcPr>
          <w:p>
            <w:pPr>
              <w:spacing w:after="0"/>
              <w:rPr>
                <w:sz w:val="18"/>
                <w:szCs w:val="18"/>
                <w:color w:val="auto"/>
              </w:rPr>
            </w:pPr>
          </w:p>
        </w:tc>
        <w:tc>
          <w:tcPr>
            <w:tcW w:w="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16"/>
        </w:trPr>
        <w:tc>
          <w:tcPr>
            <w:tcW w:w="64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 xml:space="preserve">Deficiencies under minimum volume commitments, net </w:t>
            </w:r>
            <w:r>
              <w:rPr>
                <w:rFonts w:ascii="Times New Roman" w:cs="Times New Roman" w:eastAsia="Times New Roman" w:hAnsi="Times New Roman"/>
                <w:sz w:val="19"/>
                <w:szCs w:val="19"/>
                <w:color w:val="auto"/>
                <w:vertAlign w:val="superscript"/>
              </w:rPr>
              <w:t>(5)</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16"/>
        </w:trPr>
        <w:tc>
          <w:tcPr>
            <w:tcW w:w="64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 xml:space="preserve">Rail fleet amortization expense related to discontinued operations </w:t>
            </w:r>
            <w:r>
              <w:rPr>
                <w:rFonts w:ascii="Times New Roman" w:cs="Times New Roman" w:eastAsia="Times New Roman" w:hAnsi="Times New Roman"/>
                <w:sz w:val="19"/>
                <w:szCs w:val="19"/>
                <w:color w:val="auto"/>
                <w:vertAlign w:val="superscript"/>
              </w:rPr>
              <w:t>(2) (6)</w:t>
            </w:r>
          </w:p>
        </w:tc>
        <w:tc>
          <w:tcPr>
            <w:tcW w:w="7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16"/>
        </w:trPr>
        <w:tc>
          <w:tcPr>
            <w:tcW w:w="64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 xml:space="preserve">Equity-indexed compensation expense </w:t>
            </w:r>
            <w:r>
              <w:rPr>
                <w:rFonts w:ascii="Times New Roman" w:cs="Times New Roman" w:eastAsia="Times New Roman" w:hAnsi="Times New Roman"/>
                <w:sz w:val="19"/>
                <w:szCs w:val="19"/>
                <w:color w:val="auto"/>
                <w:vertAlign w:val="superscript"/>
              </w:rPr>
              <w:t>(7)</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16"/>
        </w:trPr>
        <w:tc>
          <w:tcPr>
            <w:tcW w:w="64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 xml:space="preserve">Foreign currency revaluation </w:t>
            </w:r>
            <w:r>
              <w:rPr>
                <w:rFonts w:ascii="Times New Roman" w:cs="Times New Roman" w:eastAsia="Times New Roman" w:hAnsi="Times New Roman"/>
                <w:sz w:val="19"/>
                <w:szCs w:val="19"/>
                <w:color w:val="auto"/>
                <w:vertAlign w:val="superscript"/>
              </w:rPr>
              <w:t>(2) (8)</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16"/>
        </w:trPr>
        <w:tc>
          <w:tcPr>
            <w:tcW w:w="64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 xml:space="preserve">Contingent consideration fair value adjustment </w:t>
            </w:r>
            <w:r>
              <w:rPr>
                <w:rFonts w:ascii="Times New Roman" w:cs="Times New Roman" w:eastAsia="Times New Roman" w:hAnsi="Times New Roman"/>
                <w:sz w:val="19"/>
                <w:szCs w:val="19"/>
                <w:color w:val="auto"/>
                <w:vertAlign w:val="superscript"/>
              </w:rPr>
              <w:t>(9)</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4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 xml:space="preserve">Impact from exit of Canadian NGL Business </w:t>
            </w:r>
            <w:r>
              <w:rPr>
                <w:rFonts w:ascii="Times New Roman" w:cs="Times New Roman" w:eastAsia="Times New Roman" w:hAnsi="Times New Roman"/>
                <w:sz w:val="19"/>
                <w:szCs w:val="19"/>
                <w:color w:val="auto"/>
                <w:vertAlign w:val="superscript"/>
              </w:rPr>
              <w:t>(10)</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4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 xml:space="preserve">Transaction-related expenses </w:t>
            </w:r>
            <w:r>
              <w:rPr>
                <w:rFonts w:ascii="Times New Roman" w:cs="Times New Roman" w:eastAsia="Times New Roman" w:hAnsi="Times New Roman"/>
                <w:sz w:val="19"/>
                <w:szCs w:val="19"/>
                <w:color w:val="auto"/>
                <w:vertAlign w:val="superscript"/>
              </w:rPr>
              <w:t>(11)</w:t>
            </w:r>
          </w:p>
        </w:tc>
        <w:tc>
          <w:tcPr>
            <w:tcW w:w="7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10"/>
        </w:trPr>
        <w:tc>
          <w:tcPr>
            <w:tcW w:w="6480" w:type="dxa"/>
            <w:vAlign w:val="bottom"/>
            <w:gridSpan w:val="2"/>
          </w:tcPr>
          <w:p>
            <w:pPr>
              <w:ind w:left="140"/>
              <w:spacing w:after="0" w:line="210" w:lineRule="exact"/>
              <w:rPr>
                <w:sz w:val="20"/>
                <w:szCs w:val="20"/>
                <w:color w:val="auto"/>
              </w:rPr>
            </w:pPr>
            <w:r>
              <w:rPr>
                <w:rFonts w:ascii="Times New Roman" w:cs="Times New Roman" w:eastAsia="Times New Roman" w:hAnsi="Times New Roman"/>
                <w:sz w:val="15"/>
                <w:szCs w:val="15"/>
                <w:color w:val="auto"/>
              </w:rPr>
              <w:t xml:space="preserve">Selected items impacting comparability - Adjusted EBITDA </w:t>
            </w:r>
            <w:r>
              <w:rPr>
                <w:rFonts w:ascii="Times New Roman" w:cs="Times New Roman" w:eastAsia="Times New Roman" w:hAnsi="Times New Roman"/>
                <w:sz w:val="19"/>
                <w:szCs w:val="19"/>
                <w:color w:val="auto"/>
                <w:vertAlign w:val="superscript"/>
              </w:rPr>
              <w:t>(2)</w:t>
            </w:r>
          </w:p>
        </w:tc>
        <w:tc>
          <w:tcPr>
            <w:tcW w:w="740" w:type="dxa"/>
            <w:vAlign w:val="bottom"/>
            <w:tcBorders>
              <w:top w:val="single" w:sz="8" w:color="auto"/>
            </w:tcBorders>
          </w:tcPr>
          <w:p>
            <w:pPr>
              <w:jc w:val="right"/>
              <w:ind w:right="569"/>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ind w:right="56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16"/>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on/(impairment of) investments in unconsolidated entities, net</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12"/>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Gains/(losses) on asset sales, asset impairments and other, net</w:t>
            </w:r>
          </w:p>
        </w:tc>
        <w:tc>
          <w:tcPr>
            <w:tcW w:w="740" w:type="dxa"/>
            <w:vAlign w:val="bottom"/>
          </w:tcPr>
          <w:p>
            <w:pPr>
              <w:spacing w:after="0"/>
              <w:rPr>
                <w:sz w:val="18"/>
                <w:szCs w:val="18"/>
                <w:color w:val="auto"/>
              </w:rPr>
            </w:pPr>
          </w:p>
        </w:tc>
        <w:tc>
          <w:tcPr>
            <w:tcW w:w="3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xml:space="preserve">Current income tax expense related to Canadian NGL Business divestiture </w:t>
            </w:r>
            <w:r>
              <w:rPr>
                <w:rFonts w:ascii="Times New Roman" w:cs="Times New Roman" w:eastAsia="Times New Roman" w:hAnsi="Times New Roman"/>
                <w:sz w:val="19"/>
                <w:szCs w:val="19"/>
                <w:color w:val="auto"/>
                <w:vertAlign w:val="superscript"/>
              </w:rPr>
              <w:t>(12)</w:t>
            </w: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4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5"/>
                <w:szCs w:val="15"/>
                <w:color w:val="auto"/>
              </w:rPr>
              <w:t xml:space="preserve">Deferred income tax benefit related to Canadian NGL Business divestiture </w:t>
            </w:r>
            <w:r>
              <w:rPr>
                <w:rFonts w:ascii="Times New Roman" w:cs="Times New Roman" w:eastAsia="Times New Roman" w:hAnsi="Times New Roman"/>
                <w:sz w:val="19"/>
                <w:szCs w:val="19"/>
                <w:color w:val="auto"/>
                <w:vertAlign w:val="superscript"/>
              </w:rPr>
              <w:t>(12)</w:t>
            </w:r>
          </w:p>
        </w:tc>
        <w:tc>
          <w:tcPr>
            <w:tcW w:w="7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effect on selected items impacting comparability</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12"/>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Aggregate selected items impacting noncontrolling interests</w:t>
            </w: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38"/>
        </w:trPr>
        <w:tc>
          <w:tcPr>
            <w:tcW w:w="6480" w:type="dxa"/>
            <w:vAlign w:val="bottom"/>
            <w:tcBorders>
              <w:bottom w:val="single" w:sz="8" w:color="CCEEFF"/>
            </w:tcBorders>
            <w:gridSpan w:val="2"/>
            <w:shd w:val="clear" w:color="auto" w:fill="CCEEFF"/>
          </w:tcPr>
          <w:p>
            <w:pPr>
              <w:ind w:left="140"/>
              <w:spacing w:after="0" w:line="214" w:lineRule="exact"/>
              <w:rPr>
                <w:sz w:val="20"/>
                <w:szCs w:val="20"/>
                <w:color w:val="auto"/>
              </w:rPr>
            </w:pPr>
            <w:r>
              <w:rPr>
                <w:rFonts w:ascii="Times New Roman" w:cs="Times New Roman" w:eastAsia="Times New Roman" w:hAnsi="Times New Roman"/>
                <w:sz w:val="15"/>
                <w:szCs w:val="15"/>
                <w:color w:val="auto"/>
              </w:rPr>
              <w:t xml:space="preserve">Selected items impacting comparability - Adjusted net income attributable to PAA </w:t>
            </w:r>
            <w:r>
              <w:rPr>
                <w:rFonts w:ascii="Times New Roman" w:cs="Times New Roman" w:eastAsia="Times New Roman" w:hAnsi="Times New Roman"/>
                <w:sz w:val="19"/>
                <w:szCs w:val="19"/>
                <w:color w:val="auto"/>
                <w:vertAlign w:val="superscript"/>
              </w:rPr>
              <w:t>(2)</w:t>
            </w:r>
          </w:p>
        </w:tc>
        <w:tc>
          <w:tcPr>
            <w:tcW w:w="74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6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r>
    </w:tbl>
    <w:p>
      <w:pPr>
        <w:spacing w:after="0" w:line="132" w:lineRule="exact"/>
        <w:rPr>
          <w:sz w:val="20"/>
          <w:szCs w:val="20"/>
          <w:color w:val="auto"/>
        </w:rPr>
      </w:pPr>
    </w:p>
    <w:p>
      <w:pPr>
        <w:ind w:left="340" w:right="20" w:hanging="332"/>
        <w:spacing w:after="0" w:line="231" w:lineRule="auto"/>
        <w:tabs>
          <w:tab w:leader="none" w:pos="33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Income/(Loss) Per Common Unit” tables for additional details on how these selected items impacting comparability affect such measures.</w:t>
      </w:r>
    </w:p>
    <w:p>
      <w:pPr>
        <w:spacing w:after="0" w:line="19" w:lineRule="exact"/>
        <w:rPr>
          <w:rFonts w:ascii="Times New Roman" w:cs="Times New Roman" w:eastAsia="Times New Roman" w:hAnsi="Times New Roman"/>
          <w:sz w:val="16"/>
          <w:szCs w:val="16"/>
          <w:color w:val="auto"/>
          <w:vertAlign w:val="superscript"/>
        </w:rPr>
      </w:pPr>
    </w:p>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results from continuing operations and discontinued operations for the applicable periods presented. See the “Discontinued Operations Detail” table for additional information.</w:t>
      </w:r>
    </w:p>
    <w:p>
      <w:pPr>
        <w:spacing w:after="0" w:line="53" w:lineRule="exact"/>
        <w:rPr>
          <w:rFonts w:ascii="Times New Roman" w:cs="Times New Roman" w:eastAsia="Times New Roman" w:hAnsi="Times New Roman"/>
          <w:sz w:val="16"/>
          <w:szCs w:val="16"/>
          <w:color w:val="auto"/>
          <w:vertAlign w:val="superscript"/>
        </w:rPr>
      </w:pPr>
    </w:p>
    <w:p>
      <w:pPr>
        <w:ind w:left="340" w:right="20" w:hanging="332"/>
        <w:spacing w:after="0" w:line="238" w:lineRule="auto"/>
        <w:tabs>
          <w:tab w:leader="none" w:pos="33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w:t>
      </w:r>
    </w:p>
    <w:p>
      <w:pPr>
        <w:spacing w:after="0" w:line="1" w:lineRule="exact"/>
        <w:rPr>
          <w:rFonts w:ascii="Times New Roman" w:cs="Times New Roman" w:eastAsia="Times New Roman" w:hAnsi="Times New Roman"/>
          <w:sz w:val="16"/>
          <w:szCs w:val="16"/>
          <w:color w:val="auto"/>
          <w:vertAlign w:val="superscript"/>
        </w:rPr>
      </w:pPr>
    </w:p>
    <w:p>
      <w:pPr>
        <w:ind w:left="520" w:hanging="188"/>
        <w:spacing w:after="0"/>
        <w:tabs>
          <w:tab w:leader="none" w:pos="520" w:val="left"/>
        </w:tabs>
        <w:numPr>
          <w:ilvl w:val="1"/>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purchases of long-term inventory. We also exclude the impact of corresponding inventory valuation adjustments, as applicable.</w:t>
      </w:r>
    </w:p>
    <w:p>
      <w:pPr>
        <w:spacing w:after="0" w:line="50" w:lineRule="exact"/>
        <w:rPr>
          <w:rFonts w:ascii="Times New Roman" w:cs="Times New Roman" w:eastAsia="Times New Roman" w:hAnsi="Times New Roman"/>
          <w:sz w:val="12"/>
          <w:szCs w:val="12"/>
          <w:color w:val="auto"/>
        </w:rPr>
      </w:pPr>
    </w:p>
    <w:p>
      <w:pPr>
        <w:jc w:val="both"/>
        <w:ind w:left="340" w:right="60" w:hanging="332"/>
        <w:spacing w:after="0" w:line="245" w:lineRule="auto"/>
        <w:tabs>
          <w:tab w:leader="none" w:pos="33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carry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7" w:lineRule="exact"/>
        <w:rPr>
          <w:rFonts w:ascii="Times New Roman" w:cs="Times New Roman" w:eastAsia="Times New Roman" w:hAnsi="Times New Roman"/>
          <w:sz w:val="16"/>
          <w:szCs w:val="16"/>
          <w:color w:val="auto"/>
          <w:vertAlign w:val="superscript"/>
        </w:rPr>
      </w:pPr>
    </w:p>
    <w:p>
      <w:pPr>
        <w:ind w:left="340" w:right="20" w:hanging="332"/>
        <w:spacing w:after="0" w:line="254" w:lineRule="auto"/>
        <w:tabs>
          <w:tab w:leader="none" w:pos="33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84" w:lineRule="exact"/>
        <w:rPr>
          <w:rFonts w:ascii="Times New Roman" w:cs="Times New Roman" w:eastAsia="Times New Roman" w:hAnsi="Times New Roman"/>
          <w:sz w:val="16"/>
          <w:szCs w:val="16"/>
          <w:color w:val="auto"/>
          <w:vertAlign w:val="superscript"/>
        </w:rPr>
      </w:pPr>
    </w:p>
    <w:p>
      <w:pPr>
        <w:ind w:left="340" w:right="100" w:hanging="332"/>
        <w:spacing w:after="0"/>
        <w:tabs>
          <w:tab w:leader="none" w:pos="33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Depreciation and amortization on the long-lived assets of the Canadian NGL Business disposal group ceased upon meeting the criteria to be classified as assets held for sale. Prior to the closing of the divestiture in May 2026, management reviewed the metrics of Adjusted EBITDA and Implied DCF on a consolidated basis (i.e., the aggregate of continuing operations and discontinued operations). We believe this presentation provides relevant and useful information regarding our historical performance and results of operations. We therefore include an adjustment for the impact of amortization of the rail fleet associated with the Canadian NGL Business.</w:t>
      </w:r>
    </w:p>
    <w:p>
      <w:pPr>
        <w:spacing w:after="0" w:line="188" w:lineRule="exact"/>
        <w:rPr>
          <w:rFonts w:ascii="Times New Roman" w:cs="Times New Roman" w:eastAsia="Times New Roman" w:hAnsi="Times New Roman"/>
          <w:sz w:val="16"/>
          <w:szCs w:val="16"/>
          <w:color w:val="auto"/>
          <w:vertAlign w:val="superscript"/>
        </w:rPr>
      </w:pPr>
    </w:p>
    <w:p>
      <w:pPr>
        <w:ind w:left="340" w:hanging="332"/>
        <w:spacing w:after="0" w:line="245" w:lineRule="auto"/>
        <w:tabs>
          <w:tab w:leader="none" w:pos="33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7" w:lineRule="exact"/>
        <w:rPr>
          <w:rFonts w:ascii="Times New Roman" w:cs="Times New Roman" w:eastAsia="Times New Roman" w:hAnsi="Times New Roman"/>
          <w:sz w:val="16"/>
          <w:szCs w:val="16"/>
          <w:color w:val="auto"/>
          <w:vertAlign w:val="superscript"/>
        </w:rPr>
      </w:pPr>
    </w:p>
    <w:p>
      <w:pPr>
        <w:ind w:left="340" w:right="440" w:hanging="332"/>
        <w:spacing w:after="0" w:line="239" w:lineRule="auto"/>
        <w:tabs>
          <w:tab w:leader="none" w:pos="33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41" w:lineRule="exact"/>
        <w:rPr>
          <w:rFonts w:ascii="Times New Roman" w:cs="Times New Roman" w:eastAsia="Times New Roman" w:hAnsi="Times New Roman"/>
          <w:sz w:val="16"/>
          <w:szCs w:val="16"/>
          <w:color w:val="auto"/>
          <w:vertAlign w:val="superscript"/>
        </w:rPr>
      </w:pPr>
    </w:p>
    <w:p>
      <w:pPr>
        <w:ind w:left="340" w:right="120" w:hanging="332"/>
        <w:spacing w:after="0" w:line="231" w:lineRule="auto"/>
        <w:tabs>
          <w:tab w:leader="none" w:pos="33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agreed to potential earnout payments associated with recently completed acquisitions, primarily our Cactus III acquisition. We consider the non-cash change in the estimated fair value of such earnout payments as a selected item impacting comparability.</w:t>
      </w:r>
    </w:p>
    <w:p>
      <w:pPr>
        <w:spacing w:after="0" w:line="41" w:lineRule="exact"/>
        <w:rPr>
          <w:rFonts w:ascii="Times New Roman" w:cs="Times New Roman" w:eastAsia="Times New Roman" w:hAnsi="Times New Roman"/>
          <w:sz w:val="16"/>
          <w:szCs w:val="16"/>
          <w:color w:val="auto"/>
          <w:vertAlign w:val="superscript"/>
        </w:rPr>
      </w:pPr>
    </w:p>
    <w:p>
      <w:pPr>
        <w:ind w:left="340" w:right="140" w:hanging="332"/>
        <w:spacing w:after="0" w:line="231" w:lineRule="auto"/>
        <w:tabs>
          <w:tab w:leader="none" w:pos="33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the acceleration of certain general and administrative expenses associated with exit activities related to the Canadian NGL Business divestiture in May 2026. Such costs are not integral to our core operating performance and were therefore excluded in determining Adjusted EBITDA.</w:t>
      </w:r>
    </w:p>
    <w:p>
      <w:pPr>
        <w:spacing w:after="0" w:line="19" w:lineRule="exact"/>
        <w:rPr>
          <w:rFonts w:ascii="Times New Roman" w:cs="Times New Roman" w:eastAsia="Times New Roman" w:hAnsi="Times New Roman"/>
          <w:sz w:val="16"/>
          <w:szCs w:val="16"/>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Primarily related to deal-specific costs incurred during the period.</w:t>
      </w:r>
    </w:p>
    <w:p>
      <w:pPr>
        <w:spacing w:after="0" w:line="53" w:lineRule="exact"/>
        <w:rPr>
          <w:rFonts w:ascii="Times New Roman" w:cs="Times New Roman" w:eastAsia="Times New Roman" w:hAnsi="Times New Roman"/>
          <w:sz w:val="16"/>
          <w:szCs w:val="16"/>
          <w:color w:val="auto"/>
          <w:vertAlign w:val="superscript"/>
        </w:rPr>
      </w:pPr>
    </w:p>
    <w:p>
      <w:pPr>
        <w:ind w:left="340" w:right="320" w:hanging="332"/>
        <w:spacing w:after="0" w:line="194" w:lineRule="auto"/>
        <w:tabs>
          <w:tab w:leader="none" w:pos="339"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connection with the Canadian NGL Business divestiture, we completed certain planning and restructuring activities within our organizational structure that had income tax consequences that required recognition during the first and second quarters of 2026. We consider the impacts from the Canadian NGL Business divestiture as a selected item impacting comparability.</w:t>
      </w:r>
    </w:p>
    <w:p>
      <w:pPr>
        <w:spacing w:after="0" w:line="1" w:lineRule="exact"/>
        <w:rPr>
          <w:rFonts w:ascii="Times New Roman" w:cs="Times New Roman" w:eastAsia="Times New Roman" w:hAnsi="Times New Roman"/>
          <w:sz w:val="16"/>
          <w:szCs w:val="16"/>
          <w:color w:val="auto"/>
          <w:vertAlign w:val="superscript"/>
        </w:rPr>
      </w:pPr>
    </w:p>
    <w:p>
      <w:pPr>
        <w:ind w:left="5440" w:hanging="106"/>
        <w:spacing w:after="0"/>
        <w:tabs>
          <w:tab w:leader="none" w:pos="54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 (2)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4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4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bottom w:val="single" w:sz="8" w:color="auto"/>
            </w:tcBorders>
            <w:gridSpan w:val="3"/>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2"/>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3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Crude oil pipeline tariff volumes (by region):</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43"/>
        </w:trPr>
        <w:tc>
          <w:tcPr>
            <w:tcW w:w="6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Permian Basin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w:t>
            </w:r>
          </w:p>
        </w:tc>
      </w:tr>
      <w:tr>
        <w:trPr>
          <w:trHeight w:val="243"/>
        </w:trPr>
        <w:tc>
          <w:tcPr>
            <w:tcW w:w="6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South Texas / Eagle Ford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43"/>
        </w:trPr>
        <w:tc>
          <w:tcPr>
            <w:tcW w:w="6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Mid-Continent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43"/>
        </w:trPr>
        <w:tc>
          <w:tcPr>
            <w:tcW w:w="6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Gulf Coast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3"/>
        </w:trPr>
        <w:tc>
          <w:tcPr>
            <w:tcW w:w="6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Rocky Mountain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43"/>
        </w:trPr>
        <w:tc>
          <w:tcPr>
            <w:tcW w:w="6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Western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63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6"/>
        </w:trPr>
        <w:tc>
          <w:tcPr>
            <w:tcW w:w="6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crude oil pipeline tariff volumes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w:t>
            </w:r>
          </w:p>
        </w:tc>
      </w:tr>
      <w:tr>
        <w:trPr>
          <w:trHeight w:val="162"/>
        </w:trPr>
        <w:tc>
          <w:tcPr>
            <w:tcW w:w="3880" w:type="dxa"/>
            <w:vAlign w:val="bottom"/>
            <w:tcBorders>
              <w:bottom w:val="single" w:sz="8" w:color="auto"/>
            </w:tcBorders>
          </w:tcPr>
          <w:p>
            <w:pPr>
              <w:spacing w:after="0"/>
              <w:rPr>
                <w:sz w:val="14"/>
                <w:szCs w:val="14"/>
                <w:color w:val="auto"/>
              </w:rPr>
            </w:pPr>
          </w:p>
        </w:tc>
        <w:tc>
          <w:tcPr>
            <w:tcW w:w="2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130" w:lineRule="exact"/>
        <w:rPr>
          <w:sz w:val="20"/>
          <w:szCs w:val="20"/>
          <w:color w:val="auto"/>
        </w:rPr>
      </w:pPr>
    </w:p>
    <w:p>
      <w:pPr>
        <w:ind w:left="340" w:right="20" w:hanging="332"/>
        <w:spacing w:after="0" w:line="235"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197" w:lineRule="auto"/>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ind w:left="5440" w:hanging="106"/>
        <w:spacing w:after="0"/>
        <w:tabs>
          <w:tab w:leader="none" w:pos="54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DISCONTINUED OPERATIONS DETAIL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Income from Discontinued Operations, Net of Tax: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(Gains)/losses on asset sales and other, net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334"/>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tax</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center"/>
              <w:ind w:left="374"/>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from Discontinued Operations:</w:t>
            </w: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9"/>
              </w:rPr>
              <w:t>40</w:t>
            </w: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1,588</w:t>
            </w:r>
          </w:p>
        </w:tc>
        <w:tc>
          <w:tcPr>
            <w:tcW w:w="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center"/>
              <w:ind w:left="51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from discontinued operations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(Gains)/losses on asset sales and other, net from discontinued operations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center"/>
              <w:ind w:left="474"/>
              <w:spacing w:after="0"/>
              <w:rPr>
                <w:sz w:val="20"/>
                <w:szCs w:val="20"/>
                <w:color w:val="auto"/>
              </w:rPr>
            </w:pPr>
            <w:r>
              <w:rPr>
                <w:rFonts w:ascii="Times New Roman" w:cs="Times New Roman" w:eastAsia="Times New Roman" w:hAnsi="Times New Roman"/>
                <w:sz w:val="18"/>
                <w:szCs w:val="18"/>
                <w:color w:val="auto"/>
                <w:w w:val="99"/>
              </w:rPr>
              <w:t>(40)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62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Adjustments attributable to discontinued operations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center"/>
              <w:ind w:left="51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Rail fleet amortization expense related to discontinued operations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center"/>
              <w:ind w:left="51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Adjusted EBITDA from Discontinued Operations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left="514"/>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0"/>
                <w:szCs w:val="20"/>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20"/>
                <w:szCs w:val="20"/>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Items Impacting Comparability” table for additional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Capital from Discontinued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60" w:type="dxa"/>
            <w:vAlign w:val="bottom"/>
            <w:gridSpan w:val="5"/>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6"/>
                <w:szCs w:val="16"/>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capital expenditures from discontinued operations</w:t>
            </w:r>
          </w:p>
        </w:tc>
        <w:tc>
          <w:tcPr>
            <w:tcW w:w="246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0"/>
                <w:szCs w:val="20"/>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Maintenance capital expenditures from discontinued operations</w:t>
            </w:r>
          </w:p>
        </w:tc>
        <w:tc>
          <w:tcPr>
            <w:tcW w:w="17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21"/>
                <w:szCs w:val="21"/>
                <w:color w:val="auto"/>
              </w:rPr>
            </w:pPr>
          </w:p>
        </w:tc>
      </w:tr>
      <w:tr>
        <w:trPr>
          <w:trHeight w:val="257"/>
        </w:trPr>
        <w:tc>
          <w:tcPr>
            <w:tcW w:w="20" w:type="dxa"/>
            <w:vAlign w:val="bottom"/>
            <w:shd w:val="clear" w:color="auto" w:fill="CCEEFF"/>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 from discontinued operations</w:t>
            </w:r>
          </w:p>
        </w:tc>
        <w:tc>
          <w:tcPr>
            <w:tcW w:w="246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60" w:type="dxa"/>
            <w:vAlign w:val="bottom"/>
            <w:gridSpan w:val="2"/>
          </w:tcPr>
          <w:p>
            <w:pPr>
              <w:jc w:val="right"/>
              <w:ind w:right="1168"/>
              <w:spacing w:after="0"/>
              <w:rPr>
                <w:sz w:val="20"/>
                <w:szCs w:val="20"/>
                <w:color w:val="auto"/>
              </w:rPr>
            </w:pPr>
            <w:r>
              <w:rPr>
                <w:rFonts w:ascii="Times New Roman" w:cs="Times New Roman" w:eastAsia="Times New Roman" w:hAnsi="Times New Roman"/>
                <w:sz w:val="18"/>
                <w:szCs w:val="18"/>
                <w:color w:val="auto"/>
              </w:rPr>
              <w:t>- more -</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468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7"/>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r>
        <w:trPr>
          <w:trHeight w:val="344"/>
        </w:trPr>
        <w:tc>
          <w:tcPr>
            <w:tcW w:w="20" w:type="dxa"/>
            <w:vAlign w:val="bottom"/>
          </w:tcPr>
          <w:p>
            <w:pPr>
              <w:spacing w:after="0"/>
              <w:rPr>
                <w:sz w:val="24"/>
                <w:szCs w:val="24"/>
                <w:color w:val="auto"/>
              </w:rPr>
            </w:pPr>
          </w:p>
        </w:tc>
        <w:tc>
          <w:tcPr>
            <w:tcW w:w="468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46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340" w:type="dxa"/>
            <w:vAlign w:val="bottom"/>
          </w:tcPr>
          <w:p>
            <w:pPr>
              <w:spacing w:after="0"/>
              <w:rPr>
                <w:sz w:val="24"/>
                <w:szCs w:val="24"/>
                <w:color w:val="auto"/>
              </w:rPr>
            </w:pPr>
          </w:p>
        </w:tc>
        <w:tc>
          <w:tcPr>
            <w:tcW w:w="2480" w:type="dxa"/>
            <w:vAlign w:val="bottom"/>
            <w:gridSpan w:val="7"/>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9"/>
              </w:rPr>
              <w:t>713-646-4100 / 866-809-1291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8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15,173</w:t>
            </w:r>
          </w:p>
        </w:tc>
        <w:tc>
          <w:tcPr>
            <w:tcW w:w="140" w:type="dxa"/>
            <w:vAlign w:val="bottom"/>
            <w:tcBorders>
              <w:right w:val="single" w:sz="8" w:color="auto"/>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14,030</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178"/>
        </w:trPr>
        <w:tc>
          <w:tcPr>
            <w:tcW w:w="38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(Gains)/losses on asset sales, asset impairments and other,</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3"/>
        </w:trPr>
        <w:tc>
          <w:tcPr>
            <w:tcW w:w="3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11,095</w:t>
            </w:r>
          </w:p>
        </w:tc>
        <w:tc>
          <w:tcPr>
            <w:tcW w:w="0" w:type="dxa"/>
            <w:vAlign w:val="bottom"/>
          </w:tcPr>
          <w:p>
            <w:pPr>
              <w:spacing w:after="0"/>
              <w:rPr>
                <w:sz w:val="1"/>
                <w:szCs w:val="1"/>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investments in unconsolidated entities, net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27"/>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income/(expense), net</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58"/>
        </w:trPr>
        <w:tc>
          <w:tcPr>
            <w:tcW w:w="3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Current income tax benefit/(expense) from continuing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55"/>
        </w:trPr>
        <w:tc>
          <w:tcPr>
            <w:tcW w:w="38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4"/>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2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tcBorders>
              <w:right w:val="single" w:sz="8" w:color="auto"/>
            </w:tcBorders>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Basic net income/(loss)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27"/>
        </w:trPr>
        <w:tc>
          <w:tcPr>
            <w:tcW w:w="3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income/(loss) per Class A share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Diluted net income/(loss)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6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income/(loss) per Class A share</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132"/>
        </w:trPr>
        <w:tc>
          <w:tcPr>
            <w:tcW w:w="38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aggregate consolidating adjustments necessary to produce consolidated financial statements for PAGP.</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83" w:lineRule="auto"/>
        <w:tabs>
          <w:tab w:leader="none" w:pos="320" w:val="left"/>
        </w:tabs>
        <w:numPr>
          <w:ilvl w:val="0"/>
          <w:numId w:val="2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See the “Computation of Basic and Diluted Net Income/(Loss) Per Class A Share” table for additional information.</w:t>
      </w:r>
    </w:p>
    <w:p>
      <w:pPr>
        <w:ind w:left="5440" w:hanging="106"/>
        <w:spacing w:after="0"/>
        <w:tabs>
          <w:tab w:leader="none" w:pos="54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60"/>
          </w:cols>
          <w:pgMar w:left="320" w:top="364"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8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45,334</w:t>
            </w:r>
          </w:p>
        </w:tc>
        <w:tc>
          <w:tcPr>
            <w:tcW w:w="140" w:type="dxa"/>
            <w:vAlign w:val="bottom"/>
            <w:tcBorders>
              <w:right w:val="single" w:sz="8" w:color="auto"/>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33,698</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42,078</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30,862</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 xml:space="preserve">General and administrative expenses </w:t>
            </w:r>
            <w:r>
              <w:rPr>
                <w:rFonts w:ascii="Times New Roman" w:cs="Times New Roman" w:eastAsia="Times New Roman" w:hAnsi="Times New Roman"/>
                <w:sz w:val="21"/>
                <w:szCs w:val="21"/>
                <w:color w:val="auto"/>
                <w:vertAlign w:val="superscript"/>
              </w:rPr>
              <w:t>(2)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178"/>
        </w:trPr>
        <w:tc>
          <w:tcPr>
            <w:tcW w:w="38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(Gains)/losses on asset sales, asset impairments and other,</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3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44,022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32,622</w:t>
            </w:r>
          </w:p>
        </w:tc>
        <w:tc>
          <w:tcPr>
            <w:tcW w:w="0" w:type="dxa"/>
            <w:vAlign w:val="bottom"/>
          </w:tcPr>
          <w:p>
            <w:pPr>
              <w:spacing w:after="0"/>
              <w:rPr>
                <w:sz w:val="1"/>
                <w:szCs w:val="1"/>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Gain on/(impairment of) investments in unconsolidated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entities, 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27"/>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58"/>
        </w:trPr>
        <w:tc>
          <w:tcPr>
            <w:tcW w:w="38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78"/>
        </w:trPr>
        <w:tc>
          <w:tcPr>
            <w:tcW w:w="38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Deferred income tax benefit/(expense) from continuing</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0" w:type="dxa"/>
            <w:vAlign w:val="bottom"/>
          </w:tcPr>
          <w:p>
            <w:pPr>
              <w:spacing w:after="0"/>
              <w:rPr>
                <w:sz w:val="1"/>
                <w:szCs w:val="1"/>
                <w:color w:val="auto"/>
              </w:rPr>
            </w:pPr>
          </w:p>
        </w:tc>
      </w:tr>
      <w:tr>
        <w:trPr>
          <w:trHeight w:val="214"/>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0" w:type="dxa"/>
            <w:vAlign w:val="bottom"/>
          </w:tcPr>
          <w:p>
            <w:pPr>
              <w:spacing w:after="0"/>
              <w:rPr>
                <w:sz w:val="1"/>
                <w:szCs w:val="1"/>
                <w:color w:val="auto"/>
              </w:rPr>
            </w:pPr>
          </w:p>
        </w:tc>
      </w:tr>
      <w:tr>
        <w:trPr>
          <w:trHeight w:val="226"/>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40" w:type="dxa"/>
            <w:vAlign w:val="bottom"/>
            <w:tcBorders>
              <w:right w:val="single" w:sz="8" w:color="auto"/>
            </w:tcBorders>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6"/>
                <w:szCs w:val="16"/>
                <w:color w:val="auto"/>
              </w:rPr>
              <w:t xml:space="preserve">Basic net income/(loss) per Class A share </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Diluted net income/(loss) per Class A share </w:t>
            </w: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0" w:type="dxa"/>
            <w:vAlign w:val="bottom"/>
          </w:tcPr>
          <w:p>
            <w:pPr>
              <w:spacing w:after="0"/>
              <w:rPr>
                <w:sz w:val="1"/>
                <w:szCs w:val="1"/>
                <w:color w:val="auto"/>
              </w:rPr>
            </w:pPr>
          </w:p>
        </w:tc>
      </w:tr>
      <w:tr>
        <w:trPr>
          <w:trHeight w:val="227"/>
        </w:trPr>
        <w:tc>
          <w:tcPr>
            <w:tcW w:w="3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Represents the aggregate consolidating adjustments necessary to produce consolidated financial statements for PAGP.</w:t>
      </w:r>
    </w:p>
    <w:p>
      <w:pPr>
        <w:spacing w:after="0" w:line="52" w:lineRule="exact"/>
        <w:rPr>
          <w:rFonts w:ascii="Times New Roman" w:cs="Times New Roman" w:eastAsia="Times New Roman" w:hAnsi="Times New Roman"/>
          <w:sz w:val="16"/>
          <w:szCs w:val="16"/>
          <w:color w:val="auto"/>
          <w:vertAlign w:val="superscript"/>
        </w:rPr>
      </w:pPr>
    </w:p>
    <w:p>
      <w:pPr>
        <w:ind w:left="340" w:right="100" w:hanging="332"/>
        <w:spacing w:after="0" w:line="214" w:lineRule="auto"/>
        <w:tabs>
          <w:tab w:leader="none" w:pos="327"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For the nine months ended September 30, 2026, General and administrative expenses include approximately $33 million related to the acceleration of certain expenses primarily during the second quarter of 2026 resulting from exit costs associated with the Canadian NGL Business.</w:t>
      </w:r>
    </w:p>
    <w:p>
      <w:pPr>
        <w:spacing w:after="0" w:line="1" w:lineRule="exact"/>
        <w:rPr>
          <w:rFonts w:ascii="Times New Roman" w:cs="Times New Roman" w:eastAsia="Times New Roman" w:hAnsi="Times New Roman"/>
          <w:sz w:val="16"/>
          <w:szCs w:val="16"/>
          <w:color w:val="auto"/>
          <w:vertAlign w:val="superscript"/>
        </w:rPr>
      </w:pPr>
    </w:p>
    <w:p>
      <w:pPr>
        <w:ind w:left="320" w:hanging="312"/>
        <w:spacing w:after="0" w:line="216" w:lineRule="auto"/>
        <w:tabs>
          <w:tab w:leader="none" w:pos="32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the “Computation of Basic and Diluted Net Income/(Loss) Per Class A Share” table for additional information.</w:t>
      </w:r>
    </w:p>
    <w:p>
      <w:pPr>
        <w:ind w:left="5440" w:hanging="106"/>
        <w:spacing w:after="0"/>
        <w:tabs>
          <w:tab w:leader="none" w:pos="54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60"/>
          </w:cols>
          <w:pgMar w:left="320" w:top="364"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9"/>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20"/>
                <w:szCs w:val="20"/>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20"/>
                <w:szCs w:val="20"/>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43"/>
        </w:trPr>
        <w:tc>
          <w:tcPr>
            <w:tcW w:w="33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189"/>
        </w:trPr>
        <w:tc>
          <w:tcPr>
            <w:tcW w:w="3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assets of discontinued operations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31,276</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3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9"/>
        </w:trPr>
        <w:tc>
          <w:tcPr>
            <w:tcW w:w="3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1"/>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5"/>
        </w:trPr>
        <w:tc>
          <w:tcPr>
            <w:tcW w:w="3340" w:type="dxa"/>
            <w:vAlign w:val="bottom"/>
            <w:shd w:val="clear" w:color="auto" w:fill="CCEEFF"/>
          </w:tcPr>
          <w:p>
            <w:pPr>
              <w:ind w:left="20"/>
              <w:spacing w:after="0" w:line="245"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w:t>
            </w: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189"/>
        </w:trPr>
        <w:tc>
          <w:tcPr>
            <w:tcW w:w="3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Long-term liabilities of discontinued</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189"/>
        </w:trPr>
        <w:tc>
          <w:tcPr>
            <w:tcW w:w="33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3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17,060</w:t>
            </w:r>
          </w:p>
        </w:tc>
      </w:tr>
      <w:tr>
        <w:trPr>
          <w:trHeight w:val="216"/>
        </w:trPr>
        <w:tc>
          <w:tcPr>
            <w:tcW w:w="3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89"/>
        </w:trPr>
        <w:tc>
          <w:tcPr>
            <w:tcW w:w="3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w:t>
            </w:r>
          </w:p>
        </w:tc>
      </w:tr>
      <w:tr>
        <w:trPr>
          <w:trHeight w:val="236"/>
        </w:trPr>
        <w:tc>
          <w:tcPr>
            <w:tcW w:w="3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12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14,216</w:t>
            </w:r>
          </w:p>
        </w:tc>
      </w:tr>
      <w:tr>
        <w:trPr>
          <w:trHeight w:val="262"/>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3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100"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current assets of discontinued operations of $479 million as of December 31, 2025.</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203" w:lineRule="auto"/>
        <w:tabs>
          <w:tab w:leader="none" w:pos="3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liabilities of discontinued operations of $125 million and $382 million as of September 30, 2026 and December 31, 2025,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Page 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ind w:right="39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INCOME/(LOSS) PER CLASS A SHARE </w:t>
      </w:r>
      <w:r>
        <w:rPr>
          <w:rFonts w:ascii="Times New Roman" w:cs="Times New Roman" w:eastAsia="Times New Roman" w:hAnsi="Times New Roman"/>
          <w:sz w:val="18"/>
          <w:szCs w:val="18"/>
          <w:color w:val="auto"/>
        </w:rPr>
        <w:t>(in millions,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Income/(Loss) per Class A Share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 attributable to PAGP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Impact from repurchase of PAA Series A preferred units by subsidiary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income/(loss) from continuing operations available to Class A shareholders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 from discontinued operations available to Class A shareholders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Basic Net Income/(Loss) per Class A Share: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43"/>
        </w:trPr>
        <w:tc>
          <w:tcPr>
            <w:tcW w:w="63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62"/>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income/(loss) per Class A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Income/(Loss) per Class A share</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income/(loss) from continuing operations available to Class A shareholders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56"/>
        </w:trPr>
        <w:tc>
          <w:tcPr>
            <w:tcW w:w="388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 from discontinued operations available to Class A shareholders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Incremental net income resulting from assumed exchange of AAP Units</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69"/>
        </w:trPr>
        <w:tc>
          <w:tcPr>
            <w:tcW w:w="63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Net income from discontinued operations available to Class A shareholders including</w:t>
            </w:r>
          </w:p>
        </w:tc>
        <w:tc>
          <w:tcPr>
            <w:tcW w:w="2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4"/>
                <w:szCs w:val="14"/>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4"/>
                <w:szCs w:val="14"/>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1"/>
        </w:trPr>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incremental net income from assumed exchange of AAP Units</w:t>
            </w: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shares resulting from assumed exchange of AAP Units</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 weighted average Class A shares outstanding</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 Net Income/(Loss) per Class A Share: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43"/>
        </w:trPr>
        <w:tc>
          <w:tcPr>
            <w:tcW w:w="63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61"/>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income/(loss) per Class A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300" w:hanging="332"/>
        <w:spacing w:after="0" w:line="202"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impact on income available to PAGP Class A shareholders resulting from PAA’s repurchase of all of its remaining 58.4 million PAA Series A preferred units on September 14, 2026.</w:t>
      </w:r>
    </w:p>
    <w:p>
      <w:pPr>
        <w:spacing w:after="0" w:line="1"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Page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68" w:lineRule="exact"/>
        <w:rPr>
          <w:sz w:val="20"/>
          <w:szCs w:val="20"/>
          <w:color w:val="auto"/>
        </w:rPr>
      </w:pPr>
    </w:p>
    <w:p>
      <w:pPr>
        <w:ind w:left="660" w:right="240" w:hanging="328"/>
        <w:spacing w:after="0" w:line="281" w:lineRule="auto"/>
        <w:tabs>
          <w:tab w:leader="none" w:pos="655"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2" w:lineRule="exact"/>
        <w:rPr>
          <w:rFonts w:ascii="Times New Roman" w:cs="Times New Roman" w:eastAsia="Times New Roman" w:hAnsi="Times New Roman"/>
          <w:sz w:val="17"/>
          <w:szCs w:val="17"/>
          <w:i w:val="1"/>
          <w:iCs w:val="1"/>
          <w:color w:val="auto"/>
        </w:rPr>
      </w:pPr>
    </w:p>
    <w:p>
      <w:pPr>
        <w:ind w:left="660" w:right="40" w:hanging="328"/>
        <w:spacing w:after="0" w:line="25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shipped, processed, purchased, stored, fractionated and/or gathered at or through the use of our assets and/or the reduction of the margins we can earn or the commercial opportunities that might otherwise be available to us;</w:t>
      </w:r>
    </w:p>
    <w:p>
      <w:pPr>
        <w:spacing w:after="0" w:line="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global geopolitical events, including conflicts in the Middle East and elsewhere, on commodity price volatility and crude oil supply and demand, as well as broader impacts on financial markets and the global macroeconomic environment;</w:t>
      </w:r>
    </w:p>
    <w:p>
      <w:pPr>
        <w:spacing w:after="0" w:line="4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resulting changes in pricing conditions or transportation throughput requirements;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market structure, grade differentials and volatility (or lack thereof);</w:t>
      </w:r>
    </w:p>
    <w:p>
      <w:pPr>
        <w:spacing w:after="0" w:line="9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 and realize benefits therefrom;</w:t>
      </w:r>
    </w:p>
    <w:p>
      <w:pPr>
        <w:spacing w:after="0" w:line="4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40"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4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26" w:lineRule="exact"/>
        <w:rPr>
          <w:rFonts w:ascii="Times New Roman" w:cs="Times New Roman" w:eastAsia="Times New Roman" w:hAnsi="Times New Roman"/>
          <w:sz w:val="18"/>
          <w:szCs w:val="18"/>
          <w:color w:val="auto"/>
        </w:rPr>
      </w:pPr>
    </w:p>
    <w:p>
      <w:pPr>
        <w:ind w:left="660" w:right="100" w:hanging="328"/>
        <w:spacing w:after="0" w:line="272"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w:t>
      </w:r>
    </w:p>
    <w:p>
      <w:pPr>
        <w:spacing w:after="0" w:line="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negatively impact our business or increase our exposure to risk;</w:t>
      </w:r>
    </w:p>
    <w:p>
      <w:pPr>
        <w:spacing w:after="0" w:line="8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63" w:lineRule="exact"/>
        <w:rPr>
          <w:rFonts w:ascii="Times New Roman" w:cs="Times New Roman" w:eastAsia="Times New Roman" w:hAnsi="Times New Roman"/>
          <w:sz w:val="18"/>
          <w:szCs w:val="18"/>
          <w:color w:val="auto"/>
        </w:rPr>
      </w:pPr>
    </w:p>
    <w:p>
      <w:pPr>
        <w:ind w:left="5440" w:hanging="106"/>
        <w:spacing w:after="0"/>
        <w:tabs>
          <w:tab w:leader="none" w:pos="54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Page 24</w:t>
      </w:r>
    </w:p>
    <w:p>
      <w:pPr>
        <w:spacing w:after="0" w:line="200" w:lineRule="exact"/>
        <w:rPr>
          <w:sz w:val="20"/>
          <w:szCs w:val="20"/>
          <w:color w:val="auto"/>
        </w:rPr>
      </w:pPr>
    </w:p>
    <w:p>
      <w:pPr>
        <w:spacing w:after="0" w:line="241" w:lineRule="exact"/>
        <w:rPr>
          <w:sz w:val="20"/>
          <w:szCs w:val="20"/>
          <w:color w:val="auto"/>
        </w:rPr>
      </w:pPr>
    </w:p>
    <w:p>
      <w:pPr>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0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and other petroleum products, which may impair our ability to execute our commercial or hedging strategies;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90"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10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realize anticipated benefits from operational and organizational streamlining and efficiency efforts and initiatives;</w:t>
      </w:r>
    </w:p>
    <w:p>
      <w:pPr>
        <w:spacing w:after="0" w:line="103"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03" w:lineRule="exact"/>
        <w:rPr>
          <w:rFonts w:ascii="Times New Roman" w:cs="Times New Roman" w:eastAsia="Times New Roman" w:hAnsi="Times New Roman"/>
          <w:sz w:val="18"/>
          <w:szCs w:val="18"/>
          <w:color w:val="auto"/>
        </w:rPr>
      </w:pPr>
    </w:p>
    <w:p>
      <w:pPr>
        <w:ind w:left="660" w:right="340" w:hanging="328"/>
        <w:spacing w:after="0" w:line="273"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and other petroleum products as discussed in the Partnerships’ filings with the Securities and Exchange Commission.</w:t>
      </w:r>
    </w:p>
    <w:p>
      <w:pPr>
        <w:spacing w:after="0" w:line="1" w:lineRule="exact"/>
        <w:rPr>
          <w:rFonts w:ascii="Times New Roman" w:cs="Times New Roman" w:eastAsia="Times New Roman" w:hAnsi="Times New Roman"/>
          <w:sz w:val="18"/>
          <w:szCs w:val="18"/>
          <w:color w:val="auto"/>
        </w:rPr>
      </w:pPr>
    </w:p>
    <w:p>
      <w:pPr>
        <w:ind w:left="5440" w:hanging="106"/>
        <w:spacing w:after="0"/>
        <w:tabs>
          <w:tab w:leader="none" w:pos="54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69"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Page 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Plains:</w:t>
      </w:r>
    </w:p>
    <w:p>
      <w:pPr>
        <w:spacing w:after="0" w:line="30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PAA owns an extensive network of pipeline gathering and transportation systems, in addition to terminalling, storage and other infrastructure assets serving key producing basins, transportation corridors and major market hubs and export outlets in the United States and Canada.</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are headquartered in Houston, Texas. For more information, please visit www.plains.com.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Blake Fernandez</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Ross Hovde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1"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0980"/>
      </w:cols>
      <w:pgMar w:left="320" w:top="36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04"/>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
      <w:numFmt w:val="bullet"/>
      <w:start w:val="1"/>
    </w:lvl>
  </w:abstractNum>
  <w:abstractNum w:abstractNumId="4">
    <w:nsid w:val="1BEFD79F"/>
    <w:multiLevelType w:val="hybridMultilevel"/>
    <w:lvl w:ilvl="0">
      <w:lvlJc w:val="left"/>
      <w:lvlText w:val="(%1)"/>
      <w:numFmt w:val="decimal"/>
      <w:start w:val="1"/>
    </w:lvl>
    <w:lvl w:ilvl="1">
      <w:lvlJc w:val="left"/>
      <w:lvlText w:val="-"/>
      <w:numFmt w:val="bullet"/>
      <w:start w:val="1"/>
    </w:lvl>
  </w:abstractNum>
  <w:abstractNum w:abstractNumId="5">
    <w:nsid w:val="41A7C4C9"/>
    <w:multiLevelType w:val="hybridMultilevel"/>
    <w:lvl w:ilvl="0">
      <w:lvlJc w:val="left"/>
      <w:lvlText w:val="(%1)"/>
      <w:numFmt w:val="decimal"/>
      <w:start w:val="1"/>
    </w:lvl>
    <w:lvl w:ilvl="1">
      <w:lvlJc w:val="left"/>
      <w:lvlText w:val="-"/>
      <w:numFmt w:val="bullet"/>
      <w:start w:val="1"/>
    </w:lvl>
  </w:abstractNum>
  <w:abstractNum w:abstractNumId="6">
    <w:nsid w:val="6B68079A"/>
    <w:multiLevelType w:val="hybridMultilevel"/>
    <w:lvl w:ilvl="0">
      <w:lvlJc w:val="left"/>
      <w:lvlText w:val="(%1)"/>
      <w:numFmt w:val="decimal"/>
      <w:start w:val="1"/>
    </w:lvl>
    <w:lvl w:ilvl="1">
      <w:lvlJc w:val="left"/>
      <w:lvlText w:val="-"/>
      <w:numFmt w:val="bullet"/>
      <w:start w:val="1"/>
    </w:lvl>
  </w:abstractNum>
  <w:abstractNum w:abstractNumId="7">
    <w:nsid w:val="4E6AFB66"/>
    <w:multiLevelType w:val="hybridMultilevel"/>
    <w:lvl w:ilvl="0">
      <w:lvlJc w:val="left"/>
      <w:lvlText w:val="(%1)"/>
      <w:numFmt w:val="decimal"/>
      <w:start w:val="1"/>
    </w:lvl>
    <w:lvl w:ilvl="1">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lvl w:ilvl="1">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lvl w:ilvl="1">
      <w:lvlJc w:val="left"/>
      <w:lvlText w:val="-"/>
      <w:numFmt w:val="bullet"/>
      <w:start w:val="1"/>
    </w:lvl>
  </w:abstractNum>
  <w:abstractNum w:abstractNumId="12">
    <w:nsid w:val="7C83E458"/>
    <w:multiLevelType w:val="hybridMultilevel"/>
    <w:lvl w:ilvl="0">
      <w:lvlJc w:val="left"/>
      <w:lvlText w:val="(%1)"/>
      <w:numFmt w:val="decimal"/>
      <w:start w:val="1"/>
    </w:lvl>
    <w:lvl w:ilvl="1">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
      <w:numFmt w:val="bullet"/>
      <w:start w:val="1"/>
    </w:lvl>
  </w:abstractNum>
  <w:abstractNum w:abstractNumId="15">
    <w:nsid w:val="436C6125"/>
    <w:multiLevelType w:val="hybridMultilevel"/>
    <w:lvl w:ilvl="0">
      <w:lvlJc w:val="left"/>
      <w:lvlText w:val="(%1)"/>
      <w:numFmt w:val="decimal"/>
      <w:start w:val="1"/>
    </w:lvl>
    <w:lvl w:ilvl="1">
      <w:lvlJc w:val="left"/>
      <w:lvlText w:val="-"/>
      <w:numFmt w:val="bullet"/>
      <w:start w:val="1"/>
    </w:lvl>
  </w:abstractNum>
  <w:abstractNum w:abstractNumId="16">
    <w:nsid w:val="628C895D"/>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17">
    <w:nsid w:val="333AB105"/>
    <w:multiLevelType w:val="hybridMultilevel"/>
    <w:lvl w:ilvl="0">
      <w:lvlJc w:val="left"/>
      <w:lvlText w:val="(%1)"/>
      <w:numFmt w:val="decimal"/>
      <w:start w:val="1"/>
    </w:lvl>
    <w:lvl w:ilvl="1">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lvl w:ilvl="1">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lvl w:ilvl="1">
      <w:lvlJc w:val="left"/>
      <w:lvlText w:val="-"/>
      <w:numFmt w:val="bullet"/>
      <w:start w:val="1"/>
    </w:lvl>
  </w:abstractNum>
  <w:abstractNum w:abstractNumId="23">
    <w:nsid w:val="8EDBDAB"/>
    <w:multiLevelType w:val="hybridMultilevel"/>
    <w:lvl w:ilvl="0">
      <w:lvlJc w:val="left"/>
      <w:lvlText w:val="•"/>
      <w:numFmt w:val="bullet"/>
      <w:start w:val="1"/>
    </w:lvl>
    <w:lvl w:ilvl="1">
      <w:lvlJc w:val="left"/>
      <w:lvlText w:val="(%2)"/>
      <w:numFmt w:val="lowerRoman"/>
      <w:start w:val="3"/>
    </w:lvl>
    <w:lvl w:ilvl="2">
      <w:lvlJc w:val="left"/>
      <w:lvlText w:val="-"/>
      <w:numFmt w:val="bullet"/>
      <w:start w:val="1"/>
    </w:lvl>
  </w:abstractNum>
  <w:abstractNum w:abstractNumId="24">
    <w:nsid w:val="79838CB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2026-11-06T07:40:03Z</dcterms:created>
  <dcterms:modified xsi:type="dcterms:W3CDTF">2026-11-06T07:40:03Z</dcterms:modified>
</cp:coreProperties>
</file>